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8"/>
        <w:rPr>
          <w:rFonts w:ascii="Times New Roman" w:hAnsi="Times New Roman" w:cs="Times New Roman" w:eastAsia="Times New Roman" w:hint="default"/>
          <w:sz w:val="7"/>
          <w:szCs w:val="7"/>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2"/>
          <w:szCs w:val="22"/>
        </w:rPr>
      </w:pPr>
    </w:p>
    <w:p>
      <w:pPr>
        <w:spacing w:line="1094" w:lineRule="exact"/>
        <w:ind w:left="369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drawing>
          <wp:inline distT="0" distB="0" distL="0" distR="0">
            <wp:extent cx="1619428" cy="69494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619428" cy="694944"/>
                    </a:xfrm>
                    <a:prstGeom prst="rect">
                      <a:avLst/>
                    </a:prstGeom>
                  </pic:spPr>
                </pic:pic>
              </a:graphicData>
            </a:graphic>
          </wp:inline>
        </w:drawing>
      </w:r>
      <w:r>
        <w:rPr>
          <w:rFonts w:ascii="Times New Roman" w:hAnsi="Times New Roman" w:cs="Times New Roman" w:eastAsia="Times New Roman" w:hint="default"/>
          <w:position w:val="-21"/>
          <w:sz w:val="20"/>
          <w:szCs w:val="20"/>
        </w:rPr>
      </w:r>
    </w:p>
    <w:p>
      <w:pPr>
        <w:spacing w:line="240" w:lineRule="auto" w:before="8"/>
        <w:rPr>
          <w:rFonts w:ascii="Times New Roman" w:hAnsi="Times New Roman" w:cs="Times New Roman" w:eastAsia="Times New Roman" w:hint="default"/>
          <w:sz w:val="13"/>
          <w:szCs w:val="13"/>
        </w:rPr>
      </w:pPr>
    </w:p>
    <w:p>
      <w:pPr>
        <w:spacing w:line="460" w:lineRule="exact" w:before="0"/>
        <w:ind w:left="422" w:right="426" w:firstLine="0"/>
        <w:jc w:val="center"/>
        <w:rPr>
          <w:rFonts w:ascii="宋体" w:hAnsi="宋体" w:cs="宋体" w:eastAsia="宋体" w:hint="default"/>
          <w:sz w:val="36"/>
          <w:szCs w:val="36"/>
        </w:rPr>
      </w:pPr>
      <w:r>
        <w:rPr>
          <w:rFonts w:ascii="宋体" w:hAnsi="宋体" w:cs="宋体" w:eastAsia="宋体" w:hint="default"/>
          <w:b/>
          <w:bCs/>
          <w:sz w:val="36"/>
          <w:szCs w:val="36"/>
        </w:rPr>
        <w:t>北京君正集成电路股份有限公司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422" w:right="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422" w:right="42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type w:val="continuous"/>
          <w:pgSz w:w="11910" w:h="16840"/>
          <w:pgMar w:top="880" w:bottom="2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left="2803" w:right="0"/>
        <w:jc w:val="left"/>
        <w:rPr>
          <w:b w:val="0"/>
          <w:bCs w:val="0"/>
        </w:rPr>
      </w:pPr>
      <w:bookmarkStart w:name="_TOC_250009"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5" w:lineRule="auto" w:before="162"/>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公司负责人刘强、主管会计工作负责人张燕祥及会计机构负责人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sz w:val="28"/>
          <w:szCs w:val="28"/>
        </w:rPr>
      </w:r>
    </w:p>
    <w:p>
      <w:pPr>
        <w:spacing w:line="320" w:lineRule="exact" w:before="0"/>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叶飞声明：保证年度报告中财务报告的真实、准确、完整。</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line="408" w:lineRule="auto" w:before="0"/>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本报告中如有涉及未来的计划、业绩预测等方面的内容，均不构成本公司</w:t>
      </w:r>
      <w:r>
        <w:rPr>
          <w:rFonts w:ascii="宋体" w:hAnsi="宋体" w:cs="宋体" w:eastAsia="宋体" w:hint="default"/>
          <w:b/>
          <w:bCs/>
          <w:w w:val="99"/>
          <w:sz w:val="28"/>
          <w:szCs w:val="28"/>
        </w:rPr>
        <w:t> </w:t>
      </w:r>
      <w:r>
        <w:rPr>
          <w:rFonts w:ascii="宋体" w:hAnsi="宋体" w:cs="宋体" w:eastAsia="宋体" w:hint="default"/>
          <w:b/>
          <w:bCs/>
          <w:spacing w:val="2"/>
          <w:sz w:val="28"/>
          <w:szCs w:val="28"/>
        </w:rPr>
        <w:t>对任何投资者及相关人士的承诺，投资者及相关人士均应对此保持足够的风险</w:t>
      </w:r>
      <w:r>
        <w:rPr>
          <w:rFonts w:ascii="宋体" w:hAnsi="宋体" w:cs="宋体" w:eastAsia="宋体" w:hint="default"/>
          <w:b/>
          <w:bCs/>
          <w:w w:val="99"/>
          <w:sz w:val="28"/>
          <w:szCs w:val="28"/>
        </w:rPr>
        <w:t> </w:t>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headerReference w:type="default" r:id="rId6"/>
          <w:footerReference w:type="default" r:id="rId7"/>
          <w:pgSz w:w="11910" w:h="16840"/>
          <w:pgMar w:header="877" w:footer="980" w:top="1060" w:bottom="1160" w:left="980" w:right="98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spacing w:line="460" w:lineRule="exact" w:before="0"/>
        <w:ind w:left="422" w:right="42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09">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8">
            <w:r>
              <w:rPr/>
              <w:t>第二节</w:t>
            </w:r>
            <w:r>
              <w:rPr>
                <w:spacing w:val="1"/>
              </w:rPr>
              <w:t> </w:t>
            </w:r>
            <w:r>
              <w:rPr/>
              <w:t>公司基本情况简介</w:t>
            </w:r>
            <w:r>
              <w:rPr>
                <w:rFonts w:ascii="Times New Roman" w:hAnsi="Times New Roman" w:cs="Times New Roman" w:eastAsia="Times New Roman" w:hint="default"/>
              </w:rPr>
              <w:tab/>
              <w:t>5</w:t>
            </w:r>
          </w:hyperlink>
        </w:p>
        <w:p>
          <w:pPr>
            <w:pStyle w:val="TOC1"/>
            <w:tabs>
              <w:tab w:pos="9782" w:val="right" w:leader="dot"/>
            </w:tabs>
            <w:spacing w:line="240" w:lineRule="auto" w:before="102"/>
            <w:ind w:right="0"/>
            <w:jc w:val="left"/>
            <w:rPr>
              <w:rFonts w:ascii="Times New Roman" w:hAnsi="Times New Roman" w:cs="Times New Roman" w:eastAsia="Times New Roman" w:hint="default"/>
            </w:rPr>
          </w:pPr>
          <w:hyperlink w:history="true" w:anchor="_TOC_250007">
            <w:r>
              <w:rPr/>
              <w:t>第三节</w:t>
            </w:r>
            <w:r>
              <w:rPr>
                <w:spacing w:val="1"/>
              </w:rPr>
              <w:t> </w:t>
            </w:r>
            <w:r>
              <w:rPr/>
              <w:t>会计数据和财务指标摘要</w:t>
            </w:r>
            <w:r>
              <w:rPr>
                <w:rFonts w:ascii="Times New Roman" w:hAnsi="Times New Roman" w:cs="Times New Roman" w:eastAsia="Times New Roman" w:hint="default"/>
              </w:rPr>
              <w:tab/>
              <w:t>7</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6">
            <w:r>
              <w:rPr/>
              <w:t>第四节</w:t>
            </w:r>
            <w:r>
              <w:rPr>
                <w:spacing w:val="1"/>
              </w:rPr>
              <w:t> </w:t>
            </w:r>
            <w:r>
              <w:rPr/>
              <w:t>董事会报告</w:t>
            </w:r>
            <w:r>
              <w:rPr>
                <w:rFonts w:ascii="Times New Roman" w:hAnsi="Times New Roman" w:cs="Times New Roman" w:eastAsia="Times New Roman" w:hint="default"/>
              </w:rPr>
              <w:tab/>
              <w:t>10</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5">
            <w:r>
              <w:rPr/>
              <w:t>第五节</w:t>
            </w:r>
            <w:r>
              <w:rPr>
                <w:spacing w:val="1"/>
              </w:rPr>
              <w:t> </w:t>
            </w:r>
            <w:r>
              <w:rPr/>
              <w:t>重要事项</w:t>
            </w:r>
            <w:r>
              <w:rPr>
                <w:rFonts w:ascii="Times New Roman" w:hAnsi="Times New Roman" w:cs="Times New Roman" w:eastAsia="Times New Roman" w:hint="default"/>
              </w:rPr>
              <w:tab/>
              <w:t>26</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TOC_250004">
            <w:r>
              <w:rPr/>
              <w:t>第六节</w:t>
            </w:r>
            <w:r>
              <w:rPr>
                <w:spacing w:val="1"/>
              </w:rPr>
              <w:t> </w:t>
            </w:r>
            <w:r>
              <w:rPr/>
              <w:t>股份变动及股东情况</w:t>
            </w:r>
            <w:r>
              <w:rPr>
                <w:rFonts w:ascii="Times New Roman" w:hAnsi="Times New Roman" w:cs="Times New Roman" w:eastAsia="Times New Roman" w:hint="default"/>
              </w:rPr>
              <w:tab/>
              <w:t>32</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3">
            <w:r>
              <w:rPr/>
              <w:t>第七节</w:t>
            </w:r>
            <w:r>
              <w:rPr>
                <w:spacing w:val="1"/>
              </w:rPr>
              <w:t> </w:t>
            </w:r>
            <w:r>
              <w:rPr/>
              <w:t>董事、监事、高级管理人员和员工情况</w:t>
            </w:r>
            <w:r>
              <w:rPr>
                <w:rFonts w:ascii="Times New Roman" w:hAnsi="Times New Roman" w:cs="Times New Roman" w:eastAsia="Times New Roman" w:hint="default"/>
              </w:rPr>
              <w:tab/>
              <w:t>36</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2">
            <w:r>
              <w:rPr/>
              <w:t>第八节</w:t>
            </w:r>
            <w:r>
              <w:rPr>
                <w:spacing w:val="1"/>
              </w:rPr>
              <w:t> </w:t>
            </w:r>
            <w:r>
              <w:rPr/>
              <w:t>公司治理</w:t>
            </w:r>
            <w:r>
              <w:rPr>
                <w:rFonts w:ascii="Times New Roman" w:hAnsi="Times New Roman" w:cs="Times New Roman" w:eastAsia="Times New Roman" w:hint="default"/>
              </w:rPr>
              <w:tab/>
              <w:t>41</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TOC_250001">
            <w:r>
              <w:rPr/>
              <w:t>第九节</w:t>
            </w:r>
            <w:r>
              <w:rPr>
                <w:spacing w:val="1"/>
              </w:rPr>
              <w:t> </w:t>
            </w:r>
            <w:r>
              <w:rPr/>
              <w:t>财务报告</w:t>
            </w:r>
            <w:r>
              <w:rPr>
                <w:rFonts w:ascii="Times New Roman" w:hAnsi="Times New Roman" w:cs="Times New Roman" w:eastAsia="Times New Roman" w:hint="default"/>
              </w:rPr>
              <w:tab/>
              <w:t>44</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0">
            <w:r>
              <w:rPr/>
              <w:t>第十节</w:t>
            </w:r>
            <w:r>
              <w:rPr>
                <w:spacing w:val="1"/>
              </w:rPr>
              <w:t> </w:t>
            </w:r>
            <w:r>
              <w:rPr/>
              <w:t>备查文件目录</w:t>
            </w:r>
            <w:r>
              <w:rPr>
                <w:rFonts w:ascii="Times New Roman" w:hAnsi="Times New Roman" w:cs="Times New Roman" w:eastAsia="Times New Roman" w:hint="default"/>
              </w:rPr>
              <w:tab/>
              <w:t>125</w:t>
            </w:r>
          </w:hyperlink>
        </w:p>
        <w:p>
          <w:pPr/>
          <w:r>
            <w:fldChar w:fldCharType="end"/>
          </w:r>
        </w:p>
      </w:sdtContent>
    </w:sdt>
    <w:p>
      <w:pPr>
        <w:spacing w:after="0"/>
        <w:sectPr>
          <w:pgSz w:w="11910" w:h="16840"/>
          <w:pgMar w:header="877" w:footer="980" w:top="1100" w:bottom="1160" w:left="980" w:right="98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10"/>
        <w:rPr>
          <w:rFonts w:ascii="Times New Roman" w:hAnsi="Times New Roman" w:cs="Times New Roman" w:eastAsia="Times New Roman" w:hint="default"/>
          <w:sz w:val="25"/>
          <w:szCs w:val="25"/>
        </w:rPr>
      </w:pPr>
    </w:p>
    <w:p>
      <w:pPr>
        <w:spacing w:before="0"/>
        <w:ind w:left="422" w:right="42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401"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北京君正、公司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北京君正集成电路股份有限公司</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君正有限</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北京君正集成电路有限公司，本公司的前身</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香港君正集团</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北京君正集成电路（香港）集团有限公司，本公司的子公司</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君正时代</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深圳君正时代集成电路有限公司，本公司的子公司</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盈富泰克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盈富泰克创业投资有限公司，本公司的股东之一</w:t>
            </w:r>
          </w:p>
        </w:tc>
      </w:tr>
      <w:tr>
        <w:trPr>
          <w:trHeight w:val="161" w:hRule="exact"/>
        </w:trPr>
        <w:tc>
          <w:tcPr>
            <w:tcW w:w="3524"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MIPS </w:t>
            </w:r>
            <w:r>
              <w:rPr>
                <w:rFonts w:ascii="宋体" w:hAnsi="宋体" w:cs="宋体" w:eastAsia="宋体" w:hint="default"/>
                <w:sz w:val="18"/>
                <w:szCs w:val="18"/>
              </w:rPr>
              <w:t>公司</w:t>
            </w:r>
          </w:p>
        </w:tc>
        <w:tc>
          <w:tcPr>
            <w:tcW w:w="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297" w:lineRule="auto" w:before="49"/>
              <w:ind w:left="18"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MIPS</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Technologies,Inc.</w:t>
            </w:r>
            <w:r>
              <w:rPr>
                <w:rFonts w:ascii="宋体" w:hAnsi="宋体" w:cs="宋体" w:eastAsia="宋体" w:hint="default"/>
                <w:sz w:val="18"/>
                <w:szCs w:val="18"/>
              </w:rPr>
              <w:t>，一家全球知名的</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架构及内核供应商，主</w:t>
            </w:r>
            <w:r>
              <w:rPr>
                <w:rFonts w:ascii="宋体" w:hAnsi="宋体" w:cs="宋体" w:eastAsia="宋体" w:hint="default"/>
                <w:sz w:val="18"/>
                <w:szCs w:val="18"/>
              </w:rPr>
              <w:t> 要提供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架构及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内核</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IP</w:t>
            </w:r>
            <w:r>
              <w:rPr>
                <w:rFonts w:ascii="Times New Roman" w:hAnsi="Times New Roman" w:cs="Times New Roman" w:eastAsia="Times New Roman" w:hint="default"/>
                <w:sz w:val="18"/>
                <w:szCs w:val="18"/>
              </w:rPr>
            </w:r>
          </w:p>
        </w:tc>
      </w:tr>
      <w:tr>
        <w:trPr>
          <w:trHeight w:val="391" w:hRule="exact"/>
        </w:trPr>
        <w:tc>
          <w:tcPr>
            <w:tcW w:w="3524" w:type="dxa"/>
            <w:vMerge/>
            <w:tcBorders>
              <w:left w:val="single" w:sz="4" w:space="0" w:color="000000"/>
              <w:right w:val="single" w:sz="9" w:space="0" w:color="D2D2D2"/>
            </w:tcBorders>
          </w:tcPr>
          <w:p>
            <w:pPr/>
          </w:p>
        </w:tc>
        <w:tc>
          <w:tcPr>
            <w:tcW w:w="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D2D2D2"/>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2D2D2"/>
            </w:tcBorders>
          </w:tcPr>
          <w:p>
            <w:pPr/>
          </w:p>
        </w:tc>
        <w:tc>
          <w:tcPr>
            <w:tcW w:w="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473" w:hRule="exact"/>
        </w:trPr>
        <w:tc>
          <w:tcPr>
            <w:tcW w:w="3524"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Imagination</w:t>
            </w:r>
          </w:p>
        </w:tc>
        <w:tc>
          <w:tcPr>
            <w:tcW w:w="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307" w:lineRule="auto" w:before="49"/>
              <w:ind w:left="18" w:right="18"/>
              <w:jc w:val="both"/>
              <w:rPr>
                <w:rFonts w:ascii="宋体" w:hAnsi="宋体" w:cs="宋体" w:eastAsia="宋体" w:hint="default"/>
                <w:sz w:val="18"/>
                <w:szCs w:val="18"/>
              </w:rPr>
            </w:pPr>
            <w:r>
              <w:rPr>
                <w:rFonts w:ascii="Times New Roman" w:hAnsi="Times New Roman" w:cs="Times New Roman" w:eastAsia="Times New Roman" w:hint="default"/>
                <w:sz w:val="18"/>
                <w:szCs w:val="18"/>
              </w:rPr>
              <w:t>Imagination Technologies Group</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plc</w:t>
            </w:r>
            <w:r>
              <w:rPr>
                <w:rFonts w:ascii="宋体" w:hAnsi="宋体" w:cs="宋体" w:eastAsia="宋体" w:hint="default"/>
                <w:sz w:val="18"/>
                <w:szCs w:val="18"/>
              </w:rPr>
              <w:t>，一家创制和授权图形、视频、显</w:t>
            </w:r>
            <w:r>
              <w:rPr>
                <w:rFonts w:ascii="宋体" w:hAnsi="宋体" w:cs="宋体" w:eastAsia="宋体" w:hint="default"/>
                <w:w w:val="99"/>
                <w:sz w:val="18"/>
                <w:szCs w:val="18"/>
              </w:rPr>
              <w:t> </w:t>
            </w:r>
            <w:r>
              <w:rPr>
                <w:rFonts w:ascii="宋体" w:hAnsi="宋体" w:cs="宋体" w:eastAsia="宋体" w:hint="default"/>
                <w:sz w:val="18"/>
                <w:szCs w:val="18"/>
              </w:rPr>
              <w:t>示、嵌入式计算、多标准通信连接、跨平台</w:t>
            </w:r>
            <w:r>
              <w:rPr>
                <w:rFonts w:ascii="宋体" w:hAnsi="宋体" w:cs="宋体" w:eastAsia="宋体" w:hint="default"/>
                <w:spacing w:val="-52"/>
                <w:sz w:val="18"/>
                <w:szCs w:val="18"/>
              </w:rPr>
              <w:t> </w:t>
            </w:r>
            <w:r>
              <w:rPr>
                <w:rFonts w:ascii="Times New Roman" w:hAnsi="Times New Roman" w:cs="Times New Roman" w:eastAsia="Times New Roman" w:hint="default"/>
                <w:spacing w:val="-8"/>
                <w:sz w:val="18"/>
                <w:szCs w:val="18"/>
              </w:rPr>
              <w:t>V.VoIP&amp;VoLTE</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芯片解决 </w:t>
            </w:r>
            <w:r>
              <w:rPr>
                <w:rFonts w:ascii="宋体" w:hAnsi="宋体" w:cs="宋体" w:eastAsia="宋体" w:hint="default"/>
                <w:spacing w:val="-1"/>
                <w:sz w:val="18"/>
                <w:szCs w:val="18"/>
              </w:rPr>
              <w:t>方案的企业，主要针对的市场包括智能手机、手持多媒体设备、家庭</w:t>
            </w:r>
            <w:r>
              <w:rPr>
                <w:rFonts w:ascii="宋体" w:hAnsi="宋体" w:cs="宋体" w:eastAsia="宋体" w:hint="default"/>
                <w:sz w:val="18"/>
                <w:szCs w:val="18"/>
              </w:rPr>
              <w:t> 个人电子产品、平板与移动计算机等，其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技术被业界广泛使用</w:t>
            </w:r>
          </w:p>
        </w:tc>
      </w:tr>
      <w:tr>
        <w:trPr>
          <w:trHeight w:val="394" w:hRule="exact"/>
        </w:trPr>
        <w:tc>
          <w:tcPr>
            <w:tcW w:w="3524" w:type="dxa"/>
            <w:vMerge/>
            <w:tcBorders>
              <w:left w:val="single" w:sz="4" w:space="0" w:color="000000"/>
              <w:right w:val="single" w:sz="9" w:space="0" w:color="D2D2D2"/>
            </w:tcBorders>
          </w:tcPr>
          <w:p>
            <w:pPr/>
          </w:p>
        </w:tc>
        <w:tc>
          <w:tcPr>
            <w:tcW w:w="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D2D2D2"/>
              <w:right w:val="single" w:sz="4" w:space="0" w:color="000000"/>
            </w:tcBorders>
          </w:tcPr>
          <w:p>
            <w:pPr/>
          </w:p>
        </w:tc>
      </w:tr>
      <w:tr>
        <w:trPr>
          <w:trHeight w:val="473" w:hRule="exact"/>
        </w:trPr>
        <w:tc>
          <w:tcPr>
            <w:tcW w:w="3524" w:type="dxa"/>
            <w:vMerge/>
            <w:tcBorders>
              <w:left w:val="single" w:sz="4" w:space="0" w:color="000000"/>
              <w:bottom w:val="single" w:sz="4" w:space="0" w:color="000000"/>
              <w:right w:val="single" w:sz="9" w:space="0" w:color="D2D2D2"/>
            </w:tcBorders>
          </w:tcPr>
          <w:p>
            <w:pPr/>
          </w:p>
        </w:tc>
        <w:tc>
          <w:tcPr>
            <w:tcW w:w="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473" w:hRule="exact"/>
        </w:trPr>
        <w:tc>
          <w:tcPr>
            <w:tcW w:w="3524"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Bridge Crossing</w:t>
            </w:r>
            <w:r>
              <w:rPr>
                <w:rFonts w:ascii="Times New Roman"/>
                <w:spacing w:val="-6"/>
                <w:sz w:val="18"/>
              </w:rPr>
              <w:t> </w:t>
            </w:r>
            <w:r>
              <w:rPr>
                <w:rFonts w:ascii="Times New Roman"/>
                <w:sz w:val="18"/>
              </w:rPr>
              <w:t>LLC</w:t>
            </w:r>
          </w:p>
        </w:tc>
        <w:tc>
          <w:tcPr>
            <w:tcW w:w="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304" w:lineRule="auto" w:before="49"/>
              <w:ind w:left="18" w:right="18"/>
              <w:jc w:val="both"/>
              <w:rPr>
                <w:rFonts w:ascii="宋体" w:hAnsi="宋体" w:cs="宋体" w:eastAsia="宋体" w:hint="default"/>
                <w:sz w:val="18"/>
                <w:szCs w:val="18"/>
              </w:rPr>
            </w:pPr>
            <w:r>
              <w:rPr>
                <w:rFonts w:ascii="Times New Roman" w:hAnsi="Times New Roman" w:cs="Times New Roman" w:eastAsia="Times New Roman" w:hint="default"/>
                <w:sz w:val="18"/>
                <w:szCs w:val="18"/>
              </w:rPr>
              <w:t>Bridge Crossing LLC </w:t>
            </w:r>
            <w:r>
              <w:rPr>
                <w:rFonts w:ascii="宋体" w:hAnsi="宋体" w:cs="宋体" w:eastAsia="宋体" w:hint="default"/>
                <w:sz w:val="18"/>
                <w:szCs w:val="18"/>
              </w:rPr>
              <w:t>是所谓</w:t>
            </w:r>
            <w:r>
              <w:rPr>
                <w:rFonts w:ascii="Times New Roman" w:hAnsi="Times New Roman" w:cs="Times New Roman" w:eastAsia="Times New Roman" w:hint="default"/>
                <w:sz w:val="18"/>
                <w:szCs w:val="18"/>
              </w:rPr>
              <w:t>“</w:t>
            </w:r>
            <w:r>
              <w:rPr>
                <w:rFonts w:ascii="宋体" w:hAnsi="宋体" w:cs="宋体" w:eastAsia="宋体" w:hint="default"/>
                <w:sz w:val="18"/>
                <w:szCs w:val="18"/>
              </w:rPr>
              <w:t>企业安全联盟</w:t>
            </w:r>
            <w:r>
              <w:rPr>
                <w:rFonts w:ascii="Times New Roman" w:hAnsi="Times New Roman" w:cs="Times New Roman" w:eastAsia="Times New Roman" w:hint="default"/>
                <w:sz w:val="18"/>
                <w:szCs w:val="18"/>
              </w:rPr>
              <w:t>”(Allied Security</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Trust)</w:t>
            </w:r>
            <w:r>
              <w:rPr>
                <w:rFonts w:ascii="宋体" w:hAnsi="宋体" w:cs="宋体" w:eastAsia="宋体" w:hint="default"/>
                <w:sz w:val="18"/>
                <w:szCs w:val="18"/>
              </w:rPr>
              <w:t>组织</w:t>
            </w:r>
            <w:r>
              <w:rPr>
                <w:rFonts w:ascii="宋体" w:hAnsi="宋体" w:cs="宋体" w:eastAsia="宋体" w:hint="default"/>
                <w:w w:val="99"/>
                <w:sz w:val="18"/>
                <w:szCs w:val="18"/>
              </w:rPr>
              <w:t> </w:t>
            </w:r>
            <w:r>
              <w:rPr>
                <w:rFonts w:ascii="宋体" w:hAnsi="宋体" w:cs="宋体" w:eastAsia="宋体" w:hint="default"/>
                <w:sz w:val="18"/>
                <w:szCs w:val="18"/>
              </w:rPr>
              <w:t>的收购代言人，成立于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年，根据特拉华州法定信托法成立的组</w:t>
            </w:r>
            <w:r>
              <w:rPr>
                <w:rFonts w:ascii="宋体" w:hAnsi="宋体" w:cs="宋体" w:eastAsia="宋体" w:hint="default"/>
                <w:w w:val="99"/>
                <w:sz w:val="18"/>
                <w:szCs w:val="18"/>
              </w:rPr>
              <w:t> </w:t>
            </w:r>
            <w:r>
              <w:rPr>
                <w:rFonts w:ascii="宋体" w:hAnsi="宋体" w:cs="宋体" w:eastAsia="宋体" w:hint="default"/>
                <w:spacing w:val="-1"/>
                <w:sz w:val="18"/>
                <w:szCs w:val="18"/>
              </w:rPr>
              <w:t>织。该组织的使命就是观察市面上待售的高技术专利，伺机买下，然</w:t>
            </w:r>
            <w:r>
              <w:rPr>
                <w:rFonts w:ascii="宋体" w:hAnsi="宋体" w:cs="宋体" w:eastAsia="宋体" w:hint="default"/>
                <w:w w:val="99"/>
                <w:sz w:val="18"/>
                <w:szCs w:val="18"/>
              </w:rPr>
              <w:t> </w:t>
            </w:r>
            <w:r>
              <w:rPr>
                <w:rFonts w:ascii="宋体" w:hAnsi="宋体" w:cs="宋体" w:eastAsia="宋体" w:hint="default"/>
                <w:sz w:val="18"/>
                <w:szCs w:val="18"/>
              </w:rPr>
              <w:t>后再向组织成员和第三方企业提供授权</w:t>
            </w:r>
          </w:p>
        </w:tc>
      </w:tr>
      <w:tr>
        <w:trPr>
          <w:trHeight w:val="391" w:hRule="exact"/>
        </w:trPr>
        <w:tc>
          <w:tcPr>
            <w:tcW w:w="3524" w:type="dxa"/>
            <w:vMerge/>
            <w:tcBorders>
              <w:left w:val="single" w:sz="4" w:space="0" w:color="000000"/>
              <w:right w:val="single" w:sz="9" w:space="0" w:color="D2D2D2"/>
            </w:tcBorders>
          </w:tcPr>
          <w:p>
            <w:pPr/>
          </w:p>
        </w:tc>
        <w:tc>
          <w:tcPr>
            <w:tcW w:w="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D2D2D2"/>
              <w:right w:val="single" w:sz="4" w:space="0" w:color="000000"/>
            </w:tcBorders>
          </w:tcPr>
          <w:p>
            <w:pPr/>
          </w:p>
        </w:tc>
      </w:tr>
      <w:tr>
        <w:trPr>
          <w:trHeight w:val="473" w:hRule="exact"/>
        </w:trPr>
        <w:tc>
          <w:tcPr>
            <w:tcW w:w="3524" w:type="dxa"/>
            <w:vMerge/>
            <w:tcBorders>
              <w:left w:val="single" w:sz="4" w:space="0" w:color="000000"/>
              <w:bottom w:val="single" w:sz="4" w:space="0" w:color="000000"/>
              <w:right w:val="single" w:sz="9" w:space="0" w:color="D2D2D2"/>
            </w:tcBorders>
          </w:tcPr>
          <w:p>
            <w:pPr/>
          </w:p>
        </w:tc>
        <w:tc>
          <w:tcPr>
            <w:tcW w:w="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bl>
    <w:p>
      <w:pPr>
        <w:spacing w:after="0"/>
        <w:sectPr>
          <w:pgSz w:w="11910" w:h="16840"/>
          <w:pgMar w:header="877" w:footer="980" w:top="110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left="3125" w:right="0"/>
        <w:jc w:val="left"/>
        <w:rPr>
          <w:b w:val="0"/>
          <w:bCs w:val="0"/>
        </w:rPr>
      </w:pPr>
      <w:bookmarkStart w:name="_TOC_250008" w:id="2"/>
      <w:r>
        <w:rPr/>
        <w:t>第二节</w:t>
      </w:r>
      <w:r>
        <w:rPr>
          <w:spacing w:val="-6"/>
        </w:rPr>
        <w:t> </w:t>
      </w:r>
      <w:r>
        <w:rPr/>
        <w:t>公司基本情况简介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909"/>
        <w:gridCol w:w="2327"/>
        <w:gridCol w:w="2135"/>
        <w:gridCol w:w="2188"/>
      </w:tblGrid>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27"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北京君正</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300223</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北京君正集成电路股份有限公司</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北京君正</w:t>
            </w:r>
          </w:p>
        </w:tc>
      </w:tr>
      <w:tr>
        <w:trPr>
          <w:trHeight w:val="404"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Ingenic Semiconductor</w:t>
            </w:r>
            <w:r>
              <w:rPr>
                <w:rFonts w:ascii="Times New Roman"/>
                <w:spacing w:val="-8"/>
                <w:sz w:val="18"/>
              </w:rPr>
              <w:t> </w:t>
            </w:r>
            <w:r>
              <w:rPr>
                <w:rFonts w:ascii="Times New Roman"/>
                <w:sz w:val="18"/>
              </w:rPr>
              <w:t>Co.,Ltd.</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Ingenic</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刘强</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北京市海淀区东北旺中关村软件园信息中心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100193</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北京市海淀区东北旺中关村软件园信息中心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100193</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8">
              <w:r>
                <w:rPr>
                  <w:rFonts w:ascii="Times New Roman"/>
                  <w:sz w:val="18"/>
                </w:rPr>
                <w:t>www.ingenic.cn</w:t>
              </w:r>
            </w:hyperlink>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investors@ingenic.cn</w:t>
              </w:r>
            </w:hyperlink>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北京兴华会计师事务所有限责任公司</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北京市西城区裕民路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号北环中心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层</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张敏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白洁</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94"/>
              <w:jc w:val="left"/>
              <w:rPr>
                <w:rFonts w:ascii="宋体" w:hAnsi="宋体" w:cs="宋体" w:eastAsia="宋体" w:hint="default"/>
                <w:sz w:val="18"/>
                <w:szCs w:val="18"/>
              </w:rPr>
            </w:pPr>
            <w:r>
              <w:rPr>
                <w:rFonts w:ascii="宋体" w:hAnsi="宋体" w:cs="宋体" w:eastAsia="宋体" w:hint="default"/>
                <w:sz w:val="18"/>
                <w:szCs w:val="18"/>
              </w:rPr>
              <w:t>北京市海淀区东北旺中关村软件园信息 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北京市海淀区东北旺中关村软件园信息 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394"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010-82825005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010-82825005</w:t>
            </w:r>
          </w:p>
        </w:tc>
      </w:tr>
      <w:tr>
        <w:trPr>
          <w:trHeight w:val="404"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010-82826661-8112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010-82826661-8112</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9">
              <w:r>
                <w:rPr>
                  <w:rFonts w:ascii="Times New Roman"/>
                  <w:sz w:val="18"/>
                </w:rPr>
                <w:t>investors@ingenic.cn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investors@ingenic.cn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48"/>
        <w:gridCol w:w="5721"/>
      </w:tblGrid>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r>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9"/>
        <w:rPr>
          <w:rFonts w:ascii="宋体" w:hAnsi="宋体" w:cs="宋体" w:eastAsia="宋体" w:hint="default"/>
          <w:b/>
          <w:bCs/>
          <w:sz w:val="19"/>
          <w:szCs w:val="19"/>
        </w:rPr>
      </w:pPr>
    </w:p>
    <w:p>
      <w:pPr>
        <w:pStyle w:val="Heading2"/>
        <w:spacing w:line="240" w:lineRule="auto" w:before="26"/>
        <w:ind w:right="0"/>
        <w:jc w:val="left"/>
        <w:rPr>
          <w:b w:val="0"/>
          <w:bCs w:val="0"/>
        </w:rPr>
      </w:pPr>
      <w:r>
        <w:rPr/>
        <w:t>四、公司历史沿革</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北京市海淀区中关 村南大街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号数码</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大厦</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座</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层</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2206</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1101082863944</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京税证字</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110108777668157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77766815-7</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7"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变更注册资本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北京市海淀区东北 旺中关村软件园信 息中心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110108008639445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京税证字</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110108777668157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77766815-7</w:t>
            </w:r>
          </w:p>
        </w:tc>
      </w:tr>
      <w:tr>
        <w:trPr>
          <w:trHeight w:val="102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变更经营范围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北京市海淀区东北 旺中关村软件园信 息中心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110108008639445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京税证字</w:t>
            </w: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sz w:val="18"/>
              </w:rPr>
              <w:t>110108777668157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77766815-7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left="2642" w:right="0"/>
        <w:jc w:val="left"/>
        <w:rPr>
          <w:b w:val="0"/>
          <w:bCs w:val="0"/>
        </w:rPr>
      </w:pPr>
      <w:bookmarkStart w:name="_TOC_250007" w:id="3"/>
      <w:r>
        <w:rPr/>
        <w:t>第三节</w:t>
      </w:r>
      <w:r>
        <w:rPr>
          <w:spacing w:val="-5"/>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338" w:lineRule="auto" w:before="117"/>
        <w:ind w:right="8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主要会计数据</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608"/>
        <w:gridCol w:w="1749"/>
        <w:gridCol w:w="1740"/>
        <w:gridCol w:w="1738"/>
        <w:gridCol w:w="1735"/>
      </w:tblGrid>
      <w:tr>
        <w:trPr>
          <w:trHeight w:val="403"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106,933,127.74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168,232,374.76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-36.44%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206,140,342.82</w:t>
            </w:r>
          </w:p>
        </w:tc>
      </w:tr>
      <w:tr>
        <w:trPr>
          <w:trHeight w:val="404"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4,234,603.33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46,202,863.80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77,158,058.25</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52,810,629.36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67,002,927.30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96,961,142.70</w:t>
            </w:r>
          </w:p>
        </w:tc>
      </w:tr>
      <w:tr>
        <w:trPr>
          <w:trHeight w:val="715"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47,875,614.78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64,265,102.98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88,814,940.06</w:t>
            </w:r>
          </w:p>
        </w:tc>
      </w:tr>
      <w:tr>
        <w:trPr>
          <w:trHeight w:val="713"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7,730,809.26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52,335,946.70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81,748,642.95</w:t>
            </w:r>
          </w:p>
        </w:tc>
      </w:tr>
      <w:tr>
        <w:trPr>
          <w:trHeight w:val="715"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35,057,558.28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41,058,337.02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94,320,045.64</w:t>
            </w:r>
          </w:p>
        </w:tc>
      </w:tr>
      <w:tr>
        <w:trPr>
          <w:trHeight w:val="161" w:hRule="exact"/>
        </w:trPr>
        <w:tc>
          <w:tcPr>
            <w:tcW w:w="26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608"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6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1,111,384,350.29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1,120,134,761.17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224,729,620.70</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27,793,877.01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36,419,327.18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30,484,074.91</w:t>
            </w:r>
          </w:p>
        </w:tc>
      </w:tr>
      <w:tr>
        <w:trPr>
          <w:trHeight w:val="715"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2"/>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 益（元）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1,083,590,473.28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1,083,715,433.99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194,245,545.79</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104,000,000.00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r>
    </w:tbl>
    <w:p>
      <w:pPr>
        <w:spacing w:line="240" w:lineRule="auto" w:before="4"/>
        <w:rPr>
          <w:rFonts w:ascii="宋体" w:hAnsi="宋体" w:cs="宋体" w:eastAsia="宋体" w:hint="default"/>
          <w:sz w:val="27"/>
          <w:szCs w:val="27"/>
        </w:rPr>
      </w:pPr>
    </w:p>
    <w:p>
      <w:pPr>
        <w:pStyle w:val="BodyText"/>
        <w:spacing w:line="240" w:lineRule="auto" w:before="44"/>
        <w:ind w:right="0"/>
        <w:jc w:val="left"/>
      </w:pPr>
      <w:r>
        <w:rPr/>
        <w:t>主要财务指标</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01"/>
        <w:gridCol w:w="1749"/>
        <w:gridCol w:w="1736"/>
        <w:gridCol w:w="1738"/>
        <w:gridCol w:w="1735"/>
      </w:tblGrid>
      <w:tr>
        <w:trPr>
          <w:trHeight w:val="40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0.4603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0.6898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1.1387</w:t>
            </w:r>
          </w:p>
        </w:tc>
      </w:tr>
      <w:tr>
        <w:trPr>
          <w:trHeight w:val="404"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0.4603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0.6898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1.1387</w:t>
            </w:r>
          </w:p>
        </w:tc>
      </w:tr>
      <w:tr>
        <w:trPr>
          <w:trHeight w:val="71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 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-86.77%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w:t>
            </w:r>
          </w:p>
        </w:tc>
      </w:tr>
      <w:tr>
        <w:trPr>
          <w:trHeight w:val="40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59.17%</w:t>
            </w:r>
          </w:p>
        </w:tc>
      </w:tr>
      <w:tr>
        <w:trPr>
          <w:trHeight w:val="401"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59.17%</w:t>
            </w:r>
          </w:p>
        </w:tc>
      </w:tr>
      <w:tr>
        <w:trPr>
          <w:trHeight w:val="715"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 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54.47%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612"/>
        <w:gridCol w:w="1738"/>
        <w:gridCol w:w="1736"/>
        <w:gridCol w:w="1738"/>
        <w:gridCol w:w="1735"/>
      </w:tblGrid>
      <w:tr>
        <w:trPr>
          <w:trHeight w:val="401"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715"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67"/>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54.47%</w:t>
            </w:r>
          </w:p>
        </w:tc>
      </w:tr>
      <w:tr>
        <w:trPr>
          <w:trHeight w:val="714"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9"/>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1.57</w:t>
            </w:r>
          </w:p>
        </w:tc>
      </w:tr>
      <w:tr>
        <w:trPr>
          <w:trHeight w:val="162" w:hRule="exact"/>
        </w:trPr>
        <w:tc>
          <w:tcPr>
            <w:tcW w:w="2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left="4"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612" w:type="dxa"/>
            <w:tcBorders>
              <w:top w:val="nil" w:sz="6" w:space="0" w:color="auto"/>
              <w:left w:val="single" w:sz="4" w:space="0" w:color="000000"/>
              <w:bottom w:val="nil" w:sz="6" w:space="0" w:color="auto"/>
              <w:right w:val="single" w:sz="4" w:space="0" w:color="000000"/>
            </w:tcBorders>
            <w:shd w:val="clear" w:color="auto" w:fill="D2D2D2"/>
          </w:tcPr>
          <w:p>
            <w:pPr/>
          </w:p>
        </w:tc>
        <w:tc>
          <w:tcPr>
            <w:tcW w:w="1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9"/>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 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3.24</w:t>
            </w:r>
          </w:p>
        </w:tc>
      </w:tr>
      <w:tr>
        <w:trPr>
          <w:trHeight w:val="403"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-0.75%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13.56%</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85"/>
        <w:gridCol w:w="1729"/>
        <w:gridCol w:w="2004"/>
        <w:gridCol w:w="1769"/>
        <w:gridCol w:w="1771"/>
      </w:tblGrid>
      <w:tr>
        <w:trPr>
          <w:trHeight w:val="206" w:hRule="exact"/>
        </w:trPr>
        <w:tc>
          <w:tcPr>
            <w:tcW w:w="2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6" w:hRule="exact"/>
        </w:trPr>
        <w:tc>
          <w:tcPr>
            <w:tcW w:w="2285" w:type="dxa"/>
            <w:vMerge w:val="restart"/>
            <w:tcBorders>
              <w:top w:val="nil" w:sz="6" w:space="0" w:color="auto"/>
              <w:left w:val="single" w:sz="4" w:space="0" w:color="000000"/>
              <w:right w:val="single" w:sz="4" w:space="0" w:color="000000"/>
            </w:tcBorders>
            <w:shd w:val="clear" w:color="auto" w:fill="D2D2D2"/>
          </w:tcPr>
          <w:p>
            <w:pPr/>
          </w:p>
        </w:tc>
        <w:tc>
          <w:tcPr>
            <w:tcW w:w="3733"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85" w:type="dxa"/>
            <w:vMerge/>
            <w:tcBorders>
              <w:left w:val="single" w:sz="4" w:space="0" w:color="000000"/>
              <w:bottom w:val="nil" w:sz="6" w:space="0" w:color="auto"/>
              <w:right w:val="single" w:sz="4" w:space="0" w:color="000000"/>
            </w:tcBorders>
            <w:shd w:val="clear" w:color="auto" w:fill="D2D2D2"/>
          </w:tcPr>
          <w:p>
            <w:pP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9"/>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55" w:right="0"/>
              <w:jc w:val="left"/>
              <w:rPr>
                <w:rFonts w:ascii="Times New Roman" w:hAnsi="Times New Roman" w:cs="Times New Roman" w:eastAsia="Times New Roman" w:hint="default"/>
                <w:sz w:val="18"/>
                <w:szCs w:val="18"/>
              </w:rPr>
            </w:pPr>
            <w:r>
              <w:rPr>
                <w:rFonts w:ascii="Times New Roman"/>
                <w:sz w:val="18"/>
              </w:rPr>
              <w:t>47,875,614.78</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64,265,102.98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1,083,590,473.28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1,083,715,433.99</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97"/>
        <w:gridCol w:w="1729"/>
        <w:gridCol w:w="2004"/>
        <w:gridCol w:w="1769"/>
        <w:gridCol w:w="1771"/>
      </w:tblGrid>
      <w:tr>
        <w:trPr>
          <w:trHeight w:val="206" w:hRule="exact"/>
        </w:trPr>
        <w:tc>
          <w:tcPr>
            <w:tcW w:w="2297"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2" w:hRule="exact"/>
        </w:trPr>
        <w:tc>
          <w:tcPr>
            <w:tcW w:w="2297" w:type="dxa"/>
            <w:vMerge w:val="restart"/>
            <w:tcBorders>
              <w:top w:val="nil" w:sz="6" w:space="0" w:color="auto"/>
              <w:left w:val="single" w:sz="4" w:space="0" w:color="000000"/>
              <w:right w:val="single" w:sz="4" w:space="0" w:color="000000"/>
            </w:tcBorders>
            <w:shd w:val="clear" w:color="auto" w:fill="D2D2D2"/>
          </w:tcPr>
          <w:p>
            <w:pPr/>
          </w:p>
        </w:tc>
        <w:tc>
          <w:tcPr>
            <w:tcW w:w="3733"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297" w:type="dxa"/>
            <w:vMerge/>
            <w:tcBorders>
              <w:left w:val="single" w:sz="4" w:space="0" w:color="000000"/>
              <w:bottom w:val="nil" w:sz="6" w:space="0" w:color="auto"/>
              <w:right w:val="single" w:sz="4" w:space="0" w:color="000000"/>
            </w:tcBorders>
            <w:shd w:val="clear" w:color="auto" w:fill="D2D2D2"/>
          </w:tcPr>
          <w:p>
            <w:pP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4" w:hRule="exact"/>
        </w:trPr>
        <w:tc>
          <w:tcPr>
            <w:tcW w:w="22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55" w:right="0"/>
              <w:jc w:val="left"/>
              <w:rPr>
                <w:rFonts w:ascii="Times New Roman" w:hAnsi="Times New Roman" w:cs="Times New Roman" w:eastAsia="Times New Roman" w:hint="default"/>
                <w:sz w:val="18"/>
                <w:szCs w:val="18"/>
              </w:rPr>
            </w:pPr>
            <w:r>
              <w:rPr>
                <w:rFonts w:ascii="Times New Roman"/>
                <w:sz w:val="18"/>
              </w:rPr>
              <w:t>47,875,614.78</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64,265,102.98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1,083,590,473.28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1,083,715,433.99</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、境内外会计准则下会计数据差异说明</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right="0"/>
        <w:jc w:val="left"/>
        <w:rPr>
          <w:b w:val="0"/>
          <w:bCs w:val="0"/>
        </w:rPr>
      </w:pPr>
      <w:r>
        <w:rPr/>
        <w:t>三、报告期内非经常性损益的项目及金额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44,523,630.00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12,916,000.00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7,535,000.00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81,961.80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-17,978.05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104,240.12</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4,460,786.28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968,865.67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572,943.01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40,144,805.52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11,929,156.28</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7,066,297.11</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both"/>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52"/>
        <w:jc w:val="both"/>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四、重大风险提示</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3" w:right="173"/>
        <w:jc w:val="left"/>
      </w:pPr>
      <w:r>
        <w:rPr>
          <w:rFonts w:ascii="Times New Roman" w:hAnsi="Times New Roman" w:cs="Times New Roman" w:eastAsia="Times New Roman" w:hint="default"/>
        </w:rPr>
        <w:t>1</w:t>
      </w:r>
      <w:r>
        <w:rPr/>
        <w:t>、市场销售的风险 公司芯片产品为</w:t>
      </w:r>
      <w:r>
        <w:rPr>
          <w:rFonts w:ascii="Times New Roman" w:hAnsi="Times New Roman" w:cs="Times New Roman" w:eastAsia="Times New Roman" w:hint="default"/>
        </w:rPr>
        <w:t>MIPS</w:t>
      </w:r>
      <w:r>
        <w:rPr/>
        <w:t>架构，在移动互联网终端产品市场一直存在着软件生态问题，尽管公司付出了持续努力，致力于</w:t>
      </w:r>
    </w:p>
    <w:p>
      <w:pPr>
        <w:pStyle w:val="BodyText"/>
        <w:spacing w:line="312" w:lineRule="auto" w:before="13"/>
        <w:ind w:right="150"/>
        <w:jc w:val="both"/>
      </w:pPr>
      <w:r>
        <w:rPr/>
        <w:t>推动</w:t>
      </w:r>
      <w:r>
        <w:rPr>
          <w:rFonts w:ascii="Times New Roman" w:hAnsi="Times New Roman" w:cs="Times New Roman" w:eastAsia="Times New Roman" w:hint="default"/>
        </w:rPr>
        <w:t>MIPS</w:t>
      </w:r>
      <w:r>
        <w:rPr/>
        <w:t>架构软件生态的改善，但由于软件生态涉及全球行业市场中产业链的众多环节，报告期内该问题没有得到有效解 </w:t>
      </w:r>
      <w:r>
        <w:rPr>
          <w:spacing w:val="-2"/>
        </w:rPr>
        <w:t>决。软件生态问题直接影响了公司在移动互联网终端产品市场的销售，如果软件生态始终不能得到有效解决，公司在移动终</w:t>
      </w:r>
      <w:r>
        <w:rPr>
          <w:spacing w:val="-63"/>
        </w:rPr>
        <w:t> </w:t>
      </w:r>
      <w:r>
        <w:rPr>
          <w:spacing w:val="-63"/>
        </w:rPr>
      </w:r>
      <w:r>
        <w:rPr>
          <w:spacing w:val="-2"/>
        </w:rPr>
        <w:t>端市场尤其是移动互联网终端产品市场的销售将具有不确定性。公司将持续进行软件生态的改善工作，并将加快开拓其他市</w:t>
      </w:r>
      <w:r>
        <w:rPr>
          <w:spacing w:val="-64"/>
        </w:rPr>
        <w:t> </w:t>
      </w:r>
      <w:r>
        <w:rPr>
          <w:spacing w:val="-64"/>
        </w:rPr>
      </w:r>
      <w:r>
        <w:rPr/>
        <w:t>场领域，以分散单一市场销售对公司业绩的影响。</w:t>
      </w:r>
    </w:p>
    <w:p>
      <w:pPr>
        <w:pStyle w:val="BodyText"/>
        <w:spacing w:line="300" w:lineRule="auto" w:before="22"/>
        <w:ind w:left="513" w:right="0"/>
        <w:jc w:val="left"/>
      </w:pPr>
      <w:r>
        <w:rPr>
          <w:rFonts w:ascii="Times New Roman" w:hAnsi="Times New Roman" w:cs="Times New Roman" w:eastAsia="Times New Roman" w:hint="default"/>
        </w:rPr>
        <w:t>2</w:t>
      </w:r>
      <w:r>
        <w:rPr/>
        <w:t>、毛利率下降的风险 </w:t>
      </w:r>
      <w:r>
        <w:rPr>
          <w:spacing w:val="-2"/>
        </w:rPr>
        <w:t>随着国内电子产业的发展，电子行业尤其是消费类电子产品竞争不断加剧，带动产品价格不断下滑，芯片产品的价格也</w:t>
      </w:r>
    </w:p>
    <w:p>
      <w:pPr>
        <w:pStyle w:val="BodyText"/>
        <w:spacing w:line="316" w:lineRule="auto" w:before="31"/>
        <w:ind w:right="151"/>
        <w:jc w:val="both"/>
      </w:pPr>
      <w:r>
        <w:rPr>
          <w:spacing w:val="-2"/>
        </w:rPr>
        <w:t>呈下降趋势，产品销售价格的下降将可能导致产品毛利率下降。公司将加强产品的成本管理，加大市场推广力度，努力提高</w:t>
      </w:r>
      <w:r>
        <w:rPr>
          <w:spacing w:val="-64"/>
        </w:rPr>
        <w:t> </w:t>
      </w:r>
      <w:r>
        <w:rPr>
          <w:spacing w:val="-64"/>
        </w:rPr>
      </w:r>
      <w:r>
        <w:rPr/>
        <w:t>产品销量，以保持良好的盈利水平，同时不断开发新产品，带动公司整体的毛利率水平。</w:t>
      </w:r>
    </w:p>
    <w:p>
      <w:pPr>
        <w:pStyle w:val="BodyText"/>
        <w:spacing w:line="300" w:lineRule="auto" w:before="19"/>
        <w:ind w:left="513" w:right="0"/>
        <w:jc w:val="left"/>
      </w:pPr>
      <w:r>
        <w:rPr>
          <w:rFonts w:ascii="Times New Roman" w:hAnsi="Times New Roman" w:cs="Times New Roman" w:eastAsia="Times New Roman" w:hint="default"/>
        </w:rPr>
        <w:t>3</w:t>
      </w:r>
      <w:r>
        <w:rPr/>
        <w:t>、募投项目实施的风险 </w:t>
      </w:r>
      <w:r>
        <w:rPr>
          <w:spacing w:val="-2"/>
        </w:rPr>
        <w:t>公司募集资金投资项目均围绕公司的主营业务展开，符合国家的产业政策，并将进一步提高公司的研发实力和产品的竞</w:t>
      </w:r>
    </w:p>
    <w:p>
      <w:pPr>
        <w:pStyle w:val="BodyText"/>
        <w:spacing w:line="319" w:lineRule="auto" w:before="31"/>
        <w:ind w:right="150"/>
        <w:jc w:val="both"/>
      </w:pPr>
      <w:r>
        <w:rPr>
          <w:spacing w:val="-2"/>
        </w:rPr>
        <w:t>争力，有助于公司保持市场竞争优势，进一步拓宽发展空间。但由于芯片的研发和市场推广中，面临着技术替代、政策环境</w:t>
      </w:r>
      <w:r>
        <w:rPr>
          <w:spacing w:val="-66"/>
        </w:rPr>
        <w:t> </w:t>
      </w:r>
      <w:r>
        <w:rPr>
          <w:spacing w:val="-66"/>
        </w:rPr>
      </w:r>
      <w:r>
        <w:rPr>
          <w:spacing w:val="-2"/>
        </w:rPr>
        <w:t>变化、用户需求及市场供求关系改变等不确定性，如市场发生重大变化，或公司推出的新产品无法满足市场需求，将可能影</w:t>
      </w:r>
      <w:r>
        <w:rPr>
          <w:spacing w:val="-65"/>
        </w:rPr>
        <w:t> </w:t>
      </w:r>
      <w:r>
        <w:rPr>
          <w:spacing w:val="-65"/>
        </w:rPr>
      </w:r>
      <w:r>
        <w:rPr>
          <w:spacing w:val="-2"/>
        </w:rPr>
        <w:t>响募投项目的效益实现。同时，由于募投项目有一定的建设周期，从募集资金投入到实际产生效益需要一定的时间，短期内</w:t>
      </w:r>
      <w:r>
        <w:rPr>
          <w:spacing w:val="-65"/>
        </w:rPr>
        <w:t> </w:t>
      </w:r>
      <w:r>
        <w:rPr>
          <w:spacing w:val="-65"/>
        </w:rPr>
      </w:r>
      <w:r>
        <w:rPr>
          <w:spacing w:val="-2"/>
        </w:rPr>
        <w:t>可能会影响公司的净资产收益率。公司将加快募投项目的实施步伐，加强对募投项目的管理和监督，根据市场变化情况及时</w:t>
      </w:r>
      <w:r>
        <w:rPr>
          <w:spacing w:val="-63"/>
        </w:rPr>
        <w:t> </w:t>
      </w:r>
      <w:r>
        <w:rPr>
          <w:spacing w:val="-63"/>
        </w:rPr>
      </w:r>
      <w:r>
        <w:rPr/>
        <w:t>调整公司募投项目，从技术、市场和管理等各个环节保障募投项目的顺利实施。</w:t>
      </w:r>
    </w:p>
    <w:p>
      <w:pPr>
        <w:pStyle w:val="BodyText"/>
        <w:spacing w:line="338" w:lineRule="auto" w:before="58"/>
        <w:ind w:left="513" w:right="0"/>
        <w:jc w:val="left"/>
      </w:pPr>
      <w:r>
        <w:rPr>
          <w:rFonts w:ascii="Times New Roman" w:hAnsi="Times New Roman" w:cs="Times New Roman" w:eastAsia="Times New Roman" w:hint="default"/>
        </w:rPr>
        <w:t>4</w:t>
      </w:r>
      <w:r>
        <w:rPr/>
        <w:t>、产品开发风险 </w:t>
      </w:r>
      <w:r>
        <w:rPr>
          <w:spacing w:val="-2"/>
        </w:rPr>
        <w:t>集成电路行业产品和技术更新换代较快，需要公司不断推出新产品，如公司的产品开发不能很好地吻合市场需求，则可</w:t>
      </w:r>
    </w:p>
    <w:p>
      <w:pPr>
        <w:pStyle w:val="BodyText"/>
        <w:spacing w:line="316" w:lineRule="auto" w:before="2"/>
        <w:ind w:right="155"/>
        <w:jc w:val="both"/>
      </w:pPr>
      <w:r>
        <w:rPr>
          <w:spacing w:val="-2"/>
        </w:rPr>
        <w:t>能对公司的发展带来不利。公司将加强市场调研，加强研发管理，优化产品开发流程，加强产品立项评估管理，加快产品开</w:t>
      </w:r>
      <w:r>
        <w:rPr>
          <w:spacing w:val="-67"/>
        </w:rPr>
        <w:t> </w:t>
      </w:r>
      <w:r>
        <w:rPr>
          <w:spacing w:val="-67"/>
        </w:rPr>
      </w:r>
      <w:r>
        <w:rPr/>
        <w:t>发进度。</w:t>
      </w:r>
    </w:p>
    <w:p>
      <w:pPr>
        <w:pStyle w:val="BodyText"/>
        <w:spacing w:line="338" w:lineRule="auto" w:before="59"/>
        <w:ind w:left="513" w:right="0"/>
        <w:jc w:val="left"/>
      </w:pPr>
      <w:r>
        <w:rPr>
          <w:rFonts w:ascii="Times New Roman" w:hAnsi="Times New Roman" w:cs="Times New Roman" w:eastAsia="Times New Roman" w:hint="default"/>
        </w:rPr>
        <w:t>5</w:t>
      </w:r>
      <w:r>
        <w:rPr/>
        <w:t>、技术人员人力成本增加的风险 </w:t>
      </w:r>
      <w:r>
        <w:rPr>
          <w:spacing w:val="-2"/>
        </w:rPr>
        <w:t>公司研发投入中技术人员的薪酬和福利费支出所占比重较大。随着公司规模的扩大和</w:t>
      </w:r>
      <w:r>
        <w:rPr>
          <w:rFonts w:ascii="Times New Roman" w:hAnsi="Times New Roman" w:cs="Times New Roman" w:eastAsia="Times New Roman" w:hint="default"/>
          <w:spacing w:val="-2"/>
        </w:rPr>
        <w:t>IC</w:t>
      </w:r>
      <w:r>
        <w:rPr>
          <w:spacing w:val="-2"/>
        </w:rPr>
        <w:t>设计领域高技术人才薪酬水平的</w:t>
      </w:r>
    </w:p>
    <w:p>
      <w:pPr>
        <w:pStyle w:val="BodyText"/>
        <w:spacing w:line="217" w:lineRule="exact"/>
        <w:ind w:right="0"/>
        <w:jc w:val="both"/>
      </w:pPr>
      <w:r>
        <w:rPr/>
        <w:t>不断提高，公司技术人力成本可能会进一步增加，从而导致研发支出不断增长。公司将进一步完善薪酬福利制度，对员工进</w:t>
      </w:r>
    </w:p>
    <w:p>
      <w:pPr>
        <w:pStyle w:val="BodyText"/>
        <w:spacing w:line="240" w:lineRule="auto" w:before="77"/>
        <w:ind w:right="0"/>
        <w:jc w:val="both"/>
      </w:pPr>
      <w:r>
        <w:rPr/>
        <w:t>行多种方式的激励，在寻求发展的同时合理控制费用的支出。</w:t>
      </w:r>
    </w:p>
    <w:p>
      <w:pPr>
        <w:spacing w:after="0" w:line="240" w:lineRule="auto"/>
        <w:jc w:val="both"/>
        <w:sectPr>
          <w:pgSz w:w="11910" w:h="16840"/>
          <w:pgMar w:header="877" w:footer="980"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3590" w:right="3631"/>
        <w:jc w:val="center"/>
        <w:rPr>
          <w:b w:val="0"/>
          <w:bCs w:val="0"/>
        </w:rPr>
      </w:pPr>
      <w:bookmarkStart w:name="_TOC_250006"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一、管理层讨论与分析</w:t>
      </w:r>
      <w:r>
        <w:rPr>
          <w:b w:val="0"/>
          <w:bCs w:val="0"/>
        </w:rPr>
      </w:r>
    </w:p>
    <w:p>
      <w:pPr>
        <w:spacing w:line="240" w:lineRule="auto" w:before="6"/>
        <w:rPr>
          <w:rFonts w:ascii="宋体" w:hAnsi="宋体" w:cs="宋体" w:eastAsia="宋体" w:hint="default"/>
          <w:b/>
          <w:bCs/>
          <w:sz w:val="26"/>
          <w:szCs w:val="26"/>
        </w:rPr>
      </w:pPr>
    </w:p>
    <w:p>
      <w:pPr>
        <w:pStyle w:val="BodyText"/>
        <w:spacing w:line="304" w:lineRule="auto"/>
        <w:ind w:right="0" w:firstLine="360"/>
        <w:jc w:val="left"/>
      </w:pPr>
      <w:r>
        <w:rPr>
          <w:rFonts w:ascii="Times New Roman" w:hAnsi="Times New Roman" w:cs="Times New Roman" w:eastAsia="Times New Roman" w:hint="default"/>
          <w:spacing w:val="-4"/>
        </w:rPr>
        <w:t>2012</w:t>
      </w:r>
      <w:r>
        <w:rPr>
          <w:spacing w:val="-4"/>
        </w:rPr>
        <w:t>年公司业务面临着巨大的挑战，国内移动互联网终端产品市场得到爆发式增长，平板电脑和智能手机市场迅猛发展，</w:t>
      </w:r>
      <w:r>
        <w:rPr/>
        <w:t> 其中平板电脑类产品对</w:t>
      </w:r>
      <w:r>
        <w:rPr>
          <w:rFonts w:ascii="Times New Roman" w:hAnsi="Times New Roman" w:cs="Times New Roman" w:eastAsia="Times New Roman" w:hint="default"/>
        </w:rPr>
        <w:t>PMP</w:t>
      </w:r>
      <w:r>
        <w:rPr/>
        <w:t>市场形成强力冲击，逐渐取代了原有的</w:t>
      </w:r>
      <w:r>
        <w:rPr>
          <w:rFonts w:ascii="Times New Roman" w:hAnsi="Times New Roman" w:cs="Times New Roman" w:eastAsia="Times New Roman" w:hint="default"/>
        </w:rPr>
        <w:t>MP4</w:t>
      </w:r>
      <w:r>
        <w:rPr/>
        <w:t>类产品。由于公司芯片产品为</w:t>
      </w:r>
      <w:r>
        <w:rPr>
          <w:rFonts w:ascii="Times New Roman" w:hAnsi="Times New Roman" w:cs="Times New Roman" w:eastAsia="Times New Roman" w:hint="default"/>
        </w:rPr>
        <w:t>MIPS</w:t>
      </w:r>
      <w:r>
        <w:rPr/>
        <w:t>架构，在移动互 联网终端产品市场一直存在着软件生态问题，尽管公司付出了持续努力，致力于推动</w:t>
      </w:r>
      <w:r>
        <w:rPr>
          <w:rFonts w:ascii="Times New Roman" w:hAnsi="Times New Roman" w:cs="Times New Roman" w:eastAsia="Times New Roman" w:hint="default"/>
        </w:rPr>
        <w:t>MIPS</w:t>
      </w:r>
      <w:r>
        <w:rPr/>
        <w:t>架构软件生态的改善，但由于软 </w:t>
      </w:r>
      <w:r>
        <w:rPr>
          <w:spacing w:val="-2"/>
        </w:rPr>
        <w:t>件生态涉及全球行业市场中产业链的众多环节，报告期内该问题没有得到有效解决，仍然是公司市场销售的一大障碍。上述</w:t>
      </w:r>
      <w:r>
        <w:rPr>
          <w:spacing w:val="-63"/>
        </w:rPr>
        <w:t> </w:t>
      </w:r>
      <w:r>
        <w:rPr>
          <w:spacing w:val="-63"/>
        </w:rPr>
      </w:r>
      <w:r>
        <w:rPr/>
        <w:t>因素导致公司</w:t>
      </w:r>
      <w:r>
        <w:rPr>
          <w:rFonts w:ascii="Times New Roman" w:hAnsi="Times New Roman" w:cs="Times New Roman" w:eastAsia="Times New Roman" w:hint="default"/>
        </w:rPr>
        <w:t>2012</w:t>
      </w:r>
      <w:r>
        <w:rPr/>
        <w:t>年经营业绩出现较大幅度下滑，报告期内，公司实现营业总收入</w:t>
      </w:r>
      <w:r>
        <w:rPr>
          <w:rFonts w:ascii="Times New Roman" w:hAnsi="Times New Roman" w:cs="Times New Roman" w:eastAsia="Times New Roman" w:hint="default"/>
        </w:rPr>
        <w:t>10,693.31</w:t>
      </w:r>
      <w:r>
        <w:rPr/>
        <w:t>万元，同比下降</w:t>
      </w:r>
      <w:r>
        <w:rPr>
          <w:rFonts w:ascii="Times New Roman" w:hAnsi="Times New Roman" w:cs="Times New Roman" w:eastAsia="Times New Roman" w:hint="default"/>
        </w:rPr>
        <w:t>36.44%</w:t>
      </w:r>
      <w:r>
        <w:rPr/>
        <w:t>；实现 净利润</w:t>
      </w:r>
      <w:r>
        <w:rPr>
          <w:rFonts w:ascii="Times New Roman" w:hAnsi="Times New Roman" w:cs="Times New Roman" w:eastAsia="Times New Roman" w:hint="default"/>
        </w:rPr>
        <w:t>4,787.56</w:t>
      </w:r>
      <w:r>
        <w:rPr/>
        <w:t>万元，同比下降</w:t>
      </w:r>
      <w:r>
        <w:rPr>
          <w:rFonts w:ascii="Times New Roman" w:hAnsi="Times New Roman" w:cs="Times New Roman" w:eastAsia="Times New Roman" w:hint="default"/>
        </w:rPr>
        <w:t>25.50%</w:t>
      </w:r>
      <w:r>
        <w:rPr/>
        <w:t>。</w:t>
      </w:r>
    </w:p>
    <w:p>
      <w:pPr>
        <w:pStyle w:val="BodyText"/>
        <w:spacing w:line="316" w:lineRule="auto" w:before="48"/>
        <w:ind w:right="194" w:firstLine="360"/>
        <w:jc w:val="both"/>
      </w:pPr>
      <w:r>
        <w:rPr>
          <w:spacing w:val="-2"/>
        </w:rPr>
        <w:t>面对在移动领域的销售困境，公司一方面坚持主战场的市场拓展，另一方面积极求变，寻求新的市场机遇，同时，对经</w:t>
      </w:r>
      <w:r>
        <w:rPr/>
        <w:t> 营管理进行不断的调整和改善。</w:t>
      </w:r>
    </w:p>
    <w:p>
      <w:pPr>
        <w:pStyle w:val="BodyText"/>
        <w:spacing w:line="300" w:lineRule="auto" w:before="59"/>
        <w:ind w:right="188" w:firstLine="360"/>
        <w:jc w:val="both"/>
      </w:pPr>
      <w:r>
        <w:rPr>
          <w:spacing w:val="-2"/>
        </w:rPr>
        <w:t>芯片产品的研发方面，公司完成了</w:t>
      </w:r>
      <w:r>
        <w:rPr>
          <w:rFonts w:ascii="Times New Roman" w:hAnsi="Times New Roman" w:cs="Times New Roman" w:eastAsia="Times New Roman" w:hint="default"/>
          <w:spacing w:val="-2"/>
        </w:rPr>
        <w:t>40</w:t>
      </w:r>
      <w:r>
        <w:rPr>
          <w:spacing w:val="-2"/>
        </w:rPr>
        <w:t>纳米双核芯片产品的研发和投片工作，芯片产品达到量产状态，该产品具有很好的</w:t>
      </w:r>
      <w:r>
        <w:rPr/>
        <w:t> </w:t>
      </w:r>
      <w:r>
        <w:rPr>
          <w:spacing w:val="-2"/>
        </w:rPr>
        <w:t>成本优势，可以实现较高的性价比。同时，公司进行了一款</w:t>
      </w:r>
      <w:r>
        <w:rPr>
          <w:rFonts w:ascii="Times New Roman" w:hAnsi="Times New Roman" w:cs="Times New Roman" w:eastAsia="Times New Roman" w:hint="default"/>
          <w:spacing w:val="-2"/>
        </w:rPr>
        <w:t>65</w:t>
      </w:r>
      <w:r>
        <w:rPr>
          <w:spacing w:val="-2"/>
        </w:rPr>
        <w:t>纳米低成本芯片产品的研发和投片，预计于</w:t>
      </w:r>
      <w:r>
        <w:rPr>
          <w:rFonts w:ascii="Times New Roman" w:hAnsi="Times New Roman" w:cs="Times New Roman" w:eastAsia="Times New Roman" w:hint="default"/>
          <w:spacing w:val="-2"/>
        </w:rPr>
        <w:t>2013</w:t>
      </w:r>
      <w:r>
        <w:rPr>
          <w:spacing w:val="-2"/>
        </w:rPr>
        <w:t>年上半年实现</w:t>
      </w:r>
      <w:r>
        <w:rPr>
          <w:spacing w:val="-57"/>
        </w:rPr>
        <w:t> </w:t>
      </w:r>
      <w:r>
        <w:rPr>
          <w:spacing w:val="-57"/>
        </w:rPr>
      </w:r>
      <w:r>
        <w:rPr/>
        <w:t>量产。报告期内，公司展开了第二代</w:t>
      </w:r>
      <w:r>
        <w:rPr>
          <w:rFonts w:ascii="Times New Roman" w:hAnsi="Times New Roman" w:cs="Times New Roman" w:eastAsia="Times New Roman" w:hint="default"/>
        </w:rPr>
        <w:t>CPU</w:t>
      </w:r>
      <w:r>
        <w:rPr/>
        <w:t>核</w:t>
      </w:r>
      <w:r>
        <w:rPr>
          <w:rFonts w:ascii="Times New Roman" w:hAnsi="Times New Roman" w:cs="Times New Roman" w:eastAsia="Times New Roman" w:hint="default"/>
        </w:rPr>
        <w:t>Xburst2</w:t>
      </w:r>
      <w:r>
        <w:rPr/>
        <w:t>的研发，完成了</w:t>
      </w:r>
      <w:r>
        <w:rPr>
          <w:rFonts w:ascii="Times New Roman" w:hAnsi="Times New Roman" w:cs="Times New Roman" w:eastAsia="Times New Roman" w:hint="default"/>
        </w:rPr>
        <w:t>Xburst2</w:t>
      </w:r>
      <w:r>
        <w:rPr/>
        <w:t>微架构和流水线的设计定型。</w:t>
      </w:r>
    </w:p>
    <w:p>
      <w:pPr>
        <w:pStyle w:val="BodyText"/>
        <w:spacing w:line="316" w:lineRule="auto" w:before="53"/>
        <w:ind w:right="193" w:firstLine="360"/>
        <w:jc w:val="both"/>
      </w:pPr>
      <w:r>
        <w:rPr>
          <w:spacing w:val="-2"/>
        </w:rPr>
        <w:t>方案研发方面，除了平板电脑方案的强力推进，公司还进行了智能电视机顶盒、网络音响、北斗手机和智能手表等方案</w:t>
      </w:r>
      <w:r>
        <w:rPr/>
        <w:t> 的研发，其中智能电视机顶盒、网络音响和北斗手机方案已基本成熟，智能手表方案尚处于早期研发阶段。</w:t>
      </w:r>
    </w:p>
    <w:p>
      <w:pPr>
        <w:pStyle w:val="BodyText"/>
        <w:spacing w:line="314" w:lineRule="auto" w:before="57"/>
        <w:ind w:right="189" w:firstLine="360"/>
        <w:jc w:val="both"/>
      </w:pPr>
      <w:r>
        <w:rPr>
          <w:spacing w:val="-2"/>
        </w:rPr>
        <w:t>市场推广方面，公司一直坚持不懈地在主战场移动互联网终端产品市场进行突破，尽管报告期内未能克服该市场的销售</w:t>
      </w:r>
      <w:r>
        <w:rPr/>
        <w:t> 障碍，但在软件生态的改善工作中积累了宝贵经验，建立了一定的业界关系，形成了完整的基于</w:t>
      </w:r>
      <w:r>
        <w:rPr>
          <w:rFonts w:ascii="Times New Roman" w:hAnsi="Times New Roman" w:cs="Times New Roman" w:eastAsia="Times New Roman" w:hint="default"/>
        </w:rPr>
        <w:t>Android</w:t>
      </w:r>
      <w:r>
        <w:rPr/>
        <w:t>操作系统的软硬件 </w:t>
      </w:r>
      <w:r>
        <w:rPr>
          <w:spacing w:val="-2"/>
        </w:rPr>
        <w:t>方案，公司将持续进行移动互联网终端产品市场的拓展。针对移动终端市场未能实现破局这一客观事实，公司不断进行反思</w:t>
      </w:r>
      <w:r>
        <w:rPr>
          <w:spacing w:val="-62"/>
        </w:rPr>
        <w:t> </w:t>
      </w:r>
      <w:r>
        <w:rPr>
          <w:spacing w:val="-62"/>
        </w:rPr>
      </w:r>
      <w:r>
        <w:rPr>
          <w:spacing w:val="-2"/>
        </w:rPr>
        <w:t>并调整市场策略，关注市场热点，积极寻找行业市场机会，拓展智能电视机顶盒、智能手表等其他市场领域，并加强重点客</w:t>
      </w:r>
      <w:r>
        <w:rPr>
          <w:spacing w:val="-67"/>
        </w:rPr>
        <w:t> </w:t>
      </w:r>
      <w:r>
        <w:rPr>
          <w:spacing w:val="-67"/>
        </w:rPr>
      </w:r>
      <w:r>
        <w:rPr/>
        <w:t>户的支持与服务。</w:t>
      </w:r>
    </w:p>
    <w:p>
      <w:pPr>
        <w:pStyle w:val="BodyText"/>
        <w:spacing w:line="316" w:lineRule="auto" w:before="61"/>
        <w:ind w:right="191" w:firstLine="360"/>
        <w:jc w:val="both"/>
      </w:pPr>
      <w:r>
        <w:rPr>
          <w:spacing w:val="-2"/>
        </w:rPr>
        <w:t>为适应快速发展变化的市场，提高研发效率，缩短推出新产品的时间，公司在报告期内进一步加强了研发队伍建设，完</w:t>
      </w:r>
      <w:r>
        <w:rPr/>
        <w:t> </w:t>
      </w:r>
      <w:r>
        <w:rPr>
          <w:spacing w:val="-2"/>
        </w:rPr>
        <w:t>善和优化了研发环节和流程，加强了项目管理与审核机制，注重研发队伍的学习和积累，注重研发人才的培养，以提高公司</w:t>
      </w:r>
      <w:r>
        <w:rPr>
          <w:spacing w:val="-65"/>
        </w:rPr>
        <w:t> </w:t>
      </w:r>
      <w:r>
        <w:rPr>
          <w:spacing w:val="-65"/>
        </w:rPr>
      </w:r>
      <w:r>
        <w:rPr/>
        <w:t>的研发能力和技术储备。</w:t>
      </w:r>
    </w:p>
    <w:p>
      <w:pPr>
        <w:pStyle w:val="BodyText"/>
        <w:spacing w:line="316" w:lineRule="auto" w:before="59"/>
        <w:ind w:right="100" w:firstLine="360"/>
        <w:jc w:val="both"/>
      </w:pPr>
      <w:r>
        <w:rPr>
          <w:spacing w:val="-2"/>
        </w:rPr>
        <w:t>报告期内，公司加强了知识产权方面的工作，通过内外部培训、内部期刊以及物质奖励等多种方式，促进公司知识产权</w:t>
      </w:r>
      <w:r>
        <w:rPr/>
        <w:t> </w:t>
      </w:r>
      <w:r>
        <w:rPr>
          <w:spacing w:val="-2"/>
        </w:rPr>
        <w:t>方面的工作。</w:t>
      </w:r>
      <w:r>
        <w:rPr>
          <w:rFonts w:ascii="Times New Roman" w:hAnsi="Times New Roman" w:cs="Times New Roman" w:eastAsia="Times New Roman" w:hint="default"/>
          <w:spacing w:val="-2"/>
        </w:rPr>
        <w:t>2012</w:t>
      </w:r>
      <w:r>
        <w:rPr>
          <w:spacing w:val="-2"/>
        </w:rPr>
        <w:t>年，公司及全资子公司新增发明专利</w:t>
      </w:r>
      <w:r>
        <w:rPr>
          <w:rFonts w:ascii="Times New Roman" w:hAnsi="Times New Roman" w:cs="Times New Roman" w:eastAsia="Times New Roman" w:hint="default"/>
          <w:spacing w:val="-2"/>
        </w:rPr>
        <w:t>2</w:t>
      </w:r>
      <w:r>
        <w:rPr>
          <w:spacing w:val="-2"/>
        </w:rPr>
        <w:t>项，正在申报中的专利</w:t>
      </w:r>
      <w:r>
        <w:rPr>
          <w:rFonts w:ascii="Times New Roman" w:hAnsi="Times New Roman" w:cs="Times New Roman" w:eastAsia="Times New Roman" w:hint="default"/>
          <w:spacing w:val="-2"/>
        </w:rPr>
        <w:t>13</w:t>
      </w:r>
      <w:r>
        <w:rPr>
          <w:spacing w:val="-2"/>
        </w:rPr>
        <w:t>项，新增计算机软件著作权登记证书</w:t>
      </w:r>
      <w:r>
        <w:rPr>
          <w:rFonts w:ascii="Times New Roman" w:hAnsi="Times New Roman" w:cs="Times New Roman" w:eastAsia="Times New Roman" w:hint="default"/>
          <w:spacing w:val="-2"/>
        </w:rPr>
        <w:t>22</w:t>
      </w:r>
      <w:r>
        <w:rPr>
          <w:spacing w:val="-2"/>
        </w:rPr>
        <w:t>项。</w:t>
      </w:r>
    </w:p>
    <w:p>
      <w:pPr>
        <w:pStyle w:val="BodyText"/>
        <w:spacing w:line="300" w:lineRule="auto" w:before="37"/>
        <w:ind w:right="198" w:firstLine="360"/>
        <w:jc w:val="both"/>
      </w:pPr>
      <w:r>
        <w:rPr/>
        <w:t>为更好地进行市场拓展工作，整合公司资源，拓展行业市场，公司拟以自有资金出资</w:t>
      </w:r>
      <w:r>
        <w:rPr>
          <w:rFonts w:ascii="Times New Roman" w:hAnsi="Times New Roman" w:cs="Times New Roman" w:eastAsia="Times New Roman" w:hint="default"/>
        </w:rPr>
        <w:t>300</w:t>
      </w:r>
      <w:r>
        <w:rPr/>
        <w:t>万元人民币，新设成立一家控 股公司，公司持股</w:t>
      </w:r>
      <w:r>
        <w:rPr>
          <w:rFonts w:ascii="Times New Roman" w:hAnsi="Times New Roman" w:cs="Times New Roman" w:eastAsia="Times New Roman" w:hint="default"/>
        </w:rPr>
        <w:t>75%</w:t>
      </w:r>
      <w:r>
        <w:rPr/>
        <w:t>。报告期内，控股公司的设立工作正在进行中，其中设立登记预审已通过。</w:t>
      </w:r>
    </w:p>
    <w:p>
      <w:pPr>
        <w:pStyle w:val="BodyText"/>
        <w:spacing w:line="300" w:lineRule="auto" w:before="53"/>
        <w:ind w:right="191" w:firstLine="360"/>
        <w:jc w:val="both"/>
      </w:pPr>
      <w:r>
        <w:rPr>
          <w:spacing w:val="-2"/>
        </w:rPr>
        <w:t>报告期内，公司研发基地主体施工建设工作基本完成，由于市政工作进度的影响，</w:t>
      </w:r>
      <w:r>
        <w:rPr>
          <w:rFonts w:ascii="Times New Roman" w:hAnsi="Times New Roman" w:cs="Times New Roman" w:eastAsia="Times New Roman" w:hint="default"/>
          <w:spacing w:val="-2"/>
        </w:rPr>
        <w:t>2012</w:t>
      </w:r>
      <w:r>
        <w:rPr>
          <w:spacing w:val="-2"/>
        </w:rPr>
        <w:t>年冬天无法进行冬施，大厦的内</w:t>
      </w:r>
      <w:r>
        <w:rPr/>
        <w:t> 部装修工作还未完成，预计</w:t>
      </w:r>
      <w:r>
        <w:rPr>
          <w:rFonts w:ascii="Times New Roman" w:hAnsi="Times New Roman" w:cs="Times New Roman" w:eastAsia="Times New Roman" w:hint="default"/>
        </w:rPr>
        <w:t>2013</w:t>
      </w:r>
      <w:r>
        <w:rPr/>
        <w:t>年第二季度可完成内部装修，达到可使用状态。</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r>
        <w:rPr/>
        <w:t>二、报告期内主要经营情况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、主营业务分析</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说明</w:t>
      </w:r>
    </w:p>
    <w:p>
      <w:pPr>
        <w:pStyle w:val="BodyText"/>
        <w:spacing w:line="240" w:lineRule="auto" w:before="114"/>
        <w:ind w:left="513" w:right="0"/>
        <w:jc w:val="left"/>
      </w:pPr>
      <w:r>
        <w:rPr>
          <w:rFonts w:ascii="Times New Roman" w:hAnsi="Times New Roman" w:cs="Times New Roman" w:eastAsia="Times New Roman" w:hint="default"/>
        </w:rPr>
        <w:t>2012</w:t>
      </w:r>
      <w:r>
        <w:rPr/>
        <w:t>年，由于受移动互联网终端产品的冲击，国内</w:t>
      </w:r>
      <w:r>
        <w:rPr>
          <w:rFonts w:ascii="Times New Roman" w:hAnsi="Times New Roman" w:cs="Times New Roman" w:eastAsia="Times New Roman" w:hint="default"/>
        </w:rPr>
        <w:t>PMP</w:t>
      </w:r>
      <w:r>
        <w:rPr/>
        <w:t>市场持续衰退，公司消费电子类产品销售收入同比出现较大幅度</w:t>
      </w:r>
    </w:p>
    <w:p>
      <w:pPr>
        <w:pStyle w:val="BodyText"/>
        <w:spacing w:line="240" w:lineRule="auto" w:before="63"/>
        <w:ind w:right="0"/>
        <w:jc w:val="left"/>
      </w:pPr>
      <w:r>
        <w:rPr/>
        <w:t>下滑，而公司在移动互联网终端产品市场的销售受软件生态等因素影响进展缓慢，导致本报告期内公司营业收入同比出现较</w:t>
      </w:r>
    </w:p>
    <w:p>
      <w:pPr>
        <w:spacing w:after="0" w:line="240" w:lineRule="auto"/>
        <w:jc w:val="left"/>
        <w:sectPr>
          <w:pgSz w:w="11910" w:h="16840"/>
          <w:pgMar w:header="877" w:footer="980" w:top="1100" w:bottom="1160" w:left="980" w:right="940"/>
        </w:sectPr>
      </w:pPr>
    </w:p>
    <w:p>
      <w:pPr>
        <w:spacing w:line="240" w:lineRule="auto" w:before="11"/>
        <w:rPr>
          <w:rFonts w:ascii="宋体" w:hAnsi="宋体" w:cs="宋体" w:eastAsia="宋体" w:hint="default"/>
          <w:sz w:val="21"/>
          <w:szCs w:val="21"/>
        </w:rPr>
      </w:pPr>
    </w:p>
    <w:p>
      <w:pPr>
        <w:pStyle w:val="BodyText"/>
        <w:spacing w:line="340" w:lineRule="auto" w:before="44"/>
        <w:ind w:right="3819"/>
        <w:jc w:val="left"/>
      </w:pPr>
      <w:r>
        <w:rPr/>
        <w:t>大幅度下降。报告期内公司实现营业收入</w:t>
      </w:r>
      <w:r>
        <w:rPr>
          <w:rFonts w:ascii="Times New Roman" w:hAnsi="Times New Roman" w:cs="Times New Roman" w:eastAsia="Times New Roman" w:hint="default"/>
        </w:rPr>
        <w:t>10,693.31</w:t>
      </w:r>
      <w:r>
        <w:rPr/>
        <w:t>万元，同比下降</w:t>
      </w:r>
      <w:r>
        <w:rPr>
          <w:rFonts w:ascii="Times New Roman" w:hAnsi="Times New Roman" w:cs="Times New Roman" w:eastAsia="Times New Roman" w:hint="default"/>
        </w:rPr>
        <w:t>36.44%</w:t>
      </w:r>
      <w:r>
        <w:rPr/>
        <w:t>。 公司实物销售收入是否大于劳务收入</w:t>
      </w:r>
    </w:p>
    <w:p>
      <w:pPr>
        <w:pStyle w:val="BodyText"/>
        <w:spacing w:line="240" w:lineRule="auto" w:before="3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28"/>
        <w:gridCol w:w="1891"/>
        <w:gridCol w:w="1926"/>
        <w:gridCol w:w="1913"/>
        <w:gridCol w:w="1916"/>
      </w:tblGrid>
      <w:tr>
        <w:trPr>
          <w:trHeight w:val="401"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分类</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芯片类</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5,727,303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7,959,237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-28.04%</w:t>
            </w:r>
          </w:p>
        </w:tc>
      </w:tr>
      <w:tr>
        <w:trPr>
          <w:trHeight w:val="401"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6,497,002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7,605,463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-14.57%</w:t>
            </w:r>
          </w:p>
        </w:tc>
      </w:tr>
      <w:tr>
        <w:trPr>
          <w:trHeight w:val="403"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1,567,757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798,058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96.45%</w:t>
            </w:r>
          </w:p>
        </w:tc>
      </w:tr>
    </w:tbl>
    <w:p>
      <w:pPr>
        <w:pStyle w:val="BodyText"/>
        <w:spacing w:line="240" w:lineRule="auto" w:before="49"/>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40" w:lineRule="auto" w:before="101"/>
        <w:ind w:right="27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期末成品库存量较去年同期增加</w:t>
      </w:r>
      <w:r>
        <w:rPr>
          <w:rFonts w:ascii="Times New Roman" w:hAnsi="Times New Roman" w:cs="Times New Roman" w:eastAsia="Times New Roman" w:hint="default"/>
        </w:rPr>
        <w:t>96.45%</w:t>
      </w:r>
      <w:r>
        <w:rPr/>
        <w:t>，主要是根据生产计划年底在产品完工入库所致。 公司重大的在手订单情况</w:t>
      </w:r>
    </w:p>
    <w:p>
      <w:pPr>
        <w:pStyle w:val="BodyText"/>
        <w:spacing w:line="340" w:lineRule="auto" w:before="39"/>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数量分散的订单情况</w:t>
      </w:r>
    </w:p>
    <w:p>
      <w:pPr>
        <w:pStyle w:val="BodyText"/>
        <w:spacing w:line="338" w:lineRule="auto" w:before="41"/>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公司报告期内产品或服务发生重大变化或调整有关情况</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芯片类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晶圆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32,526,685.03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43,494,280.89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61.06%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0.37%</w:t>
            </w:r>
          </w:p>
        </w:tc>
      </w:tr>
      <w:tr>
        <w:trPr>
          <w:trHeight w:val="401"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封装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17,878,819.09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24,187,526.64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w:t>
            </w:r>
          </w:p>
        </w:tc>
      </w:tr>
      <w:tr>
        <w:trPr>
          <w:trHeight w:val="403"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测试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2,287,842.28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3,195,666.51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-0.17%</w:t>
            </w:r>
          </w:p>
        </w:tc>
      </w:tr>
      <w:tr>
        <w:trPr>
          <w:trHeight w:val="403" w:hRule="exact"/>
        </w:trPr>
        <w:tc>
          <w:tcPr>
            <w:tcW w:w="1368" w:type="dxa"/>
            <w:vMerge/>
            <w:tcBorders>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260,575.62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355,278.50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53"/>
        <w:gridCol w:w="1649"/>
        <w:gridCol w:w="1637"/>
        <w:gridCol w:w="1462"/>
        <w:gridCol w:w="3627"/>
      </w:tblGrid>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3,811,459.58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4,535,176.84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-15.96%</w:t>
            </w:r>
          </w:p>
        </w:tc>
        <w:tc>
          <w:tcPr>
            <w:tcW w:w="36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71,285,818.84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55,440,232.95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28.58%</w:t>
            </w:r>
          </w:p>
        </w:tc>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研发人员薪酬福利增加、研发投入增加所致</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-29,755,725.64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-13,517,106.03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120.13%</w:t>
            </w:r>
          </w:p>
        </w:tc>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利息收入增加所致</w:t>
            </w:r>
          </w:p>
        </w:tc>
      </w:tr>
      <w:tr>
        <w:trPr>
          <w:trHeight w:val="161"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4,935,014.58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0" w:right="0"/>
              <w:jc w:val="left"/>
              <w:rPr>
                <w:rFonts w:ascii="Times New Roman" w:hAnsi="Times New Roman" w:cs="Times New Roman" w:eastAsia="Times New Roman" w:hint="default"/>
                <w:sz w:val="18"/>
                <w:szCs w:val="18"/>
              </w:rPr>
            </w:pPr>
            <w:r>
              <w:rPr>
                <w:rFonts w:ascii="Times New Roman"/>
                <w:sz w:val="18"/>
              </w:rPr>
              <w:t>2,737,824.32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80.25%</w:t>
            </w:r>
          </w:p>
        </w:tc>
        <w:tc>
          <w:tcPr>
            <w:tcW w:w="3627"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减半所得税税收优惠期届满，本年度按 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的所得税税率缴纳企业所得税。</w:t>
            </w:r>
          </w:p>
        </w:tc>
      </w:tr>
      <w:tr>
        <w:trPr>
          <w:trHeight w:val="391"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3627" w:type="dxa"/>
            <w:vMerge/>
            <w:tcBorders>
              <w:left w:val="single" w:sz="4" w:space="0" w:color="000000"/>
              <w:right w:val="single" w:sz="4" w:space="0" w:color="000000"/>
            </w:tcBorders>
          </w:tcPr>
          <w:p>
            <w:pPr/>
          </w:p>
        </w:tc>
      </w:tr>
      <w:tr>
        <w:trPr>
          <w:trHeight w:val="161"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3627"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）研发投入</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48" w:firstLine="360"/>
        <w:jc w:val="both"/>
      </w:pPr>
      <w:r>
        <w:rPr>
          <w:spacing w:val="-1"/>
        </w:rPr>
        <w:t>公司一直高度重视技术研发，每年都持续加大研发投入，</w:t>
      </w:r>
      <w:r>
        <w:rPr>
          <w:rFonts w:ascii="Times New Roman" w:hAnsi="Times New Roman" w:cs="Times New Roman" w:eastAsia="Times New Roman" w:hint="default"/>
          <w:spacing w:val="-1"/>
        </w:rPr>
        <w:t>2012</w:t>
      </w:r>
      <w:r>
        <w:rPr>
          <w:spacing w:val="-1"/>
        </w:rPr>
        <w:t>年，公司研发投入</w:t>
      </w:r>
      <w:r>
        <w:rPr>
          <w:rFonts w:ascii="Times New Roman" w:hAnsi="Times New Roman" w:cs="Times New Roman" w:eastAsia="Times New Roman" w:hint="default"/>
          <w:spacing w:val="-1"/>
        </w:rPr>
        <w:t>5,632.37</w:t>
      </w:r>
      <w:r>
        <w:rPr>
          <w:spacing w:val="-1"/>
        </w:rPr>
        <w:t>万元，同比增加</w:t>
      </w:r>
      <w:r>
        <w:rPr>
          <w:rFonts w:ascii="Times New Roman" w:hAnsi="Times New Roman" w:cs="Times New Roman" w:eastAsia="Times New Roman" w:hint="default"/>
          <w:spacing w:val="-1"/>
        </w:rPr>
        <w:t>29.15%</w:t>
      </w:r>
      <w:r>
        <w:rPr>
          <w:spacing w:val="-1"/>
        </w:rPr>
        <w:t>，研发</w:t>
      </w:r>
      <w:r>
        <w:rPr/>
        <w:t> </w:t>
      </w:r>
      <w:r>
        <w:rPr>
          <w:spacing w:val="-2"/>
        </w:rPr>
        <w:t>支出无资本化。公司主要完成了</w:t>
      </w:r>
      <w:r>
        <w:rPr>
          <w:rFonts w:ascii="Times New Roman" w:hAnsi="Times New Roman" w:cs="Times New Roman" w:eastAsia="Times New Roman" w:hint="default"/>
          <w:spacing w:val="-2"/>
        </w:rPr>
        <w:t>40</w:t>
      </w:r>
      <w:r>
        <w:rPr>
          <w:spacing w:val="-2"/>
        </w:rPr>
        <w:t>纳米双核芯片产品的研发和投片工作，以及该芯片产品的测试与调试工作，基于该芯片的</w:t>
      </w:r>
      <w:r>
        <w:rPr>
          <w:spacing w:val="-62"/>
        </w:rPr>
        <w:t> </w:t>
      </w:r>
      <w:r>
        <w:rPr>
          <w:spacing w:val="-62"/>
        </w:rPr>
      </w:r>
      <w:r>
        <w:rPr>
          <w:spacing w:val="-2"/>
        </w:rPr>
        <w:t>平板电脑方案基本完成，该产品的推出将有助于公司在移动互联网终端产品市场的开拓。同时，公司完成了一款</w:t>
      </w:r>
      <w:r>
        <w:rPr>
          <w:rFonts w:ascii="Times New Roman" w:hAnsi="Times New Roman" w:cs="Times New Roman" w:eastAsia="Times New Roman" w:hint="default"/>
          <w:spacing w:val="-2"/>
        </w:rPr>
        <w:t>65</w:t>
      </w:r>
      <w:r>
        <w:rPr>
          <w:spacing w:val="-2"/>
        </w:rPr>
        <w:t>纳米的新</w:t>
      </w:r>
      <w:r>
        <w:rPr>
          <w:spacing w:val="-60"/>
        </w:rPr>
        <w:t> </w:t>
      </w:r>
      <w:r>
        <w:rPr>
          <w:spacing w:val="-60"/>
        </w:rPr>
      </w:r>
      <w:r>
        <w:rPr/>
        <w:t>产品，主要针对一些行业市场，具有突出的低功耗特点和性价比优势。</w:t>
      </w:r>
    </w:p>
    <w:p>
      <w:pPr>
        <w:pStyle w:val="BodyText"/>
        <w:spacing w:line="240" w:lineRule="auto" w:before="72"/>
        <w:ind w:right="0"/>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947"/>
        <w:gridCol w:w="1456"/>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1325" w:right="0"/>
              <w:jc w:val="left"/>
              <w:rPr>
                <w:rFonts w:ascii="Times New Roman" w:hAnsi="Times New Roman" w:cs="Times New Roman" w:eastAsia="Times New Roman" w:hint="default"/>
                <w:sz w:val="18"/>
                <w:szCs w:val="18"/>
              </w:rPr>
            </w:pPr>
            <w:r>
              <w:rPr>
                <w:rFonts w:ascii="Times New Roman"/>
                <w:sz w:val="18"/>
              </w:rPr>
              <w:t>56,323,666.53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43,610,461.79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25,352,006.90</w:t>
            </w:r>
          </w:p>
        </w:tc>
      </w:tr>
      <w:tr>
        <w:trPr>
          <w:trHeight w:val="403" w:hRule="exact"/>
        </w:trPr>
        <w:tc>
          <w:tcPr>
            <w:tcW w:w="2369"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研发投入占营业收入比例（</w:t>
            </w:r>
            <w:r>
              <w:rPr>
                <w:rFonts w:ascii="Times New Roman" w:hAnsi="Times New Roman" w:cs="Times New Roman" w:eastAsia="Times New Roman" w:hint="default"/>
                <w:spacing w:val="-5"/>
                <w:sz w:val="18"/>
                <w:szCs w:val="18"/>
              </w:rPr>
              <w:t>%</w:t>
            </w:r>
          </w:p>
        </w:tc>
        <w:tc>
          <w:tcPr>
            <w:tcW w:w="947" w:type="dxa"/>
            <w:tcBorders>
              <w:top w:val="single" w:sz="4" w:space="0" w:color="000000"/>
              <w:left w:val="single" w:sz="23" w:space="0" w:color="FFFFFF"/>
              <w:bottom w:val="single" w:sz="4" w:space="0" w:color="000000"/>
              <w:right w:val="nil" w:sz="6" w:space="0" w:color="auto"/>
            </w:tcBorders>
          </w:tcPr>
          <w:p>
            <w:pPr/>
          </w:p>
        </w:tc>
        <w:tc>
          <w:tcPr>
            <w:tcW w:w="1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875" w:right="0"/>
              <w:jc w:val="left"/>
              <w:rPr>
                <w:rFonts w:ascii="Times New Roman" w:hAnsi="Times New Roman" w:cs="Times New Roman" w:eastAsia="Times New Roman" w:hint="default"/>
                <w:sz w:val="18"/>
                <w:szCs w:val="18"/>
              </w:rPr>
            </w:pPr>
            <w:r>
              <w:rPr>
                <w:rFonts w:ascii="Times New Roman"/>
                <w:sz w:val="18"/>
              </w:rPr>
              <w:t>52.67%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pict>
          <v:shape style="position:absolute;margin-left:170.300003pt;margin-top:-32.766308pt;width:124.25pt;height:19.6pt;mso-position-horizontal-relative:page;mso-position-vertical-relative:paragraph;z-index:-650032"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177.740005pt;margin-top:-32.766308pt;width:116.8pt;height:19.6pt;mso-position-horizontal-relative:page;mso-position-vertical-relative:paragraph;z-index:-650008" coordorigin="3555,-655" coordsize="2336,392">
            <v:shape style="position:absolute;left:3555;top:-655;width:2336;height:392" coordorigin="3555,-655" coordsize="2336,392" path="m3555,-264l5890,-264,5890,-655,3555,-655,3555,-264xe" filled="true" fillcolor="#ffffff" stroked="false">
              <v:path arrowok="t"/>
              <v:fill type="solid"/>
            </v:shape>
            <w10:wrap type="none"/>
          </v:group>
        </w:pict>
      </w:r>
      <w:r>
        <w:rPr/>
        <w:t>（</w:t>
      </w:r>
      <w:r>
        <w:rPr>
          <w:rFonts w:ascii="Times New Roman" w:hAnsi="Times New Roman" w:cs="Times New Roman" w:eastAsia="Times New Roman" w:hint="default"/>
        </w:rPr>
        <w:t>5</w:t>
      </w:r>
      <w:r>
        <w:rPr/>
        <w:t>）现金流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200,228,107.15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227,461,662.20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165,170,548.87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186,403,325.18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-11.39%</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35,057,558.28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41,058,337.02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-14.62%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41,853,899.83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25,665,944.51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63.07%</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-41,853,899.83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-25,665,944.51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63.07%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834,904,000.00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48,056,683.38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8,437,020.00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469.59%</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-48,056,683.38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826,466,980.00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-105.81%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-54,853,532.13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841,480,770.04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-106.52%</w:t>
            </w:r>
          </w:p>
        </w:tc>
      </w:tr>
    </w:tbl>
    <w:p>
      <w:pPr>
        <w:pStyle w:val="BodyText"/>
        <w:spacing w:line="240" w:lineRule="auto" w:before="49"/>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219" w:firstLine="360"/>
        <w:jc w:val="left"/>
      </w:pPr>
      <w:r>
        <w:rPr>
          <w:rFonts w:ascii="Times New Roman" w:hAnsi="Times New Roman" w:cs="Times New Roman" w:eastAsia="Times New Roman" w:hint="default"/>
        </w:rPr>
        <w:t>1</w:t>
      </w:r>
      <w:r>
        <w:rPr/>
        <w:t>、经营活动现金净流入</w:t>
      </w:r>
      <w:r>
        <w:rPr>
          <w:rFonts w:ascii="Times New Roman" w:hAnsi="Times New Roman" w:cs="Times New Roman" w:eastAsia="Times New Roman" w:hint="default"/>
        </w:rPr>
        <w:t>3,505.76</w:t>
      </w:r>
      <w:r>
        <w:rPr/>
        <w:t>万元，同比减少</w:t>
      </w:r>
      <w:r>
        <w:rPr>
          <w:rFonts w:ascii="Times New Roman" w:hAnsi="Times New Roman" w:cs="Times New Roman" w:eastAsia="Times New Roman" w:hint="default"/>
        </w:rPr>
        <w:t>14.62%</w:t>
      </w:r>
      <w:r>
        <w:rPr/>
        <w:t>，主要是公司本年度销售收入减少，收到税费返还金额较上年 同期下降，以及研发人员薪酬福利费用支出增加等原因所致；</w:t>
      </w:r>
    </w:p>
    <w:p>
      <w:pPr>
        <w:pStyle w:val="BodyText"/>
        <w:spacing w:line="240" w:lineRule="auto" w:before="32"/>
        <w:ind w:left="513" w:right="0"/>
        <w:jc w:val="left"/>
      </w:pPr>
      <w:r>
        <w:rPr>
          <w:rFonts w:ascii="Times New Roman" w:hAnsi="Times New Roman" w:cs="Times New Roman" w:eastAsia="Times New Roman" w:hint="default"/>
        </w:rPr>
        <w:t>2</w:t>
      </w:r>
      <w:r>
        <w:rPr/>
        <w:t>、投资活动现金净流出</w:t>
      </w:r>
      <w:r>
        <w:rPr>
          <w:rFonts w:ascii="Times New Roman" w:hAnsi="Times New Roman" w:cs="Times New Roman" w:eastAsia="Times New Roman" w:hint="default"/>
        </w:rPr>
        <w:t>4,185.39</w:t>
      </w:r>
      <w:r>
        <w:rPr/>
        <w:t>万元，同比增长</w:t>
      </w:r>
      <w:r>
        <w:rPr>
          <w:rFonts w:ascii="Times New Roman" w:hAnsi="Times New Roman" w:cs="Times New Roman" w:eastAsia="Times New Roman" w:hint="default"/>
        </w:rPr>
        <w:t>63.07%</w:t>
      </w:r>
      <w:r>
        <w:rPr/>
        <w:t>，主要为支付研发基地建设款所致；</w:t>
      </w:r>
    </w:p>
    <w:p>
      <w:pPr>
        <w:pStyle w:val="BodyText"/>
        <w:spacing w:line="340" w:lineRule="auto" w:before="63"/>
        <w:ind w:right="3834" w:firstLine="360"/>
        <w:jc w:val="left"/>
      </w:pPr>
      <w:r>
        <w:rPr>
          <w:rFonts w:ascii="Times New Roman" w:hAnsi="Times New Roman" w:cs="Times New Roman" w:eastAsia="Times New Roman" w:hint="default"/>
        </w:rPr>
        <w:t>3</w:t>
      </w:r>
      <w:r>
        <w:rPr/>
        <w:t>、筹资活动现金流出</w:t>
      </w:r>
      <w:r>
        <w:rPr>
          <w:rFonts w:ascii="Times New Roman" w:hAnsi="Times New Roman" w:cs="Times New Roman" w:eastAsia="Times New Roman" w:hint="default"/>
        </w:rPr>
        <w:t>4,805.67</w:t>
      </w:r>
      <w:r>
        <w:rPr/>
        <w:t>万元，主要为派发</w:t>
      </w:r>
      <w:r>
        <w:rPr>
          <w:rFonts w:ascii="Times New Roman" w:hAnsi="Times New Roman" w:cs="Times New Roman" w:eastAsia="Times New Roman" w:hint="default"/>
        </w:rPr>
        <w:t>2011</w:t>
      </w:r>
      <w:r>
        <w:rPr/>
        <w:t>年度现金股利。 报告期内公司经营活动的现金流量与本年度净利润存在重大差异的原因说明</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）公司主要供应商、客户情况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after="0" w:line="240" w:lineRule="auto"/>
        <w:jc w:val="left"/>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98,922,990.73</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92.51%</w:t>
            </w:r>
          </w:p>
        </w:tc>
      </w:tr>
    </w:tbl>
    <w:p>
      <w:pPr>
        <w:pStyle w:val="BodyText"/>
        <w:spacing w:line="240" w:lineRule="auto" w:before="49"/>
        <w:ind w:right="0"/>
        <w:jc w:val="left"/>
      </w:pPr>
      <w:r>
        <w:rPr/>
        <w:t>向单一客户销售比例超过</w:t>
      </w:r>
      <w:r>
        <w:rPr>
          <w:spacing w:val="-46"/>
        </w:rPr>
        <w:t> </w:t>
      </w:r>
      <w:r>
        <w:rPr>
          <w:rFonts w:ascii="Times New Roman" w:hAnsi="Times New Roman" w:cs="Times New Roman" w:eastAsia="Times New Roman" w:hint="default"/>
        </w:rPr>
        <w:t>30%</w:t>
      </w:r>
      <w:r>
        <w:rPr/>
        <w:t>的客户资料</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96"/>
        <w:gridCol w:w="1416"/>
        <w:gridCol w:w="2268"/>
        <w:gridCol w:w="3176"/>
      </w:tblGrid>
      <w:tr>
        <w:trPr>
          <w:trHeight w:val="715"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pacing w:val="-1"/>
                <w:sz w:val="18"/>
                <w:szCs w:val="18"/>
              </w:rPr>
              <w:t>占年度销售总额比例（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23" w:right="51" w:hanging="1172"/>
              <w:jc w:val="left"/>
              <w:rPr>
                <w:rFonts w:ascii="宋体" w:hAnsi="宋体" w:cs="宋体" w:eastAsia="宋体" w:hint="default"/>
                <w:sz w:val="18"/>
                <w:szCs w:val="18"/>
              </w:rPr>
            </w:pPr>
            <w:r>
              <w:rPr>
                <w:rFonts w:ascii="宋体" w:hAnsi="宋体" w:cs="宋体" w:eastAsia="宋体" w:hint="default"/>
                <w:sz w:val="18"/>
                <w:szCs w:val="18"/>
              </w:rPr>
              <w:t>销售金额或比例与以前年度相比变化情 况的说明</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深圳市华辉进出口贸易有限公司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45,469,585.16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42.52%</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去年同期占比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44.55%</w:t>
            </w:r>
            <w:r>
              <w:rPr>
                <w:rFonts w:ascii="宋体" w:hAnsi="宋体" w:cs="宋体" w:eastAsia="宋体" w:hint="default"/>
                <w:sz w:val="18"/>
                <w:szCs w:val="18"/>
              </w:rPr>
              <w:t>，同比减少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2.03%</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步步高教育电子有限公司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36,383,771.75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34.02%</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41"/>
              <w:jc w:val="center"/>
              <w:rPr>
                <w:rFonts w:ascii="宋体" w:hAnsi="宋体" w:cs="宋体" w:eastAsia="宋体" w:hint="default"/>
                <w:sz w:val="18"/>
                <w:szCs w:val="18"/>
              </w:rPr>
            </w:pPr>
            <w:r>
              <w:rPr>
                <w:rFonts w:ascii="宋体" w:hAnsi="宋体" w:cs="宋体" w:eastAsia="宋体" w:hint="default"/>
                <w:sz w:val="18"/>
                <w:szCs w:val="18"/>
              </w:rPr>
              <w:t>去年同期占比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24.42%</w:t>
            </w:r>
            <w:r>
              <w:rPr>
                <w:rFonts w:ascii="宋体" w:hAnsi="宋体" w:cs="宋体" w:eastAsia="宋体" w:hint="default"/>
                <w:sz w:val="18"/>
                <w:szCs w:val="18"/>
              </w:rPr>
              <w:t>，同比增加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w:t>
            </w:r>
            <w:r>
              <w:rPr>
                <w:rFonts w:ascii="宋体" w:hAnsi="宋体" w:cs="宋体" w:eastAsia="宋体" w:hint="default"/>
                <w:sz w:val="18"/>
                <w:szCs w:val="18"/>
              </w:rPr>
              <w:t>。</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81,853,356.91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76.54%</w:t>
            </w:r>
          </w:p>
        </w:tc>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公司主要供应商情况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68,143,344.05</w:t>
            </w:r>
          </w:p>
        </w:tc>
      </w:tr>
      <w:tr>
        <w:trPr>
          <w:trHeight w:val="403" w:hRule="exact"/>
        </w:trPr>
        <w:tc>
          <w:tcPr>
            <w:tcW w:w="42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89.96%</w:t>
            </w:r>
          </w:p>
        </w:tc>
      </w:tr>
    </w:tbl>
    <w:p>
      <w:pPr>
        <w:pStyle w:val="BodyText"/>
        <w:spacing w:line="240" w:lineRule="auto" w:before="49"/>
        <w:ind w:right="0"/>
        <w:jc w:val="left"/>
      </w:pPr>
      <w:r>
        <w:rPr/>
        <w:pict>
          <v:shape style="position:absolute;margin-left:263.570007pt;margin-top:-20.158279pt;width:270.2pt;height:19.7pt;mso-position-horizontal-relative:page;mso-position-vertical-relative:paragraph;z-index:-649984"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71.010010pt;margin-top:-20.158279pt;width:262.75pt;height:19.7pt;mso-position-horizontal-relative:page;mso-position-vertical-relative:paragraph;z-index:-649960" coordorigin="5420,-403" coordsize="5255,394">
            <v:shape style="position:absolute;left:5420;top:-403;width:5255;height:394" coordorigin="5420,-403" coordsize="5255,394" path="m5420,-10l10675,-10,10675,-403,5420,-403,5420,-10xe" filled="true" fillcolor="#ffffff" stroked="false">
              <v:path arrowok="t"/>
              <v:fill type="solid"/>
            </v:shape>
            <w10:wrap type="none"/>
          </v:group>
        </w:pict>
      </w:r>
      <w:r>
        <w:rPr/>
        <w:t>向单一供应商采购比例超过</w:t>
      </w:r>
      <w:r>
        <w:rPr>
          <w:spacing w:val="-46"/>
        </w:rPr>
        <w:t> </w:t>
      </w:r>
      <w:r>
        <w:rPr>
          <w:rFonts w:ascii="Times New Roman" w:hAnsi="Times New Roman" w:cs="Times New Roman" w:eastAsia="Times New Roman" w:hint="default"/>
        </w:rPr>
        <w:t>30%</w:t>
      </w:r>
      <w:r>
        <w:rPr/>
        <w:t>的客户资料</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44"/>
        <w:ind w:left="0" w:right="170"/>
        <w:jc w:val="right"/>
      </w:pPr>
      <w:r>
        <w:rPr/>
        <w:pict>
          <v:shape style="position:absolute;margin-left:56.400002pt;margin-top:-36.368286pt;width:478.55pt;height:76.350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6"/>
                    <w:gridCol w:w="1416"/>
                    <w:gridCol w:w="2268"/>
                    <w:gridCol w:w="3176"/>
                  </w:tblGrid>
                  <w:tr>
                    <w:trPr>
                      <w:trHeight w:val="71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pacing w:val="-1"/>
                            <w:sz w:val="18"/>
                            <w:szCs w:val="18"/>
                          </w:rPr>
                          <w:t>占年度采购总额比例（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23" w:right="51" w:hanging="1172"/>
                          <w:jc w:val="left"/>
                          <w:rPr>
                            <w:rFonts w:ascii="宋体" w:hAnsi="宋体" w:cs="宋体" w:eastAsia="宋体" w:hint="default"/>
                            <w:sz w:val="18"/>
                            <w:szCs w:val="18"/>
                          </w:rPr>
                        </w:pPr>
                        <w:r>
                          <w:rPr>
                            <w:rFonts w:ascii="宋体" w:hAnsi="宋体" w:cs="宋体" w:eastAsia="宋体" w:hint="default"/>
                            <w:sz w:val="18"/>
                            <w:szCs w:val="18"/>
                          </w:rPr>
                          <w:t>采购金额或比例与以前年度相比变化情 况的说明</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中芯国际集成电路制造有限公司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28,467,038.15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37.58%</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3"/>
                          <w:jc w:val="center"/>
                          <w:rPr>
                            <w:rFonts w:ascii="Times New Roman" w:hAnsi="Times New Roman" w:cs="Times New Roman" w:eastAsia="Times New Roman" w:hint="default"/>
                            <w:sz w:val="18"/>
                            <w:szCs w:val="18"/>
                          </w:rPr>
                        </w:pPr>
                        <w:r>
                          <w:rPr>
                            <w:rFonts w:ascii="宋体" w:hAnsi="宋体" w:cs="宋体" w:eastAsia="宋体" w:hint="default"/>
                            <w:sz w:val="18"/>
                            <w:szCs w:val="18"/>
                          </w:rPr>
                          <w:t>去年同期占比</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44.66%</w:t>
                        </w:r>
                        <w:r>
                          <w:rPr>
                            <w:rFonts w:ascii="宋体" w:hAnsi="宋体" w:cs="宋体" w:eastAsia="宋体" w:hint="default"/>
                            <w:spacing w:val="-6"/>
                            <w:sz w:val="18"/>
                            <w:szCs w:val="18"/>
                          </w:rPr>
                          <w:t>，同比减少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7.08%</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28,467,038.15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37.58%</w:t>
                        </w:r>
                      </w:p>
                    </w:tc>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）公司未来发展与规划延续至报告期的说明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首次公开发行招股说明书中披露的未来发展与规划在本报告期的实施情况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7" w:lineRule="auto" w:before="101"/>
        <w:ind w:right="152" w:firstLine="420"/>
        <w:jc w:val="both"/>
      </w:pPr>
      <w:r>
        <w:rPr/>
        <w:t>报告期内，公司按照首次公开发行招股说明书中既定的公司未来发展规划，不断加大研发投入，持续进行技术创新， 大力研发新一代</w:t>
      </w:r>
      <w:r>
        <w:rPr>
          <w:rFonts w:ascii="Times New Roman" w:hAnsi="Times New Roman" w:cs="Times New Roman" w:eastAsia="Times New Roman" w:hint="default"/>
        </w:rPr>
        <w:t>Xburst2</w:t>
      </w:r>
      <w:r>
        <w:rPr>
          <w:rFonts w:ascii="Times New Roman" w:hAnsi="Times New Roman" w:cs="Times New Roman" w:eastAsia="Times New Roman" w:hint="default"/>
          <w:spacing w:val="-4"/>
        </w:rPr>
        <w:t> </w:t>
      </w:r>
      <w:r>
        <w:rPr>
          <w:rFonts w:ascii="Times New Roman" w:hAnsi="Times New Roman" w:cs="Times New Roman" w:eastAsia="Times New Roman" w:hint="default"/>
        </w:rPr>
        <w:t>CPU</w:t>
      </w:r>
      <w:r>
        <w:rPr/>
        <w:t>技术，推进国产</w:t>
      </w:r>
      <w:r>
        <w:rPr>
          <w:rFonts w:ascii="Times New Roman" w:hAnsi="Times New Roman" w:cs="Times New Roman" w:eastAsia="Times New Roman" w:hint="default"/>
        </w:rPr>
        <w:t>CPU</w:t>
      </w:r>
      <w:r>
        <w:rPr/>
        <w:t>在核心技术领域的突破，采用更先进的生产工艺进行新产品的开发，推出 </w:t>
      </w:r>
      <w:r>
        <w:rPr>
          <w:spacing w:val="-2"/>
        </w:rPr>
        <w:t>了面向移动互联网终端产品市场的</w:t>
      </w:r>
      <w:r>
        <w:rPr>
          <w:rFonts w:ascii="Times New Roman" w:hAnsi="Times New Roman" w:cs="Times New Roman" w:eastAsia="Times New Roman" w:hint="default"/>
          <w:spacing w:val="-2"/>
        </w:rPr>
        <w:t>40</w:t>
      </w:r>
      <w:r>
        <w:rPr>
          <w:spacing w:val="-2"/>
        </w:rPr>
        <w:t>纳米双核芯片产品。公司秉承招股书中</w:t>
      </w:r>
      <w:r>
        <w:rPr>
          <w:rFonts w:ascii="Times New Roman" w:hAnsi="Times New Roman" w:cs="Times New Roman" w:eastAsia="Times New Roman" w:hint="default"/>
          <w:spacing w:val="-2"/>
        </w:rPr>
        <w:t>“</w:t>
      </w:r>
      <w:r>
        <w:rPr>
          <w:spacing w:val="-2"/>
        </w:rPr>
        <w:t>开放平台，纵横扩展</w:t>
      </w:r>
      <w:r>
        <w:rPr>
          <w:rFonts w:ascii="Times New Roman" w:hAnsi="Times New Roman" w:cs="Times New Roman" w:eastAsia="Times New Roman" w:hint="default"/>
          <w:spacing w:val="-2"/>
        </w:rPr>
        <w:t>”</w:t>
      </w:r>
      <w:r>
        <w:rPr>
          <w:spacing w:val="-2"/>
        </w:rPr>
        <w:t>的市场策略，不断巩固和</w:t>
      </w:r>
      <w:r>
        <w:rPr>
          <w:spacing w:val="-42"/>
        </w:rPr>
        <w:t> </w:t>
      </w:r>
      <w:r>
        <w:rPr>
          <w:spacing w:val="-42"/>
        </w:rPr>
      </w:r>
      <w:r>
        <w:rPr/>
        <w:t>加强在原有市场领域的技术优势和领导地位，加强对重点客户的支持力度，并积极拓展新市场。</w:t>
      </w:r>
    </w:p>
    <w:p>
      <w:pPr>
        <w:pStyle w:val="BodyText"/>
        <w:spacing w:line="300" w:lineRule="auto" w:before="67"/>
        <w:ind w:right="170" w:firstLine="420"/>
        <w:jc w:val="both"/>
      </w:pPr>
      <w:r>
        <w:rPr/>
        <w:t>由于国内平板电脑类产品对</w:t>
      </w:r>
      <w:r>
        <w:rPr>
          <w:rFonts w:ascii="Times New Roman" w:hAnsi="Times New Roman" w:cs="Times New Roman" w:eastAsia="Times New Roman" w:hint="default"/>
        </w:rPr>
        <w:t>PMP</w:t>
      </w:r>
      <w:r>
        <w:rPr/>
        <w:t>产品的冲击，</w:t>
      </w:r>
      <w:r>
        <w:rPr>
          <w:rFonts w:ascii="Times New Roman" w:hAnsi="Times New Roman" w:cs="Times New Roman" w:eastAsia="Times New Roman" w:hint="default"/>
        </w:rPr>
        <w:t>PMP</w:t>
      </w:r>
      <w:r>
        <w:rPr/>
        <w:t>产品市场持续萎缩，公司在原有消费电子市场的产品开发和市场拓 展受到影响，根据市场的实际情况，经公司董事会和临时股东大会审议通过，报告期内，公司终止了募投项目</w:t>
      </w:r>
      <w:r>
        <w:rPr>
          <w:rFonts w:ascii="Times New Roman" w:hAnsi="Times New Roman" w:cs="Times New Roman" w:eastAsia="Times New Roman" w:hint="default"/>
        </w:rPr>
        <w:t>“</w:t>
      </w:r>
      <w:r>
        <w:rPr/>
        <w:t>便携式消费 电子产品用多媒体处理器芯片技术改造项目</w:t>
      </w:r>
      <w:r>
        <w:rPr>
          <w:rFonts w:ascii="Times New Roman" w:hAnsi="Times New Roman" w:cs="Times New Roman" w:eastAsia="Times New Roman" w:hint="default"/>
        </w:rPr>
        <w:t>”</w:t>
      </w:r>
      <w:r>
        <w:rPr/>
        <w:t>。同时，由于公司上市后一直集中力量推动应用于移动互联网终端产品市场的 募投项目的实施与市场突破，从而适当调整了其他募集资金投资项目的实施进度，使募投项目</w:t>
      </w:r>
      <w:r>
        <w:rPr>
          <w:rFonts w:ascii="Times New Roman" w:hAnsi="Times New Roman" w:cs="Times New Roman" w:eastAsia="Times New Roman" w:hint="default"/>
        </w:rPr>
        <w:t>“</w:t>
      </w:r>
      <w:r>
        <w:rPr/>
        <w:t>便携式教育电子产品用嵌入 处理器芯片技术改造项目</w:t>
      </w:r>
      <w:r>
        <w:rPr>
          <w:rFonts w:ascii="Times New Roman" w:hAnsi="Times New Roman" w:cs="Times New Roman" w:eastAsia="Times New Roman" w:hint="default"/>
        </w:rPr>
        <w:t>”</w:t>
      </w:r>
      <w:r>
        <w:rPr/>
        <w:t>投资进度减缓。为此，报告期内，经公司董事会和临时股东大会审议通过，公司募集资金投资项 目</w:t>
      </w:r>
      <w:r>
        <w:rPr>
          <w:rFonts w:ascii="Times New Roman" w:hAnsi="Times New Roman" w:cs="Times New Roman" w:eastAsia="Times New Roman" w:hint="default"/>
        </w:rPr>
        <w:t>“</w:t>
      </w:r>
      <w:r>
        <w:rPr/>
        <w:t>便携式教育电子产品用嵌入式处理器芯片技术改造项目</w:t>
      </w:r>
      <w:r>
        <w:rPr>
          <w:rFonts w:ascii="Times New Roman" w:hAnsi="Times New Roman" w:cs="Times New Roman" w:eastAsia="Times New Roman" w:hint="default"/>
        </w:rPr>
        <w:t>”</w:t>
      </w:r>
      <w:r>
        <w:rPr/>
        <w:t>的预计完成时间由</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日调整至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w:t>
      </w:r>
    </w:p>
    <w:p>
      <w:pPr>
        <w:pStyle w:val="BodyText"/>
        <w:spacing w:line="316" w:lineRule="auto" w:before="53"/>
        <w:ind w:right="189" w:firstLine="420"/>
        <w:jc w:val="both"/>
      </w:pPr>
      <w:r>
        <w:rPr/>
        <w:t>由于公司在移动互联网终端产品市场面临的软件生态问题，报告期内尽管公司花费了大量人力物力，付出了持续艰苦 的努力，但仍然未能在市场销售中取得突破性进展。公司将持续努力，坚持在该市场的突破。</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60" w:lineRule="auto"/>
        <w:ind w:left="573" w:right="213" w:hanging="421"/>
        <w:jc w:val="left"/>
      </w:pPr>
      <w:r>
        <w:rPr/>
        <w:t>公司回顾总结前期披露的发展战略和经营计划在报告期内的进展情况 报告期内，公司坚持</w:t>
      </w:r>
      <w:r>
        <w:rPr>
          <w:rFonts w:ascii="Times New Roman" w:hAnsi="Times New Roman" w:cs="Times New Roman" w:eastAsia="Times New Roman" w:hint="default"/>
        </w:rPr>
        <w:t>“</w:t>
      </w:r>
      <w:r>
        <w:rPr/>
        <w:t>创新技术、自主研发</w:t>
      </w:r>
      <w:r>
        <w:rPr>
          <w:rFonts w:ascii="Times New Roman" w:hAnsi="Times New Roman" w:cs="Times New Roman" w:eastAsia="Times New Roman" w:hint="default"/>
        </w:rPr>
        <w:t>”</w:t>
      </w:r>
      <w:r>
        <w:rPr/>
        <w:t>的技术战略和</w:t>
      </w:r>
      <w:r>
        <w:rPr>
          <w:rFonts w:ascii="Times New Roman" w:hAnsi="Times New Roman" w:cs="Times New Roman" w:eastAsia="Times New Roman" w:hint="default"/>
        </w:rPr>
        <w:t>“</w:t>
      </w:r>
      <w:r>
        <w:rPr/>
        <w:t>开放平台、纵横扩展</w:t>
      </w:r>
      <w:r>
        <w:rPr>
          <w:rFonts w:ascii="Times New Roman" w:hAnsi="Times New Roman" w:cs="Times New Roman" w:eastAsia="Times New Roman" w:hint="default"/>
        </w:rPr>
        <w:t>”</w:t>
      </w:r>
      <w:r>
        <w:rPr/>
        <w:t>的市场战略，基本完成了</w:t>
      </w:r>
      <w:r>
        <w:rPr>
          <w:rFonts w:ascii="Times New Roman" w:hAnsi="Times New Roman" w:cs="Times New Roman" w:eastAsia="Times New Roman" w:hint="default"/>
        </w:rPr>
        <w:t>2012</w:t>
      </w:r>
      <w:r>
        <w:rPr/>
        <w:t>年度经</w:t>
      </w:r>
    </w:p>
    <w:p>
      <w:pPr>
        <w:pStyle w:val="BodyText"/>
        <w:spacing w:line="212" w:lineRule="exact"/>
        <w:ind w:right="0"/>
        <w:jc w:val="left"/>
      </w:pPr>
      <w:r>
        <w:rPr/>
        <w:t>营计划。研发方面，公司不断加大投入，持续进行技术创新，启动了</w:t>
      </w:r>
      <w:r>
        <w:rPr>
          <w:rFonts w:ascii="Times New Roman" w:hAnsi="Times New Roman" w:cs="Times New Roman" w:eastAsia="Times New Roman" w:hint="default"/>
        </w:rPr>
        <w:t>Xburst2</w:t>
      </w:r>
      <w:r>
        <w:rPr>
          <w:rFonts w:ascii="Times New Roman" w:hAnsi="Times New Roman" w:cs="Times New Roman" w:eastAsia="Times New Roman" w:hint="default"/>
          <w:spacing w:val="-6"/>
        </w:rPr>
        <w:t> </w:t>
      </w:r>
      <w:r>
        <w:rPr>
          <w:rFonts w:ascii="Times New Roman" w:hAnsi="Times New Roman" w:cs="Times New Roman" w:eastAsia="Times New Roman" w:hint="default"/>
        </w:rPr>
        <w:t>CPU</w:t>
      </w:r>
      <w:r>
        <w:rPr/>
        <w:t>核的研发，完成了</w:t>
      </w:r>
      <w:r>
        <w:rPr>
          <w:rFonts w:ascii="Times New Roman" w:hAnsi="Times New Roman" w:cs="Times New Roman" w:eastAsia="Times New Roman" w:hint="default"/>
        </w:rPr>
        <w:t>40</w:t>
      </w:r>
      <w:r>
        <w:rPr/>
        <w:t>纳米双核产品的投片</w:t>
      </w:r>
    </w:p>
    <w:p>
      <w:pPr>
        <w:spacing w:after="0" w:line="212" w:lineRule="exact"/>
        <w:jc w:val="left"/>
        <w:sectPr>
          <w:pgSz w:w="11910" w:h="16840"/>
          <w:pgMar w:header="877" w:footer="980" w:top="1100" w:bottom="1160" w:left="980" w:right="980"/>
        </w:sectPr>
      </w:pPr>
    </w:p>
    <w:p>
      <w:pPr>
        <w:spacing w:line="240" w:lineRule="auto" w:before="11"/>
        <w:rPr>
          <w:rFonts w:ascii="宋体" w:hAnsi="宋体" w:cs="宋体" w:eastAsia="宋体" w:hint="default"/>
          <w:sz w:val="21"/>
          <w:szCs w:val="21"/>
        </w:rPr>
      </w:pPr>
    </w:p>
    <w:p>
      <w:pPr>
        <w:pStyle w:val="BodyText"/>
        <w:spacing w:line="319" w:lineRule="auto" w:before="44"/>
        <w:ind w:right="94"/>
        <w:jc w:val="left"/>
      </w:pPr>
      <w:r>
        <w:rPr/>
        <w:t>工作，并基本完成了基于该芯片的平板电脑方案的研发和调试。市场拓展方面，参加各类展会，加强市场宣传和产品推广， 持续投入资源，推进软件生态的改善，积极寻找行业市场和细分市场，寻求市场突破。</w:t>
      </w:r>
    </w:p>
    <w:p>
      <w:pPr>
        <w:pStyle w:val="BodyText"/>
        <w:spacing w:line="316" w:lineRule="auto" w:before="58"/>
        <w:ind w:left="513" w:right="0"/>
        <w:jc w:val="left"/>
      </w:pPr>
      <w:r>
        <w:rPr/>
        <w:t>同时，公司不断完善经营管理，加强人才队伍建设，通过各种培训提高管理人员的科学管理能力和规范运作意识。 </w:t>
      </w:r>
      <w:r>
        <w:rPr>
          <w:spacing w:val="-2"/>
        </w:rPr>
        <w:t>报告期内，公司完成了自有研发基地的建造和部分装修工作，由于市政工作进度的影响，</w:t>
      </w:r>
      <w:r>
        <w:rPr>
          <w:rFonts w:ascii="Times New Roman" w:hAnsi="Times New Roman" w:cs="Times New Roman" w:eastAsia="Times New Roman" w:hint="default"/>
          <w:spacing w:val="-2"/>
        </w:rPr>
        <w:t>2012</w:t>
      </w:r>
      <w:r>
        <w:rPr>
          <w:spacing w:val="-2"/>
        </w:rPr>
        <w:t>年冬天无法进行冬施，大</w:t>
      </w:r>
    </w:p>
    <w:p>
      <w:pPr>
        <w:pStyle w:val="BodyText"/>
        <w:spacing w:line="340" w:lineRule="auto"/>
        <w:ind w:right="3137"/>
        <w:jc w:val="left"/>
      </w:pPr>
      <w:r>
        <w:rPr/>
        <w:t>厦建设进度缓于预期。预计可于</w:t>
      </w:r>
      <w:r>
        <w:rPr>
          <w:rFonts w:ascii="Times New Roman" w:hAnsi="Times New Roman" w:cs="Times New Roman" w:eastAsia="Times New Roman" w:hint="default"/>
        </w:rPr>
        <w:t>2013</w:t>
      </w:r>
      <w:r>
        <w:rPr/>
        <w:t>年第二季度完成内部装修工作。 公司实际经营业绩较曾公开披露过的本年度盈利预测低于或高于</w:t>
      </w:r>
      <w:r>
        <w:rPr>
          <w:spacing w:val="-43"/>
        </w:rPr>
        <w:t> </w:t>
      </w:r>
      <w:r>
        <w:rPr>
          <w:rFonts w:ascii="Times New Roman" w:hAnsi="Times New Roman" w:cs="Times New Roman" w:eastAsia="Times New Roman" w:hint="default"/>
        </w:rPr>
        <w:t>20%</w:t>
      </w:r>
      <w:r>
        <w:rPr/>
        <w:t>以上的差异原因</w:t>
      </w:r>
    </w:p>
    <w:p>
      <w:pPr>
        <w:pStyle w:val="BodyText"/>
        <w:spacing w:line="240" w:lineRule="auto" w:before="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、主营业务分部报告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55"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消费电子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32,534,451.38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17,159,989.91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教育电子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60,999,557.62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31,135,992.39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移动互联网终端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9,979,927.08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7,272,405.95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-14.69%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3,419,191.66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299,307.27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21.72%</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芯片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101,227,593.19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52,953,922.02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-8.01%</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2,409,314.41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3,296,220.14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2,913,773.50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9.18%</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102,821,387.13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55,128,485.01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4,111,740.61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739,210.51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23.29%</w:t>
            </w:r>
          </w:p>
        </w:tc>
      </w:tr>
    </w:tbl>
    <w:p>
      <w:pPr>
        <w:pStyle w:val="BodyText"/>
        <w:spacing w:line="240" w:lineRule="auto" w:before="49"/>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、资产、负债状况分析</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）资产项目重大变动情况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28"/>
        <w:gridCol w:w="1061"/>
        <w:gridCol w:w="1346"/>
        <w:gridCol w:w="1064"/>
        <w:gridCol w:w="799"/>
        <w:gridCol w:w="2674"/>
      </w:tblGrid>
      <w:tr>
        <w:trPr>
          <w:trHeight w:val="206" w:hRule="exact"/>
        </w:trPr>
        <w:tc>
          <w:tcPr>
            <w:tcW w:w="1356" w:type="dxa"/>
            <w:vMerge w:val="restart"/>
            <w:tcBorders>
              <w:top w:val="single" w:sz="4" w:space="0" w:color="000000"/>
              <w:left w:val="single" w:sz="4" w:space="0" w:color="000000"/>
              <w:right w:val="single" w:sz="4" w:space="0" w:color="000000"/>
            </w:tcBorders>
            <w:shd w:val="clear" w:color="auto" w:fill="D2D2D2"/>
          </w:tcPr>
          <w:p>
            <w:pPr/>
          </w:p>
        </w:tc>
        <w:tc>
          <w:tcPr>
            <w:tcW w:w="23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41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2674"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2389" w:type="dxa"/>
            <w:gridSpan w:val="2"/>
            <w:vMerge/>
            <w:tcBorders>
              <w:left w:val="single" w:sz="4" w:space="0" w:color="000000"/>
              <w:bottom w:val="single" w:sz="4" w:space="0" w:color="000000"/>
              <w:right w:val="single" w:sz="4" w:space="0" w:color="000000"/>
            </w:tcBorders>
            <w:shd w:val="clear" w:color="auto" w:fill="D2D2D2"/>
          </w:tcPr>
          <w:p>
            <w:pPr/>
          </w:p>
        </w:tc>
        <w:tc>
          <w:tcPr>
            <w:tcW w:w="2410" w:type="dxa"/>
            <w:gridSpan w:val="2"/>
            <w:vMerge/>
            <w:tcBorders>
              <w:left w:val="single" w:sz="4" w:space="0" w:color="000000"/>
              <w:bottom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674" w:type="dxa"/>
            <w:vMerge/>
            <w:tcBorders>
              <w:left w:val="single" w:sz="4" w:space="0" w:color="000000"/>
              <w:bottom w:val="nil" w:sz="6" w:space="0" w:color="auto"/>
              <w:right w:val="single" w:sz="4" w:space="0" w:color="000000"/>
            </w:tcBorders>
            <w:shd w:val="clear" w:color="auto" w:fill="D2D2D2"/>
          </w:tcPr>
          <w:p>
            <w:pPr/>
          </w:p>
        </w:tc>
      </w:tr>
      <w:tr>
        <w:trPr>
          <w:trHeight w:val="185"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3"/>
              <w:ind w:left="182" w:right="72"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3"/>
              <w:ind w:left="182" w:right="7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2D2D2"/>
          </w:tcPr>
          <w:p>
            <w:pPr/>
          </w:p>
        </w:tc>
        <w:tc>
          <w:tcPr>
            <w:tcW w:w="26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79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tcBorders>
              <w:left w:val="single" w:sz="4" w:space="0" w:color="000000"/>
              <w:right w:val="single" w:sz="4" w:space="0" w:color="000000"/>
            </w:tcBorders>
            <w:shd w:val="clear" w:color="auto" w:fill="D2D2D2"/>
          </w:tcPr>
          <w:p>
            <w:pPr/>
          </w:p>
        </w:tc>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2674"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346"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2674"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267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929,782,178.74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83.66%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984,635,710.87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87.9%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16,509,595.68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1.49%</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32,169,439.91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2.87%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-1.38%</w:t>
            </w:r>
          </w:p>
        </w:tc>
        <w:tc>
          <w:tcPr>
            <w:tcW w:w="26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94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28"/>
        <w:gridCol w:w="1061"/>
        <w:gridCol w:w="1346"/>
        <w:gridCol w:w="1064"/>
        <w:gridCol w:w="799"/>
        <w:gridCol w:w="2674"/>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50,162,343.57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36,215,720.25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4,579,145.59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0.41%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2,345,290.56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0.2%</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31,075,806.64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2.8%</w:t>
            </w:r>
          </w:p>
        </w:tc>
        <w:tc>
          <w:tcPr>
            <w:tcW w:w="134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w:t>
            </w:r>
          </w:p>
        </w:tc>
        <w:tc>
          <w:tcPr>
            <w:tcW w:w="26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）负债项目重大变动情况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5814"/>
        <w:jc w:val="left"/>
      </w:pPr>
      <w:r>
        <w:rPr/>
        <w:t>无。 报告期内公司主要资产计量属性是否发生重大变化</w:t>
      </w:r>
    </w:p>
    <w:p>
      <w:pPr>
        <w:pStyle w:val="BodyText"/>
        <w:spacing w:line="240" w:lineRule="auto" w:before="2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、公司竞争能力重大变化分析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报告期内，公司核心竞争能力未发生重大变化。</w:t>
      </w:r>
    </w:p>
    <w:p>
      <w:pPr>
        <w:pStyle w:val="BodyText"/>
        <w:spacing w:line="240" w:lineRule="auto" w:before="115"/>
        <w:ind w:left="513" w:right="0"/>
        <w:jc w:val="left"/>
      </w:pPr>
      <w:r>
        <w:rPr/>
        <w:t>（</w:t>
      </w:r>
      <w:r>
        <w:rPr>
          <w:rFonts w:ascii="Times New Roman" w:hAnsi="Times New Roman" w:cs="Times New Roman" w:eastAsia="Times New Roman" w:hint="default"/>
        </w:rPr>
        <w:t>1</w:t>
      </w:r>
      <w:r>
        <w:rPr/>
        <w:t>）报告期内，公司获得的专利证书情况如下：</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tbl>
      <w:tblPr>
        <w:tblW w:w="0" w:type="auto"/>
        <w:jc w:val="left"/>
        <w:tblInd w:w="145" w:type="dxa"/>
        <w:tblLayout w:type="fixed"/>
        <w:tblCellMar>
          <w:top w:w="0" w:type="dxa"/>
          <w:left w:w="0" w:type="dxa"/>
          <w:bottom w:w="0" w:type="dxa"/>
          <w:right w:w="0" w:type="dxa"/>
        </w:tblCellMar>
        <w:tblLook w:val="01E0"/>
      </w:tblPr>
      <w:tblGrid>
        <w:gridCol w:w="2333"/>
        <w:gridCol w:w="1786"/>
        <w:gridCol w:w="1719"/>
        <w:gridCol w:w="859"/>
        <w:gridCol w:w="1702"/>
        <w:gridCol w:w="1274"/>
      </w:tblGrid>
      <w:tr>
        <w:trPr>
          <w:trHeight w:val="346" w:hRule="exact"/>
        </w:trPr>
        <w:tc>
          <w:tcPr>
            <w:tcW w:w="23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7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7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专利申请日</w:t>
            </w:r>
            <w:r>
              <w:rPr>
                <w:rFonts w:ascii="宋体" w:hAnsi="宋体" w:cs="宋体" w:eastAsia="宋体" w:hint="default"/>
                <w:sz w:val="18"/>
                <w:szCs w:val="18"/>
              </w:rPr>
            </w:r>
          </w:p>
        </w:tc>
        <w:tc>
          <w:tcPr>
            <w:tcW w:w="8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有效期</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授权公告日</w:t>
            </w:r>
            <w:r>
              <w:rPr>
                <w:rFonts w:ascii="宋体" w:hAnsi="宋体" w:cs="宋体" w:eastAsia="宋体" w:hint="default"/>
                <w:sz w:val="18"/>
                <w:szCs w:val="18"/>
              </w:rPr>
            </w:r>
          </w:p>
        </w:tc>
        <w:tc>
          <w:tcPr>
            <w:tcW w:w="12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r>
      <w:tr>
        <w:trPr>
          <w:trHeight w:val="660" w:hRule="exact"/>
        </w:trPr>
        <w:tc>
          <w:tcPr>
            <w:tcW w:w="233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158"/>
              <w:jc w:val="left"/>
              <w:rPr>
                <w:rFonts w:ascii="Times New Roman" w:hAnsi="Times New Roman" w:cs="Times New Roman" w:eastAsia="Times New Roman" w:hint="default"/>
                <w:sz w:val="18"/>
                <w:szCs w:val="18"/>
              </w:rPr>
            </w:pPr>
            <w:r>
              <w:rPr>
                <w:rFonts w:ascii="宋体" w:hAnsi="宋体" w:cs="宋体" w:eastAsia="宋体" w:hint="default"/>
                <w:sz w:val="18"/>
                <w:szCs w:val="18"/>
              </w:rPr>
              <w:t>一种降低</w:t>
            </w:r>
            <w:r>
              <w:rPr>
                <w:rFonts w:ascii="Times New Roman" w:hAnsi="Times New Roman" w:cs="Times New Roman" w:eastAsia="Times New Roman" w:hint="default"/>
                <w:sz w:val="18"/>
                <w:szCs w:val="18"/>
              </w:rPr>
              <w:t>CPU</w:t>
            </w:r>
            <w:r>
              <w:rPr>
                <w:rFonts w:ascii="宋体" w:hAnsi="宋体" w:cs="宋体" w:eastAsia="宋体" w:hint="default"/>
                <w:sz w:val="18"/>
                <w:szCs w:val="18"/>
              </w:rPr>
              <w:t>功耗的方法及 一种低功耗</w:t>
            </w:r>
            <w:r>
              <w:rPr>
                <w:rFonts w:ascii="Times New Roman" w:hAnsi="Times New Roman" w:cs="Times New Roman" w:eastAsia="Times New Roman" w:hint="default"/>
                <w:sz w:val="18"/>
                <w:szCs w:val="18"/>
              </w:rPr>
              <w:t>CPU</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ZL 2010 1</w:t>
            </w:r>
            <w:r>
              <w:rPr>
                <w:rFonts w:ascii="Times New Roman"/>
                <w:spacing w:val="-6"/>
                <w:sz w:val="18"/>
              </w:rPr>
              <w:t> </w:t>
            </w:r>
            <w:r>
              <w:rPr>
                <w:rFonts w:ascii="Times New Roman"/>
                <w:sz w:val="18"/>
              </w:rPr>
              <w:t>0256819.6</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二十年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1033472</w:t>
            </w:r>
            <w:r>
              <w:rPr>
                <w:rFonts w:ascii="宋体" w:hAnsi="宋体" w:cs="宋体" w:eastAsia="宋体" w:hint="default"/>
                <w:sz w:val="18"/>
                <w:szCs w:val="18"/>
              </w:rPr>
              <w:t>号</w:t>
            </w:r>
          </w:p>
        </w:tc>
      </w:tr>
      <w:tr>
        <w:trPr>
          <w:trHeight w:val="660" w:hRule="exact"/>
        </w:trPr>
        <w:tc>
          <w:tcPr>
            <w:tcW w:w="233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8"/>
              <w:ind w:left="4" w:right="158"/>
              <w:jc w:val="left"/>
              <w:rPr>
                <w:rFonts w:ascii="Times New Roman" w:hAnsi="Times New Roman" w:cs="Times New Roman" w:eastAsia="Times New Roman" w:hint="default"/>
                <w:sz w:val="18"/>
                <w:szCs w:val="18"/>
              </w:rPr>
            </w:pPr>
            <w:r>
              <w:rPr>
                <w:rFonts w:ascii="宋体" w:hAnsi="宋体" w:cs="宋体" w:eastAsia="宋体" w:hint="default"/>
                <w:sz w:val="18"/>
                <w:szCs w:val="18"/>
              </w:rPr>
              <w:t>一种降低</w:t>
            </w:r>
            <w:r>
              <w:rPr>
                <w:rFonts w:ascii="Times New Roman" w:hAnsi="Times New Roman" w:cs="Times New Roman" w:eastAsia="Times New Roman" w:hint="default"/>
                <w:sz w:val="18"/>
                <w:szCs w:val="18"/>
              </w:rPr>
              <w:t>CPU</w:t>
            </w:r>
            <w:r>
              <w:rPr>
                <w:rFonts w:ascii="宋体" w:hAnsi="宋体" w:cs="宋体" w:eastAsia="宋体" w:hint="default"/>
                <w:sz w:val="18"/>
                <w:szCs w:val="18"/>
              </w:rPr>
              <w:t>功耗的方法及 一种低功耗</w:t>
            </w:r>
            <w:r>
              <w:rPr>
                <w:rFonts w:ascii="Times New Roman" w:hAnsi="Times New Roman" w:cs="Times New Roman" w:eastAsia="Times New Roman" w:hint="default"/>
                <w:sz w:val="18"/>
                <w:szCs w:val="18"/>
              </w:rPr>
              <w:t>CPU</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ZL 2010 1</w:t>
            </w:r>
            <w:r>
              <w:rPr>
                <w:rFonts w:ascii="Times New Roman"/>
                <w:spacing w:val="-6"/>
                <w:sz w:val="18"/>
              </w:rPr>
              <w:t> </w:t>
            </w:r>
            <w:r>
              <w:rPr>
                <w:rFonts w:ascii="Times New Roman"/>
                <w:sz w:val="18"/>
              </w:rPr>
              <w:t>0256830.2</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二十年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7"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1033522</w:t>
            </w:r>
            <w:r>
              <w:rPr>
                <w:rFonts w:ascii="宋体" w:hAnsi="宋体" w:cs="宋体" w:eastAsia="宋体" w:hint="default"/>
                <w:sz w:val="18"/>
                <w:szCs w:val="18"/>
              </w:rPr>
              <w:t>号</w:t>
            </w:r>
          </w:p>
        </w:tc>
      </w:tr>
    </w:tbl>
    <w:p>
      <w:pPr>
        <w:pStyle w:val="BodyText"/>
        <w:spacing w:line="240" w:lineRule="auto" w:before="49"/>
        <w:ind w:left="513" w:right="0"/>
        <w:jc w:val="left"/>
      </w:pPr>
      <w:r>
        <w:rPr/>
        <w:t>（</w:t>
      </w:r>
      <w:r>
        <w:rPr>
          <w:rFonts w:ascii="Times New Roman" w:hAnsi="Times New Roman" w:cs="Times New Roman" w:eastAsia="Times New Roman" w:hint="default"/>
        </w:rPr>
        <w:t>2</w:t>
      </w:r>
      <w:r>
        <w:rPr/>
        <w:t>）报告期内，公司及全资子公司已申请并被受理的专利证书情况如下：</w:t>
      </w:r>
    </w:p>
    <w:p>
      <w:pPr>
        <w:spacing w:line="240" w:lineRule="auto" w:before="1"/>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4537"/>
        <w:gridCol w:w="1700"/>
        <w:gridCol w:w="1702"/>
        <w:gridCol w:w="1702"/>
      </w:tblGrid>
      <w:tr>
        <w:trPr>
          <w:trHeight w:val="427" w:hRule="exact"/>
        </w:trPr>
        <w:tc>
          <w:tcPr>
            <w:tcW w:w="45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b/>
                <w:bCs/>
                <w:sz w:val="18"/>
                <w:szCs w:val="18"/>
              </w:rPr>
              <w:t>申请日</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b/>
                <w:bCs/>
                <w:sz w:val="18"/>
                <w:szCs w:val="18"/>
              </w:rPr>
              <w:t>申请号</w:t>
            </w:r>
            <w:r>
              <w:rPr>
                <w:rFonts w:ascii="宋体" w:hAnsi="宋体" w:cs="宋体" w:eastAsia="宋体" w:hint="default"/>
                <w:sz w:val="18"/>
                <w:szCs w:val="18"/>
              </w:rPr>
            </w:r>
          </w:p>
        </w:tc>
      </w:tr>
      <w:tr>
        <w:trPr>
          <w:trHeight w:val="427"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基于同步显示的远程控制方法、终端、对端及系统</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70" w:right="0"/>
              <w:jc w:val="left"/>
              <w:rPr>
                <w:rFonts w:ascii="Times New Roman" w:hAnsi="Times New Roman" w:cs="Times New Roman" w:eastAsia="Times New Roman" w:hint="default"/>
                <w:sz w:val="18"/>
                <w:szCs w:val="18"/>
              </w:rPr>
            </w:pPr>
            <w:r>
              <w:rPr>
                <w:rFonts w:ascii="Times New Roman"/>
                <w:sz w:val="18"/>
              </w:rPr>
              <w:t>2012-8-17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201210295769.1</w:t>
            </w:r>
          </w:p>
        </w:tc>
      </w:tr>
      <w:tr>
        <w:trPr>
          <w:trHeight w:val="427"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数据存储方法和存储器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13" w:right="0"/>
              <w:jc w:val="left"/>
              <w:rPr>
                <w:rFonts w:ascii="Times New Roman" w:hAnsi="Times New Roman" w:cs="Times New Roman" w:eastAsia="Times New Roman" w:hint="default"/>
                <w:sz w:val="18"/>
                <w:szCs w:val="18"/>
              </w:rPr>
            </w:pPr>
            <w:r>
              <w:rPr>
                <w:rFonts w:ascii="Times New Roman"/>
                <w:sz w:val="18"/>
              </w:rPr>
              <w:t>2012-8-8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201210281042.8</w:t>
            </w:r>
          </w:p>
        </w:tc>
      </w:tr>
      <w:tr>
        <w:trPr>
          <w:trHeight w:val="427"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一种手机短彩信智能搜索方法</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70" w:right="0"/>
              <w:jc w:val="left"/>
              <w:rPr>
                <w:rFonts w:ascii="Times New Roman" w:hAnsi="Times New Roman" w:cs="Times New Roman" w:eastAsia="Times New Roman" w:hint="default"/>
                <w:sz w:val="18"/>
                <w:szCs w:val="18"/>
              </w:rPr>
            </w:pPr>
            <w:r>
              <w:rPr>
                <w:rFonts w:ascii="Times New Roman"/>
                <w:sz w:val="18"/>
              </w:rPr>
              <w:t>2012-9-28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201210372271.0</w:t>
            </w:r>
          </w:p>
        </w:tc>
      </w:tr>
      <w:tr>
        <w:trPr>
          <w:trHeight w:val="427"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一种离散内存访问的方法及装置</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13" w:right="0"/>
              <w:jc w:val="left"/>
              <w:rPr>
                <w:rFonts w:ascii="Times New Roman" w:hAnsi="Times New Roman" w:cs="Times New Roman" w:eastAsia="Times New Roman" w:hint="default"/>
                <w:sz w:val="18"/>
                <w:szCs w:val="18"/>
              </w:rPr>
            </w:pPr>
            <w:r>
              <w:rPr>
                <w:rFonts w:ascii="Times New Roman"/>
                <w:sz w:val="18"/>
              </w:rPr>
              <w:t>2012-9-7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201210330697.x</w:t>
            </w:r>
          </w:p>
        </w:tc>
      </w:tr>
      <w:tr>
        <w:trPr>
          <w:trHeight w:val="425"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一种播放音频文件的方法和装置</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70" w:right="0"/>
              <w:jc w:val="left"/>
              <w:rPr>
                <w:rFonts w:ascii="Times New Roman" w:hAnsi="Times New Roman" w:cs="Times New Roman" w:eastAsia="Times New Roman" w:hint="default"/>
                <w:sz w:val="18"/>
                <w:szCs w:val="18"/>
              </w:rPr>
            </w:pPr>
            <w:r>
              <w:rPr>
                <w:rFonts w:ascii="Times New Roman"/>
                <w:sz w:val="18"/>
              </w:rPr>
              <w:t>2012-9-21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201210360725.2</w:t>
            </w:r>
          </w:p>
        </w:tc>
      </w:tr>
      <w:tr>
        <w:trPr>
          <w:trHeight w:val="42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一种零延时照相的方法</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24" w:right="0"/>
              <w:jc w:val="left"/>
              <w:rPr>
                <w:rFonts w:ascii="Times New Roman" w:hAnsi="Times New Roman" w:cs="Times New Roman" w:eastAsia="Times New Roman" w:hint="default"/>
                <w:sz w:val="18"/>
                <w:szCs w:val="18"/>
              </w:rPr>
            </w:pPr>
            <w:r>
              <w:rPr>
                <w:rFonts w:ascii="Times New Roman"/>
                <w:sz w:val="18"/>
              </w:rPr>
              <w:t>2012-10-25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201210412403.8</w:t>
            </w:r>
          </w:p>
        </w:tc>
      </w:tr>
      <w:tr>
        <w:trPr>
          <w:trHeight w:val="427"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一种可编程的码流预处理方法和系统</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24" w:right="0"/>
              <w:jc w:val="left"/>
              <w:rPr>
                <w:rFonts w:ascii="Times New Roman" w:hAnsi="Times New Roman" w:cs="Times New Roman" w:eastAsia="Times New Roman" w:hint="default"/>
                <w:sz w:val="18"/>
                <w:szCs w:val="18"/>
              </w:rPr>
            </w:pPr>
            <w:r>
              <w:rPr>
                <w:rFonts w:ascii="Times New Roman"/>
                <w:sz w:val="18"/>
              </w:rPr>
              <w:t>2012-12-25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201210414937.4</w:t>
            </w:r>
          </w:p>
        </w:tc>
      </w:tr>
      <w:tr>
        <w:trPr>
          <w:trHeight w:val="427"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一种显示电量值的校准方法及装置</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24" w:right="0"/>
              <w:jc w:val="left"/>
              <w:rPr>
                <w:rFonts w:ascii="Times New Roman" w:hAnsi="Times New Roman" w:cs="Times New Roman" w:eastAsia="Times New Roman" w:hint="default"/>
                <w:sz w:val="18"/>
                <w:szCs w:val="18"/>
              </w:rPr>
            </w:pPr>
            <w:r>
              <w:rPr>
                <w:rFonts w:ascii="Times New Roman"/>
                <w:sz w:val="18"/>
              </w:rPr>
              <w:t>2012-10-25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201210412292.0</w:t>
            </w:r>
          </w:p>
        </w:tc>
      </w:tr>
      <w:tr>
        <w:trPr>
          <w:trHeight w:val="427"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一种解码多个视频文件的方法及设备</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70" w:right="0"/>
              <w:jc w:val="left"/>
              <w:rPr>
                <w:rFonts w:ascii="Times New Roman" w:hAnsi="Times New Roman" w:cs="Times New Roman" w:eastAsia="Times New Roman" w:hint="default"/>
                <w:sz w:val="18"/>
                <w:szCs w:val="18"/>
              </w:rPr>
            </w:pPr>
            <w:r>
              <w:rPr>
                <w:rFonts w:ascii="Times New Roman"/>
                <w:sz w:val="18"/>
              </w:rPr>
              <w:t>2012-9-21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201210357168.9</w:t>
            </w:r>
          </w:p>
        </w:tc>
      </w:tr>
      <w:tr>
        <w:trPr>
          <w:trHeight w:val="427"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一种数据存储和读取的方法及字符型存储器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24" w:right="0"/>
              <w:jc w:val="left"/>
              <w:rPr>
                <w:rFonts w:ascii="Times New Roman" w:hAnsi="Times New Roman" w:cs="Times New Roman" w:eastAsia="Times New Roman" w:hint="default"/>
                <w:sz w:val="18"/>
                <w:szCs w:val="18"/>
              </w:rPr>
            </w:pPr>
            <w:r>
              <w:rPr>
                <w:rFonts w:ascii="Times New Roman"/>
                <w:sz w:val="18"/>
              </w:rPr>
              <w:t>2010-12-18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201210551536.3</w:t>
            </w:r>
          </w:p>
        </w:tc>
      </w:tr>
      <w:tr>
        <w:trPr>
          <w:trHeight w:val="427"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一种编译调制解调器的方法与装置</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24" w:right="0"/>
              <w:jc w:val="left"/>
              <w:rPr>
                <w:rFonts w:ascii="Times New Roman" w:hAnsi="Times New Roman" w:cs="Times New Roman" w:eastAsia="Times New Roman" w:hint="default"/>
                <w:sz w:val="18"/>
                <w:szCs w:val="18"/>
              </w:rPr>
            </w:pPr>
            <w:r>
              <w:rPr>
                <w:rFonts w:ascii="Times New Roman"/>
                <w:sz w:val="18"/>
              </w:rPr>
              <w:t>2010-12-18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201220701052.8</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4537"/>
        <w:gridCol w:w="1700"/>
        <w:gridCol w:w="1702"/>
        <w:gridCol w:w="1702"/>
      </w:tblGrid>
      <w:tr>
        <w:trPr>
          <w:trHeight w:val="42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一种芯片封装</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2010-12-18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201210549942.6</w:t>
            </w:r>
          </w:p>
        </w:tc>
      </w:tr>
      <w:tr>
        <w:trPr>
          <w:trHeight w:val="427"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电泳显示控制方法及其装置</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2012-6-5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201210183947.1</w:t>
            </w:r>
          </w:p>
        </w:tc>
      </w:tr>
    </w:tbl>
    <w:p>
      <w:pPr>
        <w:pStyle w:val="BodyText"/>
        <w:spacing w:line="240" w:lineRule="auto" w:before="49"/>
        <w:ind w:left="513" w:right="0"/>
        <w:jc w:val="left"/>
      </w:pPr>
      <w:r>
        <w:rPr/>
        <w:t>（</w:t>
      </w:r>
      <w:r>
        <w:rPr>
          <w:rFonts w:ascii="Times New Roman" w:hAnsi="Times New Roman" w:cs="Times New Roman" w:eastAsia="Times New Roman" w:hint="default"/>
        </w:rPr>
        <w:t>3</w:t>
      </w:r>
      <w:r>
        <w:rPr/>
        <w:t>）报告期内，公司获得的计算机软件著作权登记证书情况如下：</w:t>
      </w:r>
    </w:p>
    <w:p>
      <w:pPr>
        <w:spacing w:line="240" w:lineRule="auto" w:before="8"/>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410"/>
        <w:gridCol w:w="2127"/>
        <w:gridCol w:w="1400"/>
        <w:gridCol w:w="1073"/>
        <w:gridCol w:w="1498"/>
        <w:gridCol w:w="1133"/>
      </w:tblGrid>
      <w:tr>
        <w:trPr>
          <w:trHeight w:val="408" w:hRule="exact"/>
        </w:trPr>
        <w:tc>
          <w:tcPr>
            <w:tcW w:w="24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2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1"/>
              <w:ind w:left="5"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4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10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1"/>
              <w:ind w:right="166"/>
              <w:jc w:val="right"/>
              <w:rPr>
                <w:rFonts w:ascii="宋体" w:hAnsi="宋体" w:cs="宋体" w:eastAsia="宋体" w:hint="default"/>
                <w:sz w:val="18"/>
                <w:szCs w:val="18"/>
              </w:rPr>
            </w:pPr>
            <w:r>
              <w:rPr>
                <w:rFonts w:ascii="宋体" w:hAnsi="宋体" w:cs="宋体" w:eastAsia="宋体" w:hint="default"/>
                <w:b/>
                <w:bCs/>
                <w:w w:val="95"/>
                <w:sz w:val="18"/>
                <w:szCs w:val="18"/>
              </w:rPr>
              <w:t>著作权人</w:t>
            </w:r>
            <w:r>
              <w:rPr>
                <w:rFonts w:ascii="宋体" w:hAnsi="宋体" w:cs="宋体" w:eastAsia="宋体" w:hint="default"/>
                <w:sz w:val="18"/>
                <w:szCs w:val="18"/>
              </w:rPr>
            </w:r>
          </w:p>
        </w:tc>
        <w:tc>
          <w:tcPr>
            <w:tcW w:w="14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b/>
                <w:bCs/>
                <w:sz w:val="18"/>
                <w:szCs w:val="18"/>
              </w:rPr>
              <w:t>发证日期</w:t>
            </w:r>
            <w:r>
              <w:rPr>
                <w:rFonts w:ascii="宋体" w:hAnsi="宋体" w:cs="宋体" w:eastAsia="宋体" w:hint="default"/>
                <w:sz w:val="18"/>
                <w:szCs w:val="18"/>
              </w:rPr>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1"/>
              <w:ind w:left="196" w:right="0"/>
              <w:jc w:val="left"/>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XOS</w:t>
            </w:r>
            <w:r>
              <w:rPr>
                <w:rFonts w:ascii="宋体" w:hAnsi="宋体" w:cs="宋体" w:eastAsia="宋体" w:hint="default"/>
                <w:sz w:val="18"/>
                <w:szCs w:val="18"/>
              </w:rPr>
              <w:t>操作系统</w:t>
            </w:r>
            <w:r>
              <w:rPr>
                <w:rFonts w:ascii="Times New Roman" w:hAnsi="Times New Roman" w:cs="Times New Roman" w:eastAsia="Times New Roman" w:hint="default"/>
                <w:sz w:val="18"/>
                <w:szCs w:val="18"/>
              </w:rPr>
              <w:t>1.0.0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0450293</w:t>
            </w:r>
            <w:r>
              <w:rPr>
                <w:rFonts w:ascii="宋体" w:hAnsi="宋体" w:cs="宋体" w:eastAsia="宋体" w:hint="default"/>
                <w:sz w:val="18"/>
                <w:szCs w:val="18"/>
              </w:rPr>
              <w:t>号</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 w:right="0"/>
              <w:jc w:val="center"/>
              <w:rPr>
                <w:rFonts w:ascii="Times New Roman" w:hAnsi="Times New Roman" w:cs="Times New Roman" w:eastAsia="Times New Roman" w:hint="default"/>
                <w:sz w:val="18"/>
                <w:szCs w:val="18"/>
              </w:rPr>
            </w:pPr>
            <w:r>
              <w:rPr>
                <w:rFonts w:ascii="Times New Roman"/>
                <w:sz w:val="18"/>
              </w:rPr>
              <w:t>2012SR082257</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67"/>
              <w:jc w:val="right"/>
              <w:rPr>
                <w:rFonts w:ascii="宋体" w:hAnsi="宋体" w:cs="宋体" w:eastAsia="宋体" w:hint="default"/>
                <w:sz w:val="18"/>
                <w:szCs w:val="18"/>
              </w:rPr>
            </w:pPr>
            <w:r>
              <w:rPr>
                <w:rFonts w:ascii="宋体" w:hAnsi="宋体" w:cs="宋体" w:eastAsia="宋体" w:hint="default"/>
                <w:sz w:val="18"/>
                <w:szCs w:val="18"/>
              </w:rPr>
              <w:t>北京君正</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世界时间软件</w:t>
            </w:r>
            <w:r>
              <w:rPr>
                <w:rFonts w:ascii="Times New Roman" w:hAnsi="Times New Roman" w:cs="Times New Roman" w:eastAsia="Times New Roman" w:hint="default"/>
                <w:sz w:val="18"/>
                <w:szCs w:val="18"/>
              </w:rPr>
              <w:t>1.0.0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0500921</w:t>
            </w:r>
            <w:r>
              <w:rPr>
                <w:rFonts w:ascii="宋体" w:hAnsi="宋体" w:cs="宋体" w:eastAsia="宋体" w:hint="default"/>
                <w:sz w:val="18"/>
                <w:szCs w:val="18"/>
              </w:rPr>
              <w:t>号</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2012SR132885</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67"/>
              <w:jc w:val="right"/>
              <w:rPr>
                <w:rFonts w:ascii="宋体" w:hAnsi="宋体" w:cs="宋体" w:eastAsia="宋体" w:hint="default"/>
                <w:sz w:val="18"/>
                <w:szCs w:val="18"/>
              </w:rPr>
            </w:pPr>
            <w:r>
              <w:rPr>
                <w:rFonts w:ascii="宋体" w:hAnsi="宋体" w:cs="宋体" w:eastAsia="宋体" w:hint="default"/>
                <w:sz w:val="18"/>
                <w:szCs w:val="18"/>
              </w:rPr>
              <w:t>北京君正</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通话记录搜索软件</w:t>
            </w:r>
            <w:r>
              <w:rPr>
                <w:rFonts w:ascii="Times New Roman" w:hAnsi="Times New Roman" w:cs="Times New Roman" w:eastAsia="Times New Roman" w:hint="default"/>
                <w:sz w:val="18"/>
                <w:szCs w:val="18"/>
              </w:rPr>
              <w:t>1.0.0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0500978</w:t>
            </w:r>
            <w:r>
              <w:rPr>
                <w:rFonts w:ascii="宋体" w:hAnsi="宋体" w:cs="宋体" w:eastAsia="宋体" w:hint="default"/>
                <w:sz w:val="18"/>
                <w:szCs w:val="18"/>
              </w:rPr>
              <w:t>号</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2012SR132942</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67"/>
              <w:jc w:val="right"/>
              <w:rPr>
                <w:rFonts w:ascii="宋体" w:hAnsi="宋体" w:cs="宋体" w:eastAsia="宋体" w:hint="default"/>
                <w:sz w:val="18"/>
                <w:szCs w:val="18"/>
              </w:rPr>
            </w:pPr>
            <w:r>
              <w:rPr>
                <w:rFonts w:ascii="宋体" w:hAnsi="宋体" w:cs="宋体" w:eastAsia="宋体" w:hint="default"/>
                <w:sz w:val="18"/>
                <w:szCs w:val="18"/>
              </w:rPr>
              <w:t>北京君正</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抓取调试信息软件</w:t>
            </w:r>
            <w:r>
              <w:rPr>
                <w:rFonts w:ascii="Times New Roman" w:hAnsi="Times New Roman" w:cs="Times New Roman" w:eastAsia="Times New Roman" w:hint="default"/>
                <w:sz w:val="18"/>
                <w:szCs w:val="18"/>
              </w:rPr>
              <w:t>1.0.0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0501078</w:t>
            </w:r>
            <w:r>
              <w:rPr>
                <w:rFonts w:ascii="宋体" w:hAnsi="宋体" w:cs="宋体" w:eastAsia="宋体" w:hint="default"/>
                <w:sz w:val="18"/>
                <w:szCs w:val="18"/>
              </w:rPr>
              <w:t>号</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2012SR133042</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7"/>
              <w:jc w:val="right"/>
              <w:rPr>
                <w:rFonts w:ascii="宋体" w:hAnsi="宋体" w:cs="宋体" w:eastAsia="宋体" w:hint="default"/>
                <w:sz w:val="18"/>
                <w:szCs w:val="18"/>
              </w:rPr>
            </w:pPr>
            <w:r>
              <w:rPr>
                <w:rFonts w:ascii="宋体" w:hAnsi="宋体" w:cs="宋体" w:eastAsia="宋体" w:hint="default"/>
                <w:sz w:val="18"/>
                <w:szCs w:val="18"/>
              </w:rPr>
              <w:t>北京君正</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短彩信文件夹管理软件</w:t>
            </w:r>
            <w:r>
              <w:rPr>
                <w:rFonts w:ascii="Times New Roman" w:hAnsi="Times New Roman" w:cs="Times New Roman" w:eastAsia="Times New Roman" w:hint="default"/>
                <w:sz w:val="18"/>
                <w:szCs w:val="18"/>
              </w:rPr>
              <w:t>1.0.0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0501278</w:t>
            </w:r>
            <w:r>
              <w:rPr>
                <w:rFonts w:ascii="宋体" w:hAnsi="宋体" w:cs="宋体" w:eastAsia="宋体" w:hint="default"/>
                <w:sz w:val="18"/>
                <w:szCs w:val="18"/>
              </w:rPr>
              <w:t>号</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2012SR133242</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7"/>
              <w:jc w:val="right"/>
              <w:rPr>
                <w:rFonts w:ascii="宋体" w:hAnsi="宋体" w:cs="宋体" w:eastAsia="宋体" w:hint="default"/>
                <w:sz w:val="18"/>
                <w:szCs w:val="18"/>
              </w:rPr>
            </w:pPr>
            <w:r>
              <w:rPr>
                <w:rFonts w:ascii="宋体" w:hAnsi="宋体" w:cs="宋体" w:eastAsia="宋体" w:hint="default"/>
                <w:sz w:val="18"/>
                <w:szCs w:val="18"/>
              </w:rPr>
              <w:t>北京君正</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工厂模式应用软件</w:t>
            </w:r>
            <w:r>
              <w:rPr>
                <w:rFonts w:ascii="Times New Roman" w:hAnsi="Times New Roman" w:cs="Times New Roman" w:eastAsia="Times New Roman" w:hint="default"/>
                <w:sz w:val="18"/>
                <w:szCs w:val="18"/>
              </w:rPr>
              <w:t>1.0.0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0501283</w:t>
            </w:r>
            <w:r>
              <w:rPr>
                <w:rFonts w:ascii="宋体" w:hAnsi="宋体" w:cs="宋体" w:eastAsia="宋体" w:hint="default"/>
                <w:sz w:val="18"/>
                <w:szCs w:val="18"/>
              </w:rPr>
              <w:t>号</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center"/>
              <w:rPr>
                <w:rFonts w:ascii="Times New Roman" w:hAnsi="Times New Roman" w:cs="Times New Roman" w:eastAsia="Times New Roman" w:hint="default"/>
                <w:sz w:val="18"/>
                <w:szCs w:val="18"/>
              </w:rPr>
            </w:pPr>
            <w:r>
              <w:rPr>
                <w:rFonts w:ascii="Times New Roman"/>
                <w:sz w:val="18"/>
              </w:rPr>
              <w:t>2012SR133247</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67"/>
              <w:jc w:val="right"/>
              <w:rPr>
                <w:rFonts w:ascii="宋体" w:hAnsi="宋体" w:cs="宋体" w:eastAsia="宋体" w:hint="default"/>
                <w:sz w:val="18"/>
                <w:szCs w:val="18"/>
              </w:rPr>
            </w:pPr>
            <w:r>
              <w:rPr>
                <w:rFonts w:ascii="宋体" w:hAnsi="宋体" w:cs="宋体" w:eastAsia="宋体" w:hint="default"/>
                <w:sz w:val="18"/>
                <w:szCs w:val="18"/>
              </w:rPr>
              <w:t>北京君正</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99"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手机短信缓存软件</w:t>
            </w:r>
            <w:r>
              <w:rPr>
                <w:rFonts w:ascii="Times New Roman" w:hAnsi="Times New Roman" w:cs="Times New Roman" w:eastAsia="Times New Roman" w:hint="default"/>
                <w:sz w:val="18"/>
                <w:szCs w:val="18"/>
              </w:rPr>
              <w:t>1.0.0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0501442</w:t>
            </w:r>
            <w:r>
              <w:rPr>
                <w:rFonts w:ascii="宋体" w:hAnsi="宋体" w:cs="宋体" w:eastAsia="宋体" w:hint="default"/>
                <w:sz w:val="18"/>
                <w:szCs w:val="18"/>
              </w:rPr>
              <w:t>号</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2012SR133406</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7"/>
              <w:jc w:val="right"/>
              <w:rPr>
                <w:rFonts w:ascii="宋体" w:hAnsi="宋体" w:cs="宋体" w:eastAsia="宋体" w:hint="default"/>
                <w:sz w:val="18"/>
                <w:szCs w:val="18"/>
              </w:rPr>
            </w:pPr>
            <w:r>
              <w:rPr>
                <w:rFonts w:ascii="宋体" w:hAnsi="宋体" w:cs="宋体" w:eastAsia="宋体" w:hint="default"/>
                <w:sz w:val="18"/>
                <w:szCs w:val="18"/>
              </w:rPr>
              <w:t>北京君正</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移动视频电话系统</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0501445</w:t>
            </w:r>
            <w:r>
              <w:rPr>
                <w:rFonts w:ascii="宋体" w:hAnsi="宋体" w:cs="宋体" w:eastAsia="宋体" w:hint="default"/>
                <w:sz w:val="18"/>
                <w:szCs w:val="18"/>
              </w:rPr>
              <w:t>号</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2012SR133409</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7"/>
              <w:jc w:val="right"/>
              <w:rPr>
                <w:rFonts w:ascii="宋体" w:hAnsi="宋体" w:cs="宋体" w:eastAsia="宋体" w:hint="default"/>
                <w:sz w:val="18"/>
                <w:szCs w:val="18"/>
              </w:rPr>
            </w:pPr>
            <w:r>
              <w:rPr>
                <w:rFonts w:ascii="宋体" w:hAnsi="宋体" w:cs="宋体" w:eastAsia="宋体" w:hint="default"/>
                <w:sz w:val="18"/>
                <w:szCs w:val="18"/>
              </w:rPr>
              <w:t>北京君正</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GIF</w:t>
            </w:r>
            <w:r>
              <w:rPr>
                <w:rFonts w:ascii="宋体" w:hAnsi="宋体" w:cs="宋体" w:eastAsia="宋体" w:hint="default"/>
                <w:sz w:val="18"/>
                <w:szCs w:val="18"/>
              </w:rPr>
              <w:t>动画播放软件</w:t>
            </w:r>
            <w:r>
              <w:rPr>
                <w:rFonts w:ascii="Times New Roman" w:hAnsi="Times New Roman" w:cs="Times New Roman" w:eastAsia="Times New Roman" w:hint="default"/>
                <w:sz w:val="18"/>
                <w:szCs w:val="18"/>
              </w:rPr>
              <w:t>1.0.0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0501448</w:t>
            </w:r>
            <w:r>
              <w:rPr>
                <w:rFonts w:ascii="宋体" w:hAnsi="宋体" w:cs="宋体" w:eastAsia="宋体" w:hint="default"/>
                <w:sz w:val="18"/>
                <w:szCs w:val="18"/>
              </w:rPr>
              <w:t>号</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2012SR133412</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7"/>
              <w:jc w:val="right"/>
              <w:rPr>
                <w:rFonts w:ascii="宋体" w:hAnsi="宋体" w:cs="宋体" w:eastAsia="宋体" w:hint="default"/>
                <w:sz w:val="18"/>
                <w:szCs w:val="18"/>
              </w:rPr>
            </w:pPr>
            <w:r>
              <w:rPr>
                <w:rFonts w:ascii="宋体" w:hAnsi="宋体" w:cs="宋体" w:eastAsia="宋体" w:hint="default"/>
                <w:sz w:val="18"/>
                <w:szCs w:val="18"/>
              </w:rPr>
              <w:t>北京君正</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5"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多卡管理软件</w:t>
            </w:r>
            <w:r>
              <w:rPr>
                <w:rFonts w:ascii="Times New Roman" w:hAnsi="Times New Roman" w:cs="Times New Roman" w:eastAsia="Times New Roman" w:hint="default"/>
                <w:sz w:val="18"/>
                <w:szCs w:val="18"/>
              </w:rPr>
              <w:t>1.0.0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0501479</w:t>
            </w:r>
            <w:r>
              <w:rPr>
                <w:rFonts w:ascii="宋体" w:hAnsi="宋体" w:cs="宋体" w:eastAsia="宋体" w:hint="default"/>
                <w:sz w:val="18"/>
                <w:szCs w:val="18"/>
              </w:rPr>
              <w:t>号</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2012SR133443</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7"/>
              <w:jc w:val="right"/>
              <w:rPr>
                <w:rFonts w:ascii="宋体" w:hAnsi="宋体" w:cs="宋体" w:eastAsia="宋体" w:hint="default"/>
                <w:sz w:val="18"/>
                <w:szCs w:val="18"/>
              </w:rPr>
            </w:pPr>
            <w:r>
              <w:rPr>
                <w:rFonts w:ascii="宋体" w:hAnsi="宋体" w:cs="宋体" w:eastAsia="宋体" w:hint="default"/>
                <w:sz w:val="18"/>
                <w:szCs w:val="18"/>
              </w:rPr>
              <w:t>北京君正</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文件管理器软件</w:t>
            </w:r>
            <w:r>
              <w:rPr>
                <w:rFonts w:ascii="Times New Roman" w:hAnsi="Times New Roman" w:cs="Times New Roman" w:eastAsia="Times New Roman" w:hint="default"/>
                <w:sz w:val="18"/>
                <w:szCs w:val="18"/>
              </w:rPr>
              <w:t>1.0.0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0501694</w:t>
            </w:r>
            <w:r>
              <w:rPr>
                <w:rFonts w:ascii="宋体" w:hAnsi="宋体" w:cs="宋体" w:eastAsia="宋体" w:hint="default"/>
                <w:sz w:val="18"/>
                <w:szCs w:val="18"/>
              </w:rPr>
              <w:t>号</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2012SR133658</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67"/>
              <w:jc w:val="right"/>
              <w:rPr>
                <w:rFonts w:ascii="宋体" w:hAnsi="宋体" w:cs="宋体" w:eastAsia="宋体" w:hint="default"/>
                <w:sz w:val="18"/>
                <w:szCs w:val="18"/>
              </w:rPr>
            </w:pPr>
            <w:r>
              <w:rPr>
                <w:rFonts w:ascii="宋体" w:hAnsi="宋体" w:cs="宋体" w:eastAsia="宋体" w:hint="default"/>
                <w:sz w:val="18"/>
                <w:szCs w:val="18"/>
              </w:rPr>
              <w:t>北京君正</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收音机软件</w:t>
            </w:r>
            <w:r>
              <w:rPr>
                <w:rFonts w:ascii="Times New Roman" w:hAnsi="Times New Roman" w:cs="Times New Roman" w:eastAsia="Times New Roman" w:hint="default"/>
                <w:sz w:val="18"/>
                <w:szCs w:val="18"/>
              </w:rPr>
              <w:t>1.0.0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0501712</w:t>
            </w:r>
            <w:r>
              <w:rPr>
                <w:rFonts w:ascii="宋体" w:hAnsi="宋体" w:cs="宋体" w:eastAsia="宋体" w:hint="default"/>
                <w:sz w:val="18"/>
                <w:szCs w:val="18"/>
              </w:rPr>
              <w:t>号</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2012SR133676</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67"/>
              <w:jc w:val="right"/>
              <w:rPr>
                <w:rFonts w:ascii="宋体" w:hAnsi="宋体" w:cs="宋体" w:eastAsia="宋体" w:hint="default"/>
                <w:sz w:val="18"/>
                <w:szCs w:val="18"/>
              </w:rPr>
            </w:pPr>
            <w:r>
              <w:rPr>
                <w:rFonts w:ascii="宋体" w:hAnsi="宋体" w:cs="宋体" w:eastAsia="宋体" w:hint="default"/>
                <w:sz w:val="18"/>
                <w:szCs w:val="18"/>
              </w:rPr>
              <w:t>北京君正</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记事本应用软件</w:t>
            </w:r>
            <w:r>
              <w:rPr>
                <w:rFonts w:ascii="Times New Roman" w:hAnsi="Times New Roman" w:cs="Times New Roman" w:eastAsia="Times New Roman" w:hint="default"/>
                <w:sz w:val="18"/>
                <w:szCs w:val="18"/>
              </w:rPr>
              <w:t>1.0.0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0501731</w:t>
            </w:r>
            <w:r>
              <w:rPr>
                <w:rFonts w:ascii="宋体" w:hAnsi="宋体" w:cs="宋体" w:eastAsia="宋体" w:hint="default"/>
                <w:sz w:val="18"/>
                <w:szCs w:val="18"/>
              </w:rPr>
              <w:t>号</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2012SR133695</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67"/>
              <w:jc w:val="right"/>
              <w:rPr>
                <w:rFonts w:ascii="宋体" w:hAnsi="宋体" w:cs="宋体" w:eastAsia="宋体" w:hint="default"/>
                <w:sz w:val="18"/>
                <w:szCs w:val="18"/>
              </w:rPr>
            </w:pPr>
            <w:r>
              <w:rPr>
                <w:rFonts w:ascii="宋体" w:hAnsi="宋体" w:cs="宋体" w:eastAsia="宋体" w:hint="default"/>
                <w:sz w:val="18"/>
                <w:szCs w:val="18"/>
              </w:rPr>
              <w:t>北京君正</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秒表、倒计时软件</w:t>
            </w:r>
            <w:r>
              <w:rPr>
                <w:rFonts w:ascii="Times New Roman" w:hAnsi="Times New Roman" w:cs="Times New Roman" w:eastAsia="Times New Roman" w:hint="default"/>
                <w:sz w:val="18"/>
                <w:szCs w:val="18"/>
              </w:rPr>
              <w:t>1.0.0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0501737</w:t>
            </w:r>
            <w:r>
              <w:rPr>
                <w:rFonts w:ascii="宋体" w:hAnsi="宋体" w:cs="宋体" w:eastAsia="宋体" w:hint="default"/>
                <w:sz w:val="18"/>
                <w:szCs w:val="18"/>
              </w:rPr>
              <w:t>号</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2012SR133701</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67"/>
              <w:jc w:val="right"/>
              <w:rPr>
                <w:rFonts w:ascii="宋体" w:hAnsi="宋体" w:cs="宋体" w:eastAsia="宋体" w:hint="default"/>
                <w:sz w:val="18"/>
                <w:szCs w:val="18"/>
              </w:rPr>
            </w:pPr>
            <w:r>
              <w:rPr>
                <w:rFonts w:ascii="宋体" w:hAnsi="宋体" w:cs="宋体" w:eastAsia="宋体" w:hint="default"/>
                <w:sz w:val="18"/>
                <w:szCs w:val="18"/>
              </w:rPr>
              <w:t>北京君正</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农历显示软件</w:t>
            </w:r>
            <w:r>
              <w:rPr>
                <w:rFonts w:ascii="Times New Roman" w:hAnsi="Times New Roman" w:cs="Times New Roman" w:eastAsia="Times New Roman" w:hint="default"/>
                <w:sz w:val="18"/>
                <w:szCs w:val="18"/>
              </w:rPr>
              <w:t>1.0.0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0501847</w:t>
            </w:r>
            <w:r>
              <w:rPr>
                <w:rFonts w:ascii="宋体" w:hAnsi="宋体" w:cs="宋体" w:eastAsia="宋体" w:hint="default"/>
                <w:sz w:val="18"/>
                <w:szCs w:val="18"/>
              </w:rPr>
              <w:t>号</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2012SR133811</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67"/>
              <w:jc w:val="right"/>
              <w:rPr>
                <w:rFonts w:ascii="宋体" w:hAnsi="宋体" w:cs="宋体" w:eastAsia="宋体" w:hint="default"/>
                <w:sz w:val="18"/>
                <w:szCs w:val="18"/>
              </w:rPr>
            </w:pPr>
            <w:r>
              <w:rPr>
                <w:rFonts w:ascii="宋体" w:hAnsi="宋体" w:cs="宋体" w:eastAsia="宋体" w:hint="default"/>
                <w:sz w:val="18"/>
                <w:szCs w:val="18"/>
              </w:rPr>
              <w:t>北京君正</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拨号键盘软件</w:t>
            </w:r>
            <w:r>
              <w:rPr>
                <w:rFonts w:ascii="Times New Roman" w:hAnsi="Times New Roman" w:cs="Times New Roman" w:eastAsia="Times New Roman" w:hint="default"/>
                <w:sz w:val="18"/>
                <w:szCs w:val="18"/>
              </w:rPr>
              <w:t>1.0.0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0501852</w:t>
            </w:r>
            <w:r>
              <w:rPr>
                <w:rFonts w:ascii="宋体" w:hAnsi="宋体" w:cs="宋体" w:eastAsia="宋体" w:hint="default"/>
                <w:sz w:val="18"/>
                <w:szCs w:val="18"/>
              </w:rPr>
              <w:t>号</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2012SR133816</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7"/>
              <w:jc w:val="right"/>
              <w:rPr>
                <w:rFonts w:ascii="宋体" w:hAnsi="宋体" w:cs="宋体" w:eastAsia="宋体" w:hint="default"/>
                <w:sz w:val="18"/>
                <w:szCs w:val="18"/>
              </w:rPr>
            </w:pPr>
            <w:r>
              <w:rPr>
                <w:rFonts w:ascii="宋体" w:hAnsi="宋体" w:cs="宋体" w:eastAsia="宋体" w:hint="default"/>
                <w:sz w:val="18"/>
                <w:szCs w:val="18"/>
              </w:rPr>
              <w:t>北京君正</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w:t>
            </w:r>
            <w:r>
              <w:rPr>
                <w:rFonts w:ascii="Times New Roman" w:hAnsi="Times New Roman" w:cs="Times New Roman" w:eastAsia="Times New Roman" w:hint="default"/>
                <w:sz w:val="18"/>
                <w:szCs w:val="18"/>
              </w:rPr>
              <w:t>Pretest</w:t>
            </w:r>
            <w:r>
              <w:rPr>
                <w:rFonts w:ascii="宋体" w:hAnsi="宋体" w:cs="宋体" w:eastAsia="宋体" w:hint="default"/>
                <w:sz w:val="18"/>
                <w:szCs w:val="18"/>
              </w:rPr>
              <w:t>板端测试软件</w:t>
            </w:r>
            <w:r>
              <w:rPr>
                <w:rFonts w:ascii="Times New Roman" w:hAnsi="Times New Roman" w:cs="Times New Roman" w:eastAsia="Times New Roman" w:hint="default"/>
                <w:sz w:val="18"/>
                <w:szCs w:val="18"/>
              </w:rPr>
              <w:t>V1.2</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0464597</w:t>
            </w:r>
            <w:r>
              <w:rPr>
                <w:rFonts w:ascii="宋体" w:hAnsi="宋体" w:cs="宋体" w:eastAsia="宋体" w:hint="default"/>
                <w:sz w:val="18"/>
                <w:szCs w:val="18"/>
              </w:rPr>
              <w:t>号</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2012SR096561</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7"/>
              <w:jc w:val="right"/>
              <w:rPr>
                <w:rFonts w:ascii="宋体" w:hAnsi="宋体" w:cs="宋体" w:eastAsia="宋体" w:hint="default"/>
                <w:sz w:val="18"/>
                <w:szCs w:val="18"/>
              </w:rPr>
            </w:pPr>
            <w:r>
              <w:rPr>
                <w:rFonts w:ascii="宋体" w:hAnsi="宋体" w:cs="宋体" w:eastAsia="宋体" w:hint="default"/>
                <w:sz w:val="18"/>
                <w:szCs w:val="18"/>
              </w:rPr>
              <w:t>君正时代</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君正媒体播放器软件</w:t>
            </w:r>
            <w:r>
              <w:rPr>
                <w:rFonts w:ascii="Times New Roman" w:hAnsi="Times New Roman" w:cs="Times New Roman" w:eastAsia="Times New Roman" w:hint="default"/>
                <w:sz w:val="18"/>
                <w:szCs w:val="18"/>
              </w:rPr>
              <w:t>V1.0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0464596</w:t>
            </w:r>
            <w:r>
              <w:rPr>
                <w:rFonts w:ascii="宋体" w:hAnsi="宋体" w:cs="宋体" w:eastAsia="宋体" w:hint="default"/>
                <w:sz w:val="18"/>
                <w:szCs w:val="18"/>
              </w:rPr>
              <w:t>号</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2012SR096560</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7"/>
              <w:jc w:val="right"/>
              <w:rPr>
                <w:rFonts w:ascii="宋体" w:hAnsi="宋体" w:cs="宋体" w:eastAsia="宋体" w:hint="default"/>
                <w:sz w:val="18"/>
                <w:szCs w:val="18"/>
              </w:rPr>
            </w:pPr>
            <w:r>
              <w:rPr>
                <w:rFonts w:ascii="宋体" w:hAnsi="宋体" w:cs="宋体" w:eastAsia="宋体" w:hint="default"/>
                <w:sz w:val="18"/>
                <w:szCs w:val="18"/>
              </w:rPr>
              <w:t>君正时代</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君正无线软件系统</w:t>
            </w:r>
            <w:r>
              <w:rPr>
                <w:rFonts w:ascii="Times New Roman" w:hAnsi="Times New Roman" w:cs="Times New Roman" w:eastAsia="Times New Roman" w:hint="default"/>
                <w:sz w:val="18"/>
                <w:szCs w:val="18"/>
              </w:rPr>
              <w:t>V1.0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0464592</w:t>
            </w:r>
            <w:r>
              <w:rPr>
                <w:rFonts w:ascii="宋体" w:hAnsi="宋体" w:cs="宋体" w:eastAsia="宋体" w:hint="default"/>
                <w:sz w:val="18"/>
                <w:szCs w:val="18"/>
              </w:rPr>
              <w:t>号</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2012SR096556</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7"/>
              <w:jc w:val="right"/>
              <w:rPr>
                <w:rFonts w:ascii="宋体" w:hAnsi="宋体" w:cs="宋体" w:eastAsia="宋体" w:hint="default"/>
                <w:sz w:val="18"/>
                <w:szCs w:val="18"/>
              </w:rPr>
            </w:pPr>
            <w:r>
              <w:rPr>
                <w:rFonts w:ascii="宋体" w:hAnsi="宋体" w:cs="宋体" w:eastAsia="宋体" w:hint="default"/>
                <w:sz w:val="18"/>
                <w:szCs w:val="18"/>
              </w:rPr>
              <w:t>君正时代</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w:t>
            </w:r>
            <w:r>
              <w:rPr>
                <w:rFonts w:ascii="Times New Roman" w:hAnsi="Times New Roman" w:cs="Times New Roman" w:eastAsia="Times New Roman" w:hint="default"/>
                <w:sz w:val="18"/>
                <w:szCs w:val="18"/>
              </w:rPr>
              <w:t>android</w:t>
            </w:r>
            <w:r>
              <w:rPr>
                <w:rFonts w:ascii="宋体" w:hAnsi="宋体" w:cs="宋体" w:eastAsia="宋体" w:hint="default"/>
                <w:sz w:val="18"/>
                <w:szCs w:val="18"/>
              </w:rPr>
              <w:t>平台</w:t>
            </w:r>
            <w:r>
              <w:rPr>
                <w:rFonts w:ascii="Times New Roman" w:hAnsi="Times New Roman" w:cs="Times New Roman" w:eastAsia="Times New Roman" w:hint="default"/>
                <w:sz w:val="18"/>
                <w:szCs w:val="18"/>
              </w:rPr>
              <w:t>3G</w:t>
            </w:r>
            <w:r>
              <w:rPr>
                <w:rFonts w:ascii="宋体" w:hAnsi="宋体" w:cs="宋体" w:eastAsia="宋体" w:hint="default"/>
                <w:sz w:val="18"/>
                <w:szCs w:val="18"/>
              </w:rPr>
              <w:t>新系统</w:t>
            </w:r>
            <w:r>
              <w:rPr>
                <w:rFonts w:ascii="Times New Roman" w:hAnsi="Times New Roman" w:cs="Times New Roman" w:eastAsia="Times New Roman" w:hint="default"/>
                <w:sz w:val="18"/>
                <w:szCs w:val="18"/>
              </w:rPr>
              <w:t>V1.0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0464595</w:t>
            </w:r>
            <w:r>
              <w:rPr>
                <w:rFonts w:ascii="宋体" w:hAnsi="宋体" w:cs="宋体" w:eastAsia="宋体" w:hint="default"/>
                <w:sz w:val="18"/>
                <w:szCs w:val="18"/>
              </w:rPr>
              <w:t>号</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2012SR096559</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7"/>
              <w:jc w:val="right"/>
              <w:rPr>
                <w:rFonts w:ascii="宋体" w:hAnsi="宋体" w:cs="宋体" w:eastAsia="宋体" w:hint="default"/>
                <w:sz w:val="18"/>
                <w:szCs w:val="18"/>
              </w:rPr>
            </w:pPr>
            <w:r>
              <w:rPr>
                <w:rFonts w:ascii="宋体" w:hAnsi="宋体" w:cs="宋体" w:eastAsia="宋体" w:hint="default"/>
                <w:sz w:val="18"/>
                <w:szCs w:val="18"/>
              </w:rPr>
              <w:t>君正时代</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w:t>
            </w:r>
            <w:r>
              <w:rPr>
                <w:rFonts w:ascii="Times New Roman" w:hAnsi="Times New Roman" w:cs="Times New Roman" w:eastAsia="Times New Roman" w:hint="default"/>
                <w:sz w:val="18"/>
                <w:szCs w:val="18"/>
              </w:rPr>
              <w:t>MusicPlayer</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0464602</w:t>
            </w:r>
            <w:r>
              <w:rPr>
                <w:rFonts w:ascii="宋体" w:hAnsi="宋体" w:cs="宋体" w:eastAsia="宋体" w:hint="default"/>
                <w:sz w:val="18"/>
                <w:szCs w:val="18"/>
              </w:rPr>
              <w:t>号</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2012SR096566</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7"/>
              <w:jc w:val="right"/>
              <w:rPr>
                <w:rFonts w:ascii="宋体" w:hAnsi="宋体" w:cs="宋体" w:eastAsia="宋体" w:hint="default"/>
                <w:sz w:val="18"/>
                <w:szCs w:val="18"/>
              </w:rPr>
            </w:pPr>
            <w:r>
              <w:rPr>
                <w:rFonts w:ascii="宋体" w:hAnsi="宋体" w:cs="宋体" w:eastAsia="宋体" w:hint="default"/>
                <w:sz w:val="18"/>
                <w:szCs w:val="18"/>
              </w:rPr>
              <w:t>君正时代</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君正电池助手软件</w:t>
            </w:r>
            <w:r>
              <w:rPr>
                <w:rFonts w:ascii="Times New Roman" w:hAnsi="Times New Roman" w:cs="Times New Roman" w:eastAsia="Times New Roman" w:hint="default"/>
                <w:sz w:val="18"/>
                <w:szCs w:val="18"/>
              </w:rPr>
              <w:t>V1.0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0465343</w:t>
            </w:r>
            <w:r>
              <w:rPr>
                <w:rFonts w:ascii="宋体" w:hAnsi="宋体" w:cs="宋体" w:eastAsia="宋体" w:hint="default"/>
                <w:sz w:val="18"/>
                <w:szCs w:val="18"/>
              </w:rPr>
              <w:t>号</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2012SR097307</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7"/>
              <w:jc w:val="right"/>
              <w:rPr>
                <w:rFonts w:ascii="宋体" w:hAnsi="宋体" w:cs="宋体" w:eastAsia="宋体" w:hint="default"/>
                <w:sz w:val="18"/>
                <w:szCs w:val="18"/>
              </w:rPr>
            </w:pPr>
            <w:r>
              <w:rPr>
                <w:rFonts w:ascii="宋体" w:hAnsi="宋体" w:cs="宋体" w:eastAsia="宋体" w:hint="default"/>
                <w:sz w:val="18"/>
                <w:szCs w:val="18"/>
              </w:rPr>
              <w:t>君正时代</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原始取得</w:t>
            </w:r>
          </w:p>
        </w:tc>
      </w:tr>
    </w:tbl>
    <w:p>
      <w:pPr>
        <w:pStyle w:val="BodyText"/>
        <w:spacing w:line="297" w:lineRule="auto" w:before="49"/>
        <w:ind w:right="144" w:firstLine="360"/>
        <w:jc w:val="left"/>
      </w:pPr>
      <w:r>
        <w:rPr/>
        <w:t>报告期内，公司及全资子公司新增专利</w:t>
      </w:r>
      <w:r>
        <w:rPr>
          <w:rFonts w:ascii="Times New Roman" w:hAnsi="Times New Roman" w:cs="Times New Roman" w:eastAsia="Times New Roman" w:hint="default"/>
        </w:rPr>
        <w:t>2</w:t>
      </w:r>
      <w:r>
        <w:rPr/>
        <w:t>项，正在申报中的专利</w:t>
      </w:r>
      <w:r>
        <w:rPr>
          <w:rFonts w:ascii="Times New Roman" w:hAnsi="Times New Roman" w:cs="Times New Roman" w:eastAsia="Times New Roman" w:hint="default"/>
        </w:rPr>
        <w:t>13</w:t>
      </w:r>
      <w:r>
        <w:rPr/>
        <w:t>项，新增计算机软件著作权登记证书</w:t>
      </w:r>
      <w:r>
        <w:rPr>
          <w:rFonts w:ascii="Times New Roman" w:hAnsi="Times New Roman" w:cs="Times New Roman" w:eastAsia="Times New Roman" w:hint="default"/>
        </w:rPr>
        <w:t>22</w:t>
      </w:r>
      <w:r>
        <w:rPr/>
        <w:t>项。上述专利 和计算机软件著作权登记证书的取得，有利于公司发挥自主知识产权优势，形成持续创新机制，提升公司核心竞争力。</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5</w:t>
      </w:r>
      <w:r>
        <w:rPr/>
        <w:t>、投资状况分析</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单位：万元</w:t>
      </w:r>
    </w:p>
    <w:p>
      <w:pPr>
        <w:spacing w:after="0" w:line="240" w:lineRule="auto"/>
        <w:jc w:val="right"/>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089"/>
        <w:gridCol w:w="5481"/>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82,566.1</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5,679.26</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10,925.51</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8,642.7</w:t>
            </w:r>
          </w:p>
        </w:tc>
      </w:tr>
      <w:tr>
        <w:trPr>
          <w:trHeight w:val="408"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8,642.7</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68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公司募集资金总额</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87,600.00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万元，扣除发行费用后，募集资金净额</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82,566.10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万元。截至报告期末，公司已累计投入募集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资金总额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10,925.51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w:t>
            </w:r>
          </w:p>
          <w:p>
            <w:pPr>
              <w:pStyle w:val="TableParagraph"/>
              <w:spacing w:line="300" w:lineRule="auto" w:before="101"/>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便携式消费电子产品用多媒体处理器芯片技术改造项目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，截至期末累计投入金额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324.30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万元，由于消费电子市场已经 发生较大变化，继续实施该项目存在较大风险，经公司董事会和股东大会审议通过，报告期内终止了该募投项目；</w:t>
            </w:r>
          </w:p>
          <w:p>
            <w:pPr>
              <w:pStyle w:val="TableParagraph"/>
              <w:spacing w:line="300" w:lineRule="auto" w:before="73"/>
              <w:ind w:left="24" w:right="4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便携式教育电子产品用嵌入式处理器芯片技术改造项目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，截至期末累计投入金额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239.42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万元，投资进度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2.93%</w:t>
            </w:r>
            <w:r>
              <w:rPr>
                <w:rFonts w:ascii="宋体" w:hAnsi="宋体" w:cs="宋体" w:eastAsia="宋体" w:hint="default"/>
                <w:sz w:val="18"/>
                <w:szCs w:val="18"/>
              </w:rPr>
              <w:t>。根据 项目实际进度情况，以及市场需求和技术发展趋势，经董事会和股东大会审议通过，将该项目完成时间延期至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日，并调整实施工艺；</w:t>
            </w:r>
          </w:p>
          <w:p>
            <w:pPr>
              <w:pStyle w:val="TableParagraph"/>
              <w:spacing w:line="300" w:lineRule="auto" w:before="103"/>
              <w:ind w:left="2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移动互联网终端应用处理器芯片研发及产业化项目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，截至期末累计投入金额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10,100.71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万元，投资进度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81.54%</w:t>
            </w:r>
            <w:r>
              <w:rPr>
                <w:rFonts w:ascii="宋体" w:hAnsi="宋体" w:cs="宋体" w:eastAsia="宋体" w:hint="default"/>
                <w:sz w:val="18"/>
                <w:szCs w:val="18"/>
              </w:rPr>
              <w:t>。根据 市场需求和技术发展趋势，经董事会和股东大会审议通过，调整该项目的实施工艺；</w:t>
            </w:r>
          </w:p>
          <w:p>
            <w:pPr>
              <w:pStyle w:val="TableParagraph"/>
              <w:spacing w:line="300" w:lineRule="auto" w:before="70"/>
              <w:ind w:left="2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，截至期末累计投入金额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万元，投资进度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8.31%</w:t>
            </w:r>
            <w:r>
              <w:rPr>
                <w:rFonts w:ascii="宋体" w:hAnsi="宋体" w:cs="宋体" w:eastAsia="宋体" w:hint="default"/>
                <w:sz w:val="18"/>
                <w:szCs w:val="18"/>
              </w:rPr>
              <w:t>。经董事会和股东大会审议通过，调整了该 项目的实施地点和实施金额，结余资金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万元转入超募资金管理，并将完工时间延期至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hanging="1"/>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便携式教育电子产品 用嵌入式处理器芯片 技术改造项目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8,165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8,165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便携式消费电子产品 用多媒体处理器芯片 技术改造项目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8,721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84"/>
              <w:jc w:val="right"/>
              <w:rPr>
                <w:rFonts w:ascii="宋体" w:hAnsi="宋体" w:cs="宋体" w:eastAsia="宋体" w:hint="default"/>
                <w:sz w:val="18"/>
                <w:szCs w:val="18"/>
              </w:rPr>
            </w:pPr>
            <w:r>
              <w:rPr>
                <w:rFonts w:ascii="宋体" w:hAnsi="宋体" w:cs="宋体" w:eastAsia="宋体" w:hint="default"/>
                <w:sz w:val="18"/>
                <w:szCs w:val="18"/>
              </w:rPr>
              <w:t>终止</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移动互联网终端应用 处理器芯片研发及产 业化项目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12,387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12,387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5,087.09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10,100.71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81.54%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-2,801.37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32,661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24,018.3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5,679.26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10,925.51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-2,801.37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1748"/>
        <w:gridCol w:w="779"/>
        <w:gridCol w:w="791"/>
        <w:gridCol w:w="780"/>
        <w:gridCol w:w="780"/>
        <w:gridCol w:w="792"/>
        <w:gridCol w:w="768"/>
        <w:gridCol w:w="768"/>
        <w:gridCol w:w="805"/>
        <w:gridCol w:w="768"/>
        <w:gridCol w:w="780"/>
      </w:tblGrid>
      <w:tr>
        <w:trPr>
          <w:trHeight w:val="401" w:hRule="exact"/>
        </w:trPr>
        <w:tc>
          <w:tcPr>
            <w:tcW w:w="955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54" w:right="0"/>
              <w:jc w:val="left"/>
              <w:rPr>
                <w:rFonts w:ascii="Times New Roman" w:hAnsi="Times New Roman" w:cs="Times New Roman" w:eastAsia="Times New Roman" w:hint="default"/>
                <w:sz w:val="18"/>
                <w:szCs w:val="18"/>
              </w:rPr>
            </w:pPr>
            <w:r>
              <w:rPr>
                <w:rFonts w:ascii="Times New Roman"/>
                <w:sz w:val="18"/>
              </w:rPr>
              <w:t>32,661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7" w:right="0"/>
              <w:jc w:val="left"/>
              <w:rPr>
                <w:rFonts w:ascii="Times New Roman" w:hAnsi="Times New Roman" w:cs="Times New Roman" w:eastAsia="Times New Roman" w:hint="default"/>
                <w:sz w:val="18"/>
                <w:szCs w:val="18"/>
              </w:rPr>
            </w:pPr>
            <w:r>
              <w:rPr>
                <w:rFonts w:ascii="Times New Roman"/>
                <w:sz w:val="18"/>
              </w:rPr>
              <w:t>24,018.3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5" w:right="0"/>
              <w:jc w:val="left"/>
              <w:rPr>
                <w:rFonts w:ascii="Times New Roman" w:hAnsi="Times New Roman" w:cs="Times New Roman" w:eastAsia="Times New Roman" w:hint="default"/>
                <w:sz w:val="18"/>
                <w:szCs w:val="18"/>
              </w:rPr>
            </w:pPr>
            <w:r>
              <w:rPr>
                <w:rFonts w:ascii="Times New Roman"/>
                <w:sz w:val="18"/>
              </w:rPr>
              <w:t>5,679.26</w:t>
            </w:r>
          </w:p>
        </w:tc>
        <w:tc>
          <w:tcPr>
            <w:tcW w:w="792"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10,925.51</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7"/>
              <w:jc w:val="center"/>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-2,801.37</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7"/>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138" w:hRule="exact"/>
        </w:trPr>
        <w:tc>
          <w:tcPr>
            <w:tcW w:w="1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1"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28"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便携式教育电子产品用嵌入式处理器芯片技术改造项目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原预计达到可使用状态的日期为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p>
          <w:p>
            <w:pPr>
              <w:pStyle w:val="TableParagraph"/>
              <w:spacing w:line="240" w:lineRule="auto" w:before="63"/>
              <w:ind w:left="28"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日，由于公司集中重点力量进行移动互联网终端产品市场的产品研发、方案开发和市场推</w:t>
            </w:r>
          </w:p>
          <w:p>
            <w:pPr>
              <w:pStyle w:val="TableParagraph"/>
              <w:spacing w:line="240" w:lineRule="auto" w:before="63"/>
              <w:ind w:left="28" w:right="0"/>
              <w:jc w:val="both"/>
              <w:rPr>
                <w:rFonts w:ascii="宋体" w:hAnsi="宋体" w:cs="宋体" w:eastAsia="宋体" w:hint="default"/>
                <w:sz w:val="18"/>
                <w:szCs w:val="18"/>
              </w:rPr>
            </w:pPr>
            <w:r>
              <w:rPr>
                <w:rFonts w:ascii="宋体" w:hAnsi="宋体" w:cs="宋体" w:eastAsia="宋体" w:hint="default"/>
                <w:spacing w:val="-3"/>
                <w:sz w:val="18"/>
                <w:szCs w:val="18"/>
              </w:rPr>
              <w:t>广，从而适当调整了该募投项目的实施进度，致使该项目进度较缓。经公司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日第一</w:t>
            </w:r>
          </w:p>
          <w:p>
            <w:pPr>
              <w:pStyle w:val="TableParagraph"/>
              <w:spacing w:line="240" w:lineRule="auto" w:before="63"/>
              <w:ind w:left="28" w:right="0"/>
              <w:jc w:val="both"/>
              <w:rPr>
                <w:rFonts w:ascii="宋体" w:hAnsi="宋体" w:cs="宋体" w:eastAsia="宋体" w:hint="default"/>
                <w:sz w:val="18"/>
                <w:szCs w:val="18"/>
              </w:rPr>
            </w:pPr>
            <w:r>
              <w:rPr>
                <w:rFonts w:ascii="宋体" w:hAnsi="宋体" w:cs="宋体" w:eastAsia="宋体" w:hint="default"/>
                <w:sz w:val="18"/>
                <w:szCs w:val="18"/>
              </w:rPr>
              <w:t>届董事会第十九次会议和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日第二次临时股东大会审议通过，将</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便携式教育电子产</w:t>
            </w:r>
          </w:p>
          <w:p>
            <w:pPr>
              <w:pStyle w:val="TableParagraph"/>
              <w:spacing w:line="240" w:lineRule="auto" w:before="63"/>
              <w:ind w:left="28" w:right="0"/>
              <w:jc w:val="both"/>
              <w:rPr>
                <w:rFonts w:ascii="宋体" w:hAnsi="宋体" w:cs="宋体" w:eastAsia="宋体" w:hint="default"/>
                <w:sz w:val="18"/>
                <w:szCs w:val="18"/>
              </w:rPr>
            </w:pPr>
            <w:r>
              <w:rPr>
                <w:rFonts w:ascii="宋体" w:hAnsi="宋体" w:cs="宋体" w:eastAsia="宋体" w:hint="default"/>
                <w:sz w:val="18"/>
                <w:szCs w:val="18"/>
              </w:rPr>
              <w:t>品用嵌入式处理器芯片技术改造项目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的预计完成时间延期至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0" w:lineRule="auto" w:before="101"/>
              <w:ind w:left="28"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日召开的第一届董事会第十五次会议审议通过了《关于变更募集资金投资项目实 </w:t>
            </w:r>
            <w:r>
              <w:rPr>
                <w:rFonts w:ascii="宋体" w:hAnsi="宋体" w:cs="宋体" w:eastAsia="宋体" w:hint="default"/>
                <w:spacing w:val="-4"/>
                <w:w w:val="100"/>
                <w:sz w:val="18"/>
                <w:szCs w:val="18"/>
              </w:rPr>
              <w:t>施地点和实施金额及延期实施的议案》，对募集资金投资项目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研发中心建设项目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的实施地点和实施</w:t>
            </w:r>
            <w:r>
              <w:rPr>
                <w:rFonts w:ascii="宋体" w:hAnsi="宋体" w:cs="宋体" w:eastAsia="宋体" w:hint="default"/>
                <w:spacing w:val="-70"/>
                <w:w w:val="100"/>
                <w:sz w:val="18"/>
                <w:szCs w:val="18"/>
              </w:rPr>
              <w:t> </w:t>
            </w:r>
            <w:r>
              <w:rPr>
                <w:rFonts w:ascii="宋体" w:hAnsi="宋体" w:cs="宋体" w:eastAsia="宋体" w:hint="default"/>
                <w:sz w:val="18"/>
                <w:szCs w:val="18"/>
              </w:rPr>
              <w:t>金额进行了变更，并将预计完成时间由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日延期至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pStyle w:val="TableParagraph"/>
              <w:spacing w:line="300" w:lineRule="auto" w:before="53"/>
              <w:ind w:left="28"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w:t>
            </w:r>
            <w:r>
              <w:rPr>
                <w:rFonts w:ascii="Times New Roman" w:hAnsi="Times New Roman" w:cs="Times New Roman" w:eastAsia="Times New Roman" w:hint="default"/>
                <w:sz w:val="18"/>
                <w:szCs w:val="18"/>
              </w:rPr>
              <w:t>“</w:t>
            </w:r>
            <w:r>
              <w:rPr>
                <w:rFonts w:ascii="宋体" w:hAnsi="宋体" w:cs="宋体" w:eastAsia="宋体" w:hint="default"/>
                <w:sz w:val="18"/>
                <w:szCs w:val="18"/>
              </w:rPr>
              <w:t>移动互联网终端应用处理器芯片研发及产业化项目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研发投入较大</w:t>
            </w:r>
            <w:r>
              <w:rPr>
                <w:rFonts w:ascii="Times New Roman" w:hAnsi="Times New Roman" w:cs="Times New Roman" w:eastAsia="Times New Roman" w:hint="default"/>
                <w:sz w:val="18"/>
                <w:szCs w:val="18"/>
              </w:rPr>
              <w:t>,</w:t>
            </w:r>
            <w:r>
              <w:rPr>
                <w:rFonts w:ascii="宋体" w:hAnsi="宋体" w:cs="宋体" w:eastAsia="宋体" w:hint="default"/>
                <w:sz w:val="18"/>
                <w:szCs w:val="18"/>
              </w:rPr>
              <w:t>且终端产品市场的销售 受软件生态等因素影响进展缓慢，致使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年度该项目实现的效益为</w:t>
            </w:r>
            <w:r>
              <w:rPr>
                <w:rFonts w:ascii="Times New Roman" w:hAnsi="Times New Roman" w:cs="Times New Roman" w:eastAsia="Times New Roman" w:hint="default"/>
                <w:sz w:val="18"/>
                <w:szCs w:val="18"/>
              </w:rPr>
              <w:t>-2,801.37 </w:t>
            </w:r>
            <w:r>
              <w:rPr>
                <w:rFonts w:ascii="宋体" w:hAnsi="宋体" w:cs="宋体" w:eastAsia="宋体" w:hint="default"/>
                <w:sz w:val="18"/>
                <w:szCs w:val="18"/>
              </w:rPr>
              <w:t>万元。</w:t>
            </w:r>
          </w:p>
        </w:tc>
      </w:tr>
      <w:tr>
        <w:trPr>
          <w:trHeight w:val="1015" w:hRule="exact"/>
        </w:trPr>
        <w:tc>
          <w:tcPr>
            <w:tcW w:w="1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0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11" w:type="dxa"/>
            <w:gridSpan w:val="10"/>
            <w:vMerge/>
            <w:tcBorders>
              <w:left w:val="single" w:sz="10" w:space="0" w:color="D2D2D2"/>
              <w:right w:val="single" w:sz="4" w:space="0" w:color="000000"/>
            </w:tcBorders>
          </w:tcPr>
          <w:p>
            <w:pPr/>
          </w:p>
        </w:tc>
      </w:tr>
      <w:tr>
        <w:trPr>
          <w:trHeight w:val="1138" w:hRule="exact"/>
        </w:trPr>
        <w:tc>
          <w:tcPr>
            <w:tcW w:w="1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1" w:type="dxa"/>
            <w:gridSpan w:val="10"/>
            <w:vMerge/>
            <w:tcBorders>
              <w:left w:val="single" w:sz="10" w:space="0" w:color="D2D2D2"/>
              <w:bottom w:val="single" w:sz="4" w:space="0" w:color="000000"/>
              <w:right w:val="single" w:sz="4" w:space="0" w:color="000000"/>
            </w:tcBorders>
          </w:tcPr>
          <w:p>
            <w:pPr/>
          </w:p>
        </w:tc>
      </w:tr>
      <w:tr>
        <w:trPr>
          <w:trHeight w:val="473" w:hRule="exact"/>
        </w:trPr>
        <w:tc>
          <w:tcPr>
            <w:tcW w:w="1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1" w:type="dxa"/>
            <w:gridSpan w:val="10"/>
            <w:vMerge w:val="restart"/>
            <w:tcBorders>
              <w:top w:val="single" w:sz="4" w:space="0" w:color="000000"/>
              <w:left w:val="single" w:sz="10" w:space="0" w:color="D2D2D2"/>
              <w:right w:val="single" w:sz="4" w:space="0" w:color="000000"/>
            </w:tcBorders>
          </w:tcPr>
          <w:p>
            <w:pPr>
              <w:pStyle w:val="TableParagraph"/>
              <w:spacing w:line="304" w:lineRule="auto" w:before="49"/>
              <w:ind w:left="28" w:right="18"/>
              <w:jc w:val="both"/>
              <w:rPr>
                <w:rFonts w:ascii="宋体" w:hAnsi="宋体" w:cs="宋体" w:eastAsia="宋体" w:hint="default"/>
                <w:sz w:val="18"/>
                <w:szCs w:val="18"/>
              </w:rPr>
            </w:pPr>
            <w:r>
              <w:rPr>
                <w:rFonts w:ascii="宋体" w:hAnsi="宋体" w:cs="宋体" w:eastAsia="宋体" w:hint="default"/>
                <w:sz w:val="18"/>
                <w:szCs w:val="18"/>
              </w:rPr>
              <w:t>鉴于国内</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PMP</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市场受移动互联网终端产品的冲击持续衰退，消费电子市场已经发生了较大变化，继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续</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便携式消费电子产品用多媒体处理器芯片技术改造项目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的研发已无法达到理想的投资回报，实 施该项目存在较大风险，经公司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日第一届董事会第十九次会议和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日第二次临时股东大会审议通过，决定终止该投资项目，对于该项目募集资金余额，公司将审慎选 择投资项目，并履行必要的审批及信息披露程序。</w:t>
            </w:r>
          </w:p>
        </w:tc>
      </w:tr>
      <w:tr>
        <w:trPr>
          <w:trHeight w:val="703" w:hRule="exact"/>
        </w:trPr>
        <w:tc>
          <w:tcPr>
            <w:tcW w:w="1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0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11" w:type="dxa"/>
            <w:gridSpan w:val="10"/>
            <w:vMerge/>
            <w:tcBorders>
              <w:left w:val="single" w:sz="10" w:space="0" w:color="D2D2D2"/>
              <w:right w:val="single" w:sz="4" w:space="0" w:color="000000"/>
            </w:tcBorders>
          </w:tcPr>
          <w:p>
            <w:pPr/>
          </w:p>
        </w:tc>
      </w:tr>
      <w:tr>
        <w:trPr>
          <w:trHeight w:val="473" w:hRule="exact"/>
        </w:trPr>
        <w:tc>
          <w:tcPr>
            <w:tcW w:w="1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1"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48" w:type="dxa"/>
            <w:vMerge w:val="restart"/>
            <w:tcBorders>
              <w:top w:val="single" w:sz="4" w:space="0" w:color="000000"/>
              <w:left w:val="single" w:sz="4" w:space="0" w:color="000000"/>
              <w:right w:val="single" w:sz="4" w:space="0" w:color="000000"/>
            </w:tcBorders>
            <w:shd w:val="clear" w:color="auto" w:fill="D2D2D2"/>
          </w:tcPr>
          <w:p>
            <w:pPr/>
          </w:p>
        </w:tc>
        <w:tc>
          <w:tcPr>
            <w:tcW w:w="78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15" w:hRule="exact"/>
        </w:trPr>
        <w:tc>
          <w:tcPr>
            <w:tcW w:w="1748" w:type="dxa"/>
            <w:vMerge/>
            <w:tcBorders>
              <w:left w:val="single" w:sz="4" w:space="0" w:color="000000"/>
              <w:bottom w:val="nil" w:sz="6" w:space="0" w:color="auto"/>
              <w:right w:val="single" w:sz="4" w:space="0" w:color="000000"/>
            </w:tcBorders>
            <w:shd w:val="clear" w:color="auto" w:fill="D2D2D2"/>
          </w:tcPr>
          <w:p>
            <w:pPr/>
          </w:p>
        </w:tc>
        <w:tc>
          <w:tcPr>
            <w:tcW w:w="7811" w:type="dxa"/>
            <w:gridSpan w:val="10"/>
            <w:vMerge w:val="restart"/>
            <w:tcBorders>
              <w:top w:val="single" w:sz="4" w:space="0" w:color="000000"/>
              <w:left w:val="single" w:sz="10" w:space="0" w:color="D2D2D2"/>
              <w:right w:val="single" w:sz="4" w:space="0" w:color="000000"/>
            </w:tcBorders>
          </w:tcPr>
          <w:p>
            <w:pPr>
              <w:pStyle w:val="TableParagraph"/>
              <w:spacing w:line="300" w:lineRule="auto" w:before="49"/>
              <w:ind w:left="28" w:right="19"/>
              <w:jc w:val="both"/>
              <w:rPr>
                <w:rFonts w:ascii="宋体" w:hAnsi="宋体" w:cs="宋体" w:eastAsia="宋体" w:hint="default"/>
                <w:sz w:val="18"/>
                <w:szCs w:val="18"/>
              </w:rPr>
            </w:pPr>
            <w:r>
              <w:rPr>
                <w:rFonts w:ascii="宋体" w:hAnsi="宋体" w:cs="宋体" w:eastAsia="宋体" w:hint="default"/>
                <w:sz w:val="18"/>
                <w:szCs w:val="18"/>
              </w:rPr>
              <w:t>公司原始超募资金金额为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49,905.10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日公司第一届董事会第十五次会议审议通 </w:t>
            </w:r>
            <w:r>
              <w:rPr>
                <w:rFonts w:ascii="宋体" w:hAnsi="宋体" w:cs="宋体" w:eastAsia="宋体" w:hint="default"/>
                <w:spacing w:val="-6"/>
                <w:sz w:val="18"/>
                <w:szCs w:val="18"/>
              </w:rPr>
              <w:t>过了《关于变更募集资金投资项目实施地点和实施金额及延期实施的议案》，对募集资金投资项目</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研</w:t>
            </w:r>
            <w:r>
              <w:rPr>
                <w:rFonts w:ascii="宋体" w:hAnsi="宋体" w:cs="宋体" w:eastAsia="宋体" w:hint="default"/>
                <w:spacing w:val="-81"/>
                <w:sz w:val="18"/>
                <w:szCs w:val="18"/>
              </w:rPr>
              <w:t> </w:t>
            </w:r>
            <w:r>
              <w:rPr>
                <w:rFonts w:ascii="宋体" w:hAnsi="宋体" w:cs="宋体" w:eastAsia="宋体" w:hint="default"/>
                <w:sz w:val="18"/>
                <w:szCs w:val="18"/>
              </w:rPr>
              <w:t>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的实施地点和实施金额进行了变更，变更后结余的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万元转入超募资金的管</w:t>
            </w:r>
          </w:p>
          <w:p>
            <w:pPr>
              <w:pStyle w:val="TableParagraph"/>
              <w:spacing w:line="240" w:lineRule="auto" w:before="13"/>
              <w:ind w:left="28" w:right="0"/>
              <w:jc w:val="both"/>
              <w:rPr>
                <w:rFonts w:ascii="宋体" w:hAnsi="宋体" w:cs="宋体" w:eastAsia="宋体" w:hint="default"/>
                <w:sz w:val="18"/>
                <w:szCs w:val="18"/>
              </w:rPr>
            </w:pPr>
            <w:r>
              <w:rPr>
                <w:rFonts w:ascii="宋体" w:hAnsi="宋体" w:cs="宋体" w:eastAsia="宋体" w:hint="default"/>
                <w:sz w:val="18"/>
                <w:szCs w:val="18"/>
              </w:rPr>
              <w:t>理中，全部超募资金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50,151.10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万元存放于募集资金专户管理，暂无超募资金的使用计划。</w:t>
            </w:r>
          </w:p>
        </w:tc>
      </w:tr>
      <w:tr>
        <w:trPr>
          <w:trHeight w:val="706" w:hRule="exact"/>
        </w:trPr>
        <w:tc>
          <w:tcPr>
            <w:tcW w:w="1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0"/>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11" w:type="dxa"/>
            <w:gridSpan w:val="10"/>
            <w:vMerge/>
            <w:tcBorders>
              <w:left w:val="single" w:sz="10" w:space="0" w:color="D2D2D2"/>
              <w:right w:val="single" w:sz="4" w:space="0" w:color="000000"/>
            </w:tcBorders>
          </w:tcPr>
          <w:p>
            <w:pPr/>
          </w:p>
        </w:tc>
      </w:tr>
      <w:tr>
        <w:trPr>
          <w:trHeight w:val="516" w:hRule="exact"/>
        </w:trPr>
        <w:tc>
          <w:tcPr>
            <w:tcW w:w="1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1"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48" w:type="dxa"/>
            <w:vMerge w:val="restart"/>
            <w:tcBorders>
              <w:top w:val="single" w:sz="4" w:space="0" w:color="000000"/>
              <w:left w:val="single" w:sz="4" w:space="0" w:color="000000"/>
              <w:right w:val="single" w:sz="4" w:space="0" w:color="000000"/>
            </w:tcBorders>
            <w:shd w:val="clear" w:color="auto" w:fill="D2D2D2"/>
          </w:tcPr>
          <w:p>
            <w:pPr/>
          </w:p>
        </w:tc>
        <w:tc>
          <w:tcPr>
            <w:tcW w:w="78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1" w:hRule="exact"/>
        </w:trPr>
        <w:tc>
          <w:tcPr>
            <w:tcW w:w="1748" w:type="dxa"/>
            <w:vMerge/>
            <w:tcBorders>
              <w:left w:val="single" w:sz="4" w:space="0" w:color="000000"/>
              <w:bottom w:val="nil" w:sz="6" w:space="0" w:color="auto"/>
              <w:right w:val="single" w:sz="4" w:space="0" w:color="000000"/>
            </w:tcBorders>
            <w:shd w:val="clear" w:color="auto" w:fill="D2D2D2"/>
          </w:tcPr>
          <w:p>
            <w:pPr/>
          </w:p>
        </w:tc>
        <w:tc>
          <w:tcPr>
            <w:tcW w:w="7811"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240" w:hRule="exact"/>
        </w:trPr>
        <w:tc>
          <w:tcPr>
            <w:tcW w:w="174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2" w:right="10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11" w:type="dxa"/>
            <w:gridSpan w:val="10"/>
            <w:vMerge/>
            <w:tcBorders>
              <w:left w:val="single" w:sz="10" w:space="0" w:color="D2D2D2"/>
              <w:bottom w:val="single" w:sz="4" w:space="0" w:color="000000"/>
              <w:right w:val="single" w:sz="4" w:space="0" w:color="000000"/>
            </w:tcBorders>
          </w:tcPr>
          <w:p>
            <w:pPr/>
          </w:p>
        </w:tc>
      </w:tr>
      <w:tr>
        <w:trPr>
          <w:trHeight w:val="463" w:hRule="exact"/>
        </w:trPr>
        <w:tc>
          <w:tcPr>
            <w:tcW w:w="1748" w:type="dxa"/>
            <w:vMerge/>
            <w:tcBorders>
              <w:left w:val="single" w:sz="4" w:space="0" w:color="000000"/>
              <w:bottom w:val="nil" w:sz="6" w:space="0" w:color="auto"/>
              <w:right w:val="single" w:sz="4" w:space="0" w:color="000000"/>
            </w:tcBorders>
            <w:shd w:val="clear" w:color="auto" w:fill="D2D2D2"/>
          </w:tcPr>
          <w:p>
            <w:pPr/>
          </w:p>
        </w:tc>
        <w:tc>
          <w:tcPr>
            <w:tcW w:w="7811" w:type="dxa"/>
            <w:gridSpan w:val="10"/>
            <w:vMerge w:val="restart"/>
            <w:tcBorders>
              <w:top w:val="single" w:sz="4" w:space="0" w:color="000000"/>
              <w:left w:val="single" w:sz="10" w:space="0" w:color="D2D2D2"/>
              <w:right w:val="single" w:sz="4" w:space="0" w:color="000000"/>
            </w:tcBorders>
          </w:tcPr>
          <w:p>
            <w:pPr>
              <w:pStyle w:val="TableParagraph"/>
              <w:spacing w:line="300" w:lineRule="auto" w:before="49"/>
              <w:ind w:left="28" w:right="19"/>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日召开的第一届董事会第十五次会议审议通过了《关于变更募集资金投资项目</w:t>
            </w:r>
            <w:r>
              <w:rPr>
                <w:rFonts w:ascii="宋体" w:hAnsi="宋体" w:cs="宋体" w:eastAsia="宋体" w:hint="default"/>
                <w:sz w:val="18"/>
                <w:szCs w:val="18"/>
              </w:rPr>
              <w:t> </w:t>
            </w:r>
            <w:r>
              <w:rPr>
                <w:rFonts w:ascii="宋体" w:hAnsi="宋体" w:cs="宋体" w:eastAsia="宋体" w:hint="default"/>
                <w:spacing w:val="-4"/>
                <w:w w:val="100"/>
                <w:sz w:val="18"/>
                <w:szCs w:val="18"/>
              </w:rPr>
              <w:t>实施地点和实施金额及延期实施的议案》，对募集资金投资项目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研发中心建设项目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的实施地点进行</w:t>
            </w:r>
            <w:r>
              <w:rPr>
                <w:rFonts w:ascii="宋体" w:hAnsi="宋体" w:cs="宋体" w:eastAsia="宋体" w:hint="default"/>
                <w:spacing w:val="-70"/>
                <w:w w:val="100"/>
                <w:sz w:val="18"/>
                <w:szCs w:val="18"/>
              </w:rPr>
              <w:t> </w:t>
            </w:r>
            <w:r>
              <w:rPr>
                <w:rFonts w:ascii="宋体" w:hAnsi="宋体" w:cs="宋体" w:eastAsia="宋体" w:hint="default"/>
                <w:spacing w:val="-70"/>
                <w:w w:val="100"/>
                <w:sz w:val="18"/>
                <w:szCs w:val="18"/>
              </w:rPr>
            </w:r>
            <w:r>
              <w:rPr>
                <w:rFonts w:ascii="宋体" w:hAnsi="宋体" w:cs="宋体" w:eastAsia="宋体" w:hint="default"/>
                <w:sz w:val="18"/>
                <w:szCs w:val="18"/>
              </w:rPr>
              <w:t>了变更，变更后的实施地点位于中关村软件园二期（西扩）起步区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J-2 </w:t>
            </w:r>
            <w:r>
              <w:rPr>
                <w:rFonts w:ascii="宋体" w:hAnsi="宋体" w:cs="宋体" w:eastAsia="宋体" w:hint="default"/>
                <w:sz w:val="18"/>
                <w:szCs w:val="18"/>
              </w:rPr>
              <w:t>地块。</w:t>
            </w:r>
          </w:p>
        </w:tc>
      </w:tr>
      <w:tr>
        <w:trPr>
          <w:trHeight w:val="564" w:hRule="exact"/>
        </w:trPr>
        <w:tc>
          <w:tcPr>
            <w:tcW w:w="1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1" w:type="dxa"/>
            <w:gridSpan w:val="10"/>
            <w:vMerge/>
            <w:tcBorders>
              <w:left w:val="single" w:sz="10" w:space="0" w:color="D2D2D2"/>
              <w:bottom w:val="single" w:sz="4" w:space="0" w:color="000000"/>
              <w:right w:val="single" w:sz="4" w:space="0" w:color="000000"/>
            </w:tcBorders>
          </w:tcPr>
          <w:p>
            <w:pPr/>
          </w:p>
        </w:tc>
      </w:tr>
      <w:tr>
        <w:trPr>
          <w:trHeight w:val="713"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48" w:type="dxa"/>
            <w:vMerge w:val="restart"/>
            <w:tcBorders>
              <w:top w:val="single" w:sz="4" w:space="0" w:color="000000"/>
              <w:left w:val="single" w:sz="4" w:space="0" w:color="000000"/>
              <w:right w:val="single" w:sz="4" w:space="0" w:color="000000"/>
            </w:tcBorders>
            <w:shd w:val="clear" w:color="auto" w:fill="D2D2D2"/>
          </w:tcPr>
          <w:p>
            <w:pPr/>
          </w:p>
        </w:tc>
        <w:tc>
          <w:tcPr>
            <w:tcW w:w="78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15" w:hRule="exact"/>
        </w:trPr>
        <w:tc>
          <w:tcPr>
            <w:tcW w:w="1748" w:type="dxa"/>
            <w:vMerge/>
            <w:tcBorders>
              <w:left w:val="single" w:sz="4" w:space="0" w:color="000000"/>
              <w:bottom w:val="nil" w:sz="6" w:space="0" w:color="auto"/>
              <w:right w:val="single" w:sz="4" w:space="0" w:color="000000"/>
            </w:tcBorders>
            <w:shd w:val="clear" w:color="auto" w:fill="D2D2D2"/>
          </w:tcPr>
          <w:p>
            <w:pPr/>
          </w:p>
        </w:tc>
        <w:tc>
          <w:tcPr>
            <w:tcW w:w="7811"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日，经公司第一届董事会第十一次会议审议通过，根据北京兴华会计师事务所有限</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责任公司出具的</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宋体" w:hAnsi="宋体" w:cs="宋体" w:eastAsia="宋体" w:hint="default"/>
                <w:sz w:val="18"/>
                <w:szCs w:val="18"/>
              </w:rPr>
              <w:t>）京会兴核字第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1-041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《关于北京君正集成电路股份有限公司以自筹资</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金预先投入募投项目的鉴证报告</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公司以募集资金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4 </w:t>
            </w:r>
            <w:r>
              <w:rPr>
                <w:rFonts w:ascii="宋体" w:hAnsi="宋体" w:cs="宋体" w:eastAsia="宋体" w:hint="default"/>
                <w:sz w:val="18"/>
                <w:szCs w:val="18"/>
              </w:rPr>
              <w:t>万元置换预先已投入募集资金投资项目</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移动互联网终端应用处理器芯片研发及产业化项目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的自筹资金。</w:t>
            </w:r>
          </w:p>
        </w:tc>
      </w:tr>
      <w:tr>
        <w:trPr>
          <w:trHeight w:val="706" w:hRule="exact"/>
        </w:trPr>
        <w:tc>
          <w:tcPr>
            <w:tcW w:w="1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12" w:right="10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11" w:type="dxa"/>
            <w:gridSpan w:val="10"/>
            <w:vMerge/>
            <w:tcBorders>
              <w:left w:val="single" w:sz="10" w:space="0" w:color="D2D2D2"/>
              <w:right w:val="single" w:sz="4" w:space="0" w:color="000000"/>
            </w:tcBorders>
          </w:tcPr>
          <w:p>
            <w:pPr/>
          </w:p>
        </w:tc>
      </w:tr>
      <w:tr>
        <w:trPr>
          <w:trHeight w:val="516" w:hRule="exact"/>
        </w:trPr>
        <w:tc>
          <w:tcPr>
            <w:tcW w:w="1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1" w:type="dxa"/>
            <w:gridSpan w:val="10"/>
            <w:vMerge/>
            <w:tcBorders>
              <w:left w:val="single" w:sz="10" w:space="0" w:color="D2D2D2"/>
              <w:bottom w:val="single" w:sz="4" w:space="0" w:color="000000"/>
              <w:right w:val="single" w:sz="4" w:space="0" w:color="000000"/>
            </w:tcBorders>
          </w:tcPr>
          <w:p>
            <w:pPr/>
          </w:p>
        </w:tc>
      </w:tr>
      <w:tr>
        <w:trPr>
          <w:trHeight w:val="715"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3"/>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截至报告期末，尚未使用的募集资金存放于公司募集资金专户。</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9" w:type="dxa"/>
        <w:tblLayout w:type="fixed"/>
        <w:tblCellMar>
          <w:top w:w="0" w:type="dxa"/>
          <w:left w:w="0" w:type="dxa"/>
          <w:bottom w:w="0" w:type="dxa"/>
          <w:right w:w="0" w:type="dxa"/>
        </w:tblCellMar>
        <w:tblLook w:val="01E0"/>
      </w:tblPr>
      <w:tblGrid>
        <w:gridCol w:w="1770"/>
        <w:gridCol w:w="7799"/>
      </w:tblGrid>
      <w:tr>
        <w:trPr>
          <w:trHeight w:val="134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日第一届董事会第十九次会议和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日第二次临时股东大会审议通过 </w:t>
            </w:r>
            <w:r>
              <w:rPr>
                <w:rFonts w:ascii="宋体" w:hAnsi="宋体" w:cs="宋体" w:eastAsia="宋体" w:hint="default"/>
                <w:spacing w:val="-5"/>
                <w:sz w:val="18"/>
                <w:szCs w:val="18"/>
              </w:rPr>
              <w:t>了《关于终止个别募投项目及调整募投项目实施进度和实施工艺的议案》，根据集成电路制造工艺的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2"/>
                <w:sz w:val="18"/>
                <w:szCs w:val="18"/>
              </w:rPr>
              <w:t>发展趋势，公司调整了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便携式教育电子产品用嵌入式处理器芯片技术改造项目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移动互联网终端</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应用处理器芯片研发及产业化项目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的实施工艺。</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left="192" w:right="3135"/>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1"/>
        <w:jc w:val="right"/>
      </w:pPr>
      <w:r>
        <w:rPr/>
        <w:t>单位：万元</w:t>
      </w:r>
    </w:p>
    <w:p>
      <w:pPr>
        <w:spacing w:line="240" w:lineRule="auto" w:before="4"/>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957"/>
        <w:gridCol w:w="1594"/>
        <w:gridCol w:w="958"/>
        <w:gridCol w:w="958"/>
        <w:gridCol w:w="958"/>
        <w:gridCol w:w="955"/>
        <w:gridCol w:w="958"/>
        <w:gridCol w:w="745"/>
        <w:gridCol w:w="708"/>
        <w:gridCol w:w="991"/>
      </w:tblGrid>
      <w:tr>
        <w:trPr>
          <w:trHeight w:val="1337"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3"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对应的原承诺项目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 (1)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6" w:right="98"/>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38"/>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7"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both"/>
              <w:rPr>
                <w:rFonts w:ascii="宋体" w:hAnsi="宋体" w:cs="宋体" w:eastAsia="宋体" w:hint="default"/>
                <w:sz w:val="18"/>
                <w:szCs w:val="18"/>
              </w:rPr>
            </w:pPr>
            <w:r>
              <w:rPr>
                <w:rFonts w:ascii="宋体" w:hAnsi="宋体" w:cs="宋体" w:eastAsia="宋体" w:hint="default"/>
                <w:sz w:val="18"/>
                <w:szCs w:val="18"/>
              </w:rPr>
              <w:t>便携式消费电子产 品用多媒体处理器 芯片技术改造项目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167.84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324.3</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终止</w:t>
            </w:r>
          </w:p>
        </w:tc>
        <w:tc>
          <w:tcPr>
            <w:tcW w:w="74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5"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研发中心建 设项目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研发中心建设项目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261.08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261.08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8.31%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4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3,466.3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428.92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585.38</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12"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562" w:hRule="exact"/>
        </w:trPr>
        <w:tc>
          <w:tcPr>
            <w:tcW w:w="350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300" w:lineRule="auto"/>
              <w:ind w:left="22" w:right="19"/>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变更原因、决策程序及信息披露情况说明</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分</w:t>
            </w:r>
            <w:r>
              <w:rPr>
                <w:rFonts w:ascii="宋体" w:hAnsi="宋体" w:cs="宋体" w:eastAsia="宋体" w:hint="default"/>
                <w:spacing w:val="-76"/>
                <w:sz w:val="18"/>
                <w:szCs w:val="18"/>
              </w:rPr>
              <w:t> </w:t>
            </w:r>
            <w:r>
              <w:rPr>
                <w:rFonts w:ascii="宋体" w:hAnsi="宋体" w:cs="宋体" w:eastAsia="宋体" w:hint="default"/>
                <w:sz w:val="18"/>
                <w:szCs w:val="18"/>
              </w:rPr>
              <w:t>具体项目</w:t>
            </w:r>
            <w:r>
              <w:rPr>
                <w:rFonts w:ascii="Times New Roman" w:hAnsi="Times New Roman" w:cs="Times New Roman" w:eastAsia="Times New Roman" w:hint="default"/>
                <w:sz w:val="18"/>
                <w:szCs w:val="18"/>
              </w:rPr>
              <w:t>)</w:t>
            </w:r>
          </w:p>
        </w:tc>
        <w:tc>
          <w:tcPr>
            <w:tcW w:w="6272"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8"/>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、鉴于国内</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PMP</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市场受移动互联网终端产品的冲击持续衰退，消费电子市场已 经发生了较大变化，继续</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便携式消费电子产品用多媒体处理器芯片技术改造项 </w:t>
            </w:r>
            <w:r>
              <w:rPr>
                <w:rFonts w:ascii="宋体" w:hAnsi="宋体" w:cs="宋体" w:eastAsia="宋体" w:hint="default"/>
                <w:spacing w:val="-1"/>
                <w:sz w:val="18"/>
                <w:szCs w:val="18"/>
              </w:rPr>
              <w:t>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的研发已无法达到理想的投资回报，实施该项目存在较大风险，经公司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2012</w:t>
            </w:r>
          </w:p>
          <w:p>
            <w:pPr>
              <w:pStyle w:val="TableParagraph"/>
              <w:spacing w:line="309" w:lineRule="auto" w:before="13"/>
              <w:ind w:left="24" w:right="24"/>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日第一届董事会第十九次会议和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日第二次临时股东 </w:t>
            </w:r>
            <w:r>
              <w:rPr>
                <w:rFonts w:ascii="宋体" w:hAnsi="宋体" w:cs="宋体" w:eastAsia="宋体" w:hint="default"/>
                <w:spacing w:val="-3"/>
                <w:sz w:val="18"/>
                <w:szCs w:val="18"/>
              </w:rPr>
              <w:t>大会审议通过，决定终止该投资项目，对于该项目募集资金余额，公司将审慎选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择投资项目，并履行必要的审批及信息披露程序。</w:t>
            </w:r>
          </w:p>
          <w:p>
            <w:pPr>
              <w:pStyle w:val="TableParagraph"/>
              <w:spacing w:line="304" w:lineRule="auto" w:before="62"/>
              <w:ind w:left="24" w:right="19"/>
              <w:jc w:val="both"/>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、公司于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日召开的第一届董事会第十五次会议审议通过了《关于 </w:t>
            </w:r>
            <w:r>
              <w:rPr>
                <w:rFonts w:ascii="宋体" w:hAnsi="宋体" w:cs="宋体" w:eastAsia="宋体" w:hint="default"/>
                <w:spacing w:val="-3"/>
                <w:sz w:val="18"/>
                <w:szCs w:val="18"/>
              </w:rPr>
              <w:t>变更募集资金投资项目实施地点和实施金额及延期实施的议案》，对募集资金投</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资项目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研发中心建设项目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的实施地点进行了变更，变更后的实施地点位于中关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村软件园二期（西扩）起步区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J-2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地块，变更后结余的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246.00 </w:t>
            </w:r>
            <w:r>
              <w:rPr>
                <w:rFonts w:ascii="宋体" w:hAnsi="宋体" w:cs="宋体" w:eastAsia="宋体" w:hint="default"/>
                <w:sz w:val="18"/>
                <w:szCs w:val="18"/>
              </w:rPr>
              <w:t>万元转入超募资金</w:t>
            </w:r>
            <w:r>
              <w:rPr>
                <w:rFonts w:ascii="宋体" w:hAnsi="宋体" w:cs="宋体" w:eastAsia="宋体" w:hint="default"/>
                <w:w w:val="99"/>
                <w:sz w:val="18"/>
                <w:szCs w:val="18"/>
              </w:rPr>
              <w:t> </w:t>
            </w:r>
            <w:r>
              <w:rPr>
                <w:rFonts w:ascii="宋体" w:hAnsi="宋体" w:cs="宋体" w:eastAsia="宋体" w:hint="default"/>
                <w:sz w:val="18"/>
                <w:szCs w:val="18"/>
              </w:rPr>
              <w:t>的管理，并将预计完成时间由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日延期至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715" w:hRule="exact"/>
        </w:trPr>
        <w:tc>
          <w:tcPr>
            <w:tcW w:w="350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未达到计划进度或预计收益的情况和原因</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27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350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变更后的项目可行性发生重大变化的情况说 明</w:t>
            </w:r>
          </w:p>
        </w:tc>
        <w:tc>
          <w:tcPr>
            <w:tcW w:w="6272" w:type="dxa"/>
            <w:gridSpan w:val="7"/>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由于继续实施</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便携式消费电子产品用多媒体处理器芯片技术改造项目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存在较 大风险，公司决定终止该募投项目。</w:t>
            </w:r>
          </w:p>
        </w:tc>
      </w:tr>
    </w:tbl>
    <w:p>
      <w:pPr>
        <w:spacing w:line="240" w:lineRule="auto" w:before="3"/>
        <w:rPr>
          <w:rFonts w:ascii="宋体" w:hAnsi="宋体" w:cs="宋体" w:eastAsia="宋体" w:hint="default"/>
          <w:sz w:val="19"/>
          <w:szCs w:val="19"/>
        </w:rPr>
      </w:pPr>
    </w:p>
    <w:p>
      <w:pPr>
        <w:pStyle w:val="Heading4"/>
        <w:spacing w:line="240" w:lineRule="auto" w:before="36"/>
        <w:ind w:left="192" w:right="3135"/>
        <w:jc w:val="left"/>
        <w:rPr>
          <w:b w:val="0"/>
          <w:bCs w:val="0"/>
        </w:rPr>
      </w:pPr>
      <w:r>
        <w:rPr/>
        <w:t>（</w:t>
      </w:r>
      <w:r>
        <w:rPr>
          <w:rFonts w:ascii="Times New Roman" w:hAnsi="Times New Roman" w:cs="Times New Roman" w:eastAsia="Times New Roman" w:hint="default"/>
        </w:rPr>
        <w:t>4</w:t>
      </w:r>
      <w:r>
        <w:rPr/>
        <w:t>）非募集资金投资的项目情况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单位：万元</w:t>
      </w:r>
    </w:p>
    <w:p>
      <w:pPr>
        <w:spacing w:line="240" w:lineRule="auto" w:before="3"/>
        <w:rPr>
          <w:rFonts w:ascii="宋体" w:hAnsi="宋体" w:cs="宋体" w:eastAsia="宋体" w:hint="default"/>
          <w:sz w:val="8"/>
          <w:szCs w:val="8"/>
        </w:rPr>
      </w:pPr>
    </w:p>
    <w:tbl>
      <w:tblPr>
        <w:tblW w:w="0" w:type="auto"/>
        <w:jc w:val="left"/>
        <w:tblInd w:w="18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2" w:right="72" w:hanging="361"/>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研发基地建设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31,075,806.64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31,075,806.64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31,075,806.64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31,075,806.64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40" w:right="940"/>
        </w:sectPr>
      </w:pPr>
    </w:p>
    <w:p>
      <w:pPr>
        <w:spacing w:line="240" w:lineRule="auto" w:before="12"/>
        <w:rPr>
          <w:rFonts w:ascii="宋体" w:hAnsi="宋体" w:cs="宋体" w:eastAsia="宋体" w:hint="default"/>
          <w:sz w:val="24"/>
          <w:szCs w:val="24"/>
        </w:rPr>
      </w:pPr>
    </w:p>
    <w:p>
      <w:pPr>
        <w:spacing w:line="402"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4pt;height:20.150pt;mso-position-horizontal-relative:char;mso-position-vertical-relative:line" type="#_x0000_t202" filled="true" fillcolor="#d2d2d2" stroked="true" strokeweight=".48pt" strokecolor="#000000">
            <w10:anchorlock/>
            <v:textbox inset="0,0,0,0">
              <w:txbxContent>
                <w:p>
                  <w:pPr>
                    <w:pStyle w:val="BodyText"/>
                    <w:spacing w:line="240" w:lineRule="auto" w:before="49"/>
                    <w:ind w:left="0" w:right="1"/>
                    <w:jc w:val="center"/>
                  </w:pPr>
                  <w:r>
                    <w:rPr/>
                    <w:t>非募集资金投资的项目情况说明</w:t>
                  </w:r>
                </w:p>
              </w:txbxContent>
            </v:textbox>
            <v:fill type="solid"/>
          </v:shape>
        </w:pict>
      </w:r>
      <w:r>
        <w:rPr>
          <w:rFonts w:ascii="宋体" w:hAnsi="宋体" w:cs="宋体" w:eastAsia="宋体" w:hint="default"/>
          <w:position w:val="-7"/>
          <w:sz w:val="20"/>
          <w:szCs w:val="20"/>
        </w:rPr>
      </w:r>
    </w:p>
    <w:p>
      <w:pPr>
        <w:spacing w:line="240" w:lineRule="auto" w:before="9"/>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）证券投资情况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6</w:t>
      </w:r>
      <w:r>
        <w:rPr/>
        <w:t>）持有其他上市公司股权情况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7</w:t>
      </w:r>
      <w:r>
        <w:rPr/>
        <w:t>）持有非上市金融企业股权情况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8</w:t>
      </w:r>
      <w:r>
        <w:rPr/>
        <w:t>）买卖其他上市公司股份的情况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9</w:t>
      </w:r>
      <w:r>
        <w:rPr/>
        <w:t>）外币金融资产和外币金融负债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w:t>
      </w:r>
      <w:r>
        <w:rPr/>
        <w:t>、主要控股参股公司分析</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left="506" w:right="0"/>
        <w:jc w:val="left"/>
      </w:pPr>
      <w:r>
        <w:rPr/>
        <w:t>（</w:t>
      </w:r>
      <w:r>
        <w:rPr>
          <w:rFonts w:ascii="Times New Roman" w:hAnsi="Times New Roman" w:cs="Times New Roman" w:eastAsia="Times New Roman" w:hint="default"/>
        </w:rPr>
        <w:t>1</w:t>
      </w:r>
      <w:r>
        <w:rPr/>
        <w:t>）深圳君正时代集成电路有限公司 </w:t>
      </w:r>
      <w:r>
        <w:rPr>
          <w:spacing w:val="-1"/>
        </w:rPr>
        <w:t>君正时代成立于</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14</w:t>
      </w:r>
      <w:r>
        <w:rPr>
          <w:spacing w:val="-1"/>
        </w:rPr>
        <w:t>日，是本公司全资子公司。注册资本：</w:t>
      </w:r>
      <w:r>
        <w:rPr>
          <w:rFonts w:ascii="Times New Roman" w:hAnsi="Times New Roman" w:cs="Times New Roman" w:eastAsia="Times New Roman" w:hint="default"/>
          <w:spacing w:val="-1"/>
        </w:rPr>
        <w:t>1,000</w:t>
      </w:r>
      <w:r>
        <w:rPr>
          <w:spacing w:val="-1"/>
        </w:rPr>
        <w:t>万元人民币；注册地：深圳市南山区高新中二</w:t>
      </w:r>
    </w:p>
    <w:p>
      <w:pPr>
        <w:pStyle w:val="BodyText"/>
        <w:spacing w:line="228" w:lineRule="exact"/>
        <w:ind w:right="0"/>
        <w:jc w:val="left"/>
      </w:pPr>
      <w:r>
        <w:rPr/>
        <w:t>道</w:t>
      </w:r>
      <w:r>
        <w:rPr>
          <w:rFonts w:ascii="Times New Roman" w:hAnsi="Times New Roman" w:cs="Times New Roman" w:eastAsia="Times New Roman" w:hint="default"/>
        </w:rPr>
        <w:t>2</w:t>
      </w:r>
      <w:r>
        <w:rPr/>
        <w:t>号深圳国际软件园</w:t>
      </w:r>
      <w:r>
        <w:rPr>
          <w:rFonts w:ascii="Times New Roman" w:hAnsi="Times New Roman" w:cs="Times New Roman" w:eastAsia="Times New Roman" w:hint="default"/>
        </w:rPr>
        <w:t>4</w:t>
      </w:r>
      <w:r>
        <w:rPr/>
        <w:t>栋</w:t>
      </w:r>
      <w:r>
        <w:rPr>
          <w:rFonts w:ascii="Times New Roman" w:hAnsi="Times New Roman" w:cs="Times New Roman" w:eastAsia="Times New Roman" w:hint="default"/>
        </w:rPr>
        <w:t>301-305</w:t>
      </w:r>
      <w:r>
        <w:rPr/>
        <w:t>、</w:t>
      </w:r>
      <w:r>
        <w:rPr>
          <w:rFonts w:ascii="Times New Roman" w:hAnsi="Times New Roman" w:cs="Times New Roman" w:eastAsia="Times New Roman" w:hint="default"/>
        </w:rPr>
        <w:t>322-326</w:t>
      </w:r>
      <w:r>
        <w:rPr/>
        <w:t>；主营业务：半导体集成电路芯片及计算机软硬件的技术开发、设计、销售、技</w:t>
      </w:r>
    </w:p>
    <w:p>
      <w:pPr>
        <w:pStyle w:val="BodyText"/>
        <w:spacing w:line="240" w:lineRule="auto" w:before="63"/>
        <w:ind w:right="0"/>
        <w:jc w:val="left"/>
      </w:pPr>
      <w:r>
        <w:rPr/>
        <w:t>术咨询及技术服务。</w:t>
      </w:r>
    </w:p>
    <w:p>
      <w:pPr>
        <w:pStyle w:val="BodyText"/>
        <w:spacing w:line="240" w:lineRule="auto" w:before="115"/>
        <w:ind w:left="506" w:right="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日，君正时代总资产：</w:t>
      </w:r>
      <w:r>
        <w:rPr>
          <w:rFonts w:ascii="Times New Roman" w:hAnsi="Times New Roman" w:cs="Times New Roman" w:eastAsia="Times New Roman" w:hint="default"/>
        </w:rPr>
        <w:t>1,335.75</w:t>
      </w:r>
      <w:r>
        <w:rPr/>
        <w:t>万元；净资产：</w:t>
      </w:r>
      <w:r>
        <w:rPr>
          <w:rFonts w:ascii="Times New Roman" w:hAnsi="Times New Roman" w:cs="Times New Roman" w:eastAsia="Times New Roman" w:hint="default"/>
        </w:rPr>
        <w:t>-1,056.02</w:t>
      </w:r>
      <w:r>
        <w:rPr/>
        <w:t>万元；净利润：</w:t>
      </w:r>
      <w:r>
        <w:rPr>
          <w:rFonts w:ascii="Times New Roman" w:hAnsi="Times New Roman" w:cs="Times New Roman" w:eastAsia="Times New Roman" w:hint="default"/>
        </w:rPr>
        <w:t>-694.26</w:t>
      </w:r>
      <w:r>
        <w:rPr/>
        <w:t>万元。</w:t>
      </w:r>
    </w:p>
    <w:p>
      <w:pPr>
        <w:pStyle w:val="BodyText"/>
        <w:spacing w:line="340" w:lineRule="auto" w:before="103"/>
        <w:ind w:left="506"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）北京君正香港（集团）有限公司 </w:t>
      </w:r>
      <w:r>
        <w:rPr>
          <w:spacing w:val="-1"/>
        </w:rPr>
        <w:t>香港君正集团成立于</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14</w:t>
      </w:r>
      <w:r>
        <w:rPr>
          <w:spacing w:val="-1"/>
        </w:rPr>
        <w:t>日，是本公司全资子公司。注册资本：</w:t>
      </w:r>
      <w:r>
        <w:rPr>
          <w:rFonts w:ascii="Times New Roman" w:hAnsi="Times New Roman" w:cs="Times New Roman" w:eastAsia="Times New Roman" w:hint="default"/>
          <w:spacing w:val="-1"/>
        </w:rPr>
        <w:t>10,000</w:t>
      </w:r>
      <w:r>
        <w:rPr>
          <w:spacing w:val="-1"/>
        </w:rPr>
        <w:t>元港币；注册地：香港九龙旺角花园街</w:t>
      </w:r>
      <w:r>
        <w:rPr>
          <w:rFonts w:ascii="Times New Roman" w:hAnsi="Times New Roman" w:cs="Times New Roman" w:eastAsia="Times New Roman" w:hint="default"/>
          <w:spacing w:val="-1"/>
        </w:rPr>
        <w:t>2</w:t>
      </w:r>
    </w:p>
    <w:p>
      <w:pPr>
        <w:pStyle w:val="BodyText"/>
        <w:spacing w:line="228" w:lineRule="exact"/>
        <w:ind w:right="0"/>
        <w:jc w:val="left"/>
      </w:pPr>
      <w:r>
        <w:rPr/>
        <w:t>道</w:t>
      </w:r>
      <w:r>
        <w:rPr>
          <w:rFonts w:ascii="Times New Roman" w:hAnsi="Times New Roman" w:cs="Times New Roman" w:eastAsia="Times New Roman" w:hint="default"/>
        </w:rPr>
        <w:t>16</w:t>
      </w:r>
      <w:r>
        <w:rPr/>
        <w:t>号好景商业中心</w:t>
      </w:r>
      <w:r>
        <w:rPr>
          <w:rFonts w:ascii="Times New Roman" w:hAnsi="Times New Roman" w:cs="Times New Roman" w:eastAsia="Times New Roman" w:hint="default"/>
        </w:rPr>
        <w:t>10</w:t>
      </w:r>
      <w:r>
        <w:rPr/>
        <w:t>楼</w:t>
      </w:r>
      <w:r>
        <w:rPr>
          <w:rFonts w:ascii="Times New Roman" w:hAnsi="Times New Roman" w:cs="Times New Roman" w:eastAsia="Times New Roman" w:hint="default"/>
        </w:rPr>
        <w:t>1007</w:t>
      </w:r>
      <w:r>
        <w:rPr/>
        <w:t>室；主营业务：委托加工及销售半导体集成电路芯片。</w:t>
      </w:r>
    </w:p>
    <w:p>
      <w:pPr>
        <w:pStyle w:val="BodyText"/>
        <w:spacing w:line="240" w:lineRule="auto" w:before="101"/>
        <w:ind w:left="506" w:right="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日，香港君正集团总资产：</w:t>
      </w:r>
      <w:r>
        <w:rPr>
          <w:rFonts w:ascii="Times New Roman" w:hAnsi="Times New Roman" w:cs="Times New Roman" w:eastAsia="Times New Roman" w:hint="default"/>
        </w:rPr>
        <w:t>1,166.06</w:t>
      </w:r>
      <w:r>
        <w:rPr/>
        <w:t>万元；净资产：</w:t>
      </w:r>
      <w:r>
        <w:rPr>
          <w:rFonts w:ascii="Times New Roman" w:hAnsi="Times New Roman" w:cs="Times New Roman" w:eastAsia="Times New Roman" w:hint="default"/>
        </w:rPr>
        <w:t>1,169.73</w:t>
      </w:r>
      <w:r>
        <w:rPr/>
        <w:t>万元；净利润：</w:t>
      </w:r>
      <w:r>
        <w:rPr>
          <w:rFonts w:ascii="Times New Roman" w:hAnsi="Times New Roman" w:cs="Times New Roman" w:eastAsia="Times New Roman" w:hint="default"/>
        </w:rPr>
        <w:t>-324.94</w:t>
      </w:r>
      <w:r>
        <w:rPr/>
        <w:t>万元。</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7</w:t>
      </w:r>
      <w:r>
        <w:rPr/>
        <w:t>、公司控制的特殊目的主体情况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三、公司未来发展的展望</w:t>
      </w:r>
      <w:r>
        <w:rPr>
          <w:b w:val="0"/>
          <w:bCs w:val="0"/>
        </w:rPr>
      </w:r>
    </w:p>
    <w:p>
      <w:pPr>
        <w:spacing w:line="240" w:lineRule="auto" w:before="4"/>
        <w:rPr>
          <w:rFonts w:ascii="宋体" w:hAnsi="宋体" w:cs="宋体" w:eastAsia="宋体" w:hint="default"/>
          <w:b/>
          <w:bCs/>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w:t>
      </w:r>
      <w:r>
        <w:rPr/>
        <w:t>、行业格局和趋势</w:t>
      </w:r>
      <w:r>
        <w:rPr>
          <w:b w:val="0"/>
          <w:bCs w:val="0"/>
        </w:rPr>
      </w:r>
    </w:p>
    <w:p>
      <w:pPr>
        <w:pStyle w:val="BodyText"/>
        <w:spacing w:line="309" w:lineRule="auto" w:before="103"/>
        <w:ind w:right="104" w:firstLine="360"/>
        <w:jc w:val="both"/>
      </w:pPr>
      <w:r>
        <w:rPr>
          <w:rFonts w:ascii="Times New Roman" w:hAnsi="Times New Roman" w:cs="Times New Roman" w:eastAsia="Times New Roman" w:hint="default"/>
        </w:rPr>
        <w:t>2012</w:t>
      </w:r>
      <w:r>
        <w:rPr/>
        <w:t>年，全球移动互联网终端产品市场得到迅猛发展，业界竞争不断加剧。苹果、三星等品牌厂商牢牢占据高端市场， 中低端市场也得到快速发展。中国市场在全球移动终端产品市场中占据重要地位，国内整机厂商纷纷推出相应的平板电脑、 </w:t>
      </w:r>
      <w:r>
        <w:rPr>
          <w:spacing w:val="-4"/>
        </w:rPr>
        <w:t>智能手机等移动类产品，尤其是中低端产品。国内外移动互联网终端产品市场的发展为国内集成电路产业带来新的发展机遇。</w:t>
      </w:r>
    </w:p>
    <w:p>
      <w:pPr>
        <w:spacing w:after="0" w:line="309" w:lineRule="auto"/>
        <w:jc w:val="both"/>
        <w:sectPr>
          <w:pgSz w:w="11910" w:h="16840"/>
          <w:pgMar w:header="877" w:footer="980" w:top="1100" w:bottom="1160" w:left="980" w:right="940"/>
        </w:sectPr>
      </w:pPr>
    </w:p>
    <w:p>
      <w:pPr>
        <w:spacing w:line="240" w:lineRule="auto" w:before="11"/>
        <w:rPr>
          <w:rFonts w:ascii="宋体" w:hAnsi="宋体" w:cs="宋体" w:eastAsia="宋体" w:hint="default"/>
          <w:sz w:val="21"/>
          <w:szCs w:val="21"/>
        </w:rPr>
      </w:pPr>
    </w:p>
    <w:p>
      <w:pPr>
        <w:pStyle w:val="BodyText"/>
        <w:spacing w:line="300" w:lineRule="auto" w:before="44"/>
        <w:ind w:right="208" w:firstLine="360"/>
        <w:jc w:val="both"/>
      </w:pPr>
      <w:r>
        <w:rPr>
          <w:spacing w:val="-1"/>
        </w:rPr>
        <w:t>在移动互联网终端产品市场，</w:t>
      </w:r>
      <w:r>
        <w:rPr>
          <w:rFonts w:ascii="Times New Roman" w:hAnsi="Times New Roman" w:cs="Times New Roman" w:eastAsia="Times New Roman" w:hint="default"/>
          <w:spacing w:val="-1"/>
        </w:rPr>
        <w:t>ARM</w:t>
      </w:r>
      <w:r>
        <w:rPr>
          <w:spacing w:val="-1"/>
        </w:rPr>
        <w:t>、</w:t>
      </w:r>
      <w:r>
        <w:rPr>
          <w:rFonts w:ascii="Times New Roman" w:hAnsi="Times New Roman" w:cs="Times New Roman" w:eastAsia="Times New Roman" w:hint="default"/>
          <w:spacing w:val="-1"/>
        </w:rPr>
        <w:t>MIPS</w:t>
      </w:r>
      <w:r>
        <w:rPr>
          <w:spacing w:val="-1"/>
        </w:rPr>
        <w:t>和</w:t>
      </w:r>
      <w:r>
        <w:rPr>
          <w:rFonts w:ascii="Times New Roman" w:hAnsi="Times New Roman" w:cs="Times New Roman" w:eastAsia="Times New Roman" w:hint="default"/>
          <w:spacing w:val="-1"/>
        </w:rPr>
        <w:t>X86</w:t>
      </w:r>
      <w:r>
        <w:rPr>
          <w:spacing w:val="-1"/>
        </w:rPr>
        <w:t>三种架构中，</w:t>
      </w:r>
      <w:r>
        <w:rPr>
          <w:rFonts w:ascii="Times New Roman" w:hAnsi="Times New Roman" w:cs="Times New Roman" w:eastAsia="Times New Roman" w:hint="default"/>
          <w:spacing w:val="-1"/>
        </w:rPr>
        <w:t>ARM</w:t>
      </w:r>
      <w:r>
        <w:rPr>
          <w:spacing w:val="-1"/>
        </w:rPr>
        <w:t>架构仍处于垄断地位，</w:t>
      </w:r>
      <w:r>
        <w:rPr>
          <w:rFonts w:ascii="Times New Roman" w:hAnsi="Times New Roman" w:cs="Times New Roman" w:eastAsia="Times New Roman" w:hint="default"/>
          <w:spacing w:val="-1"/>
        </w:rPr>
        <w:t>MIPS</w:t>
      </w:r>
      <w:r>
        <w:rPr>
          <w:spacing w:val="-1"/>
        </w:rPr>
        <w:t>和</w:t>
      </w:r>
      <w:r>
        <w:rPr>
          <w:rFonts w:ascii="Times New Roman" w:hAnsi="Times New Roman" w:cs="Times New Roman" w:eastAsia="Times New Roman" w:hint="default"/>
          <w:spacing w:val="-1"/>
        </w:rPr>
        <w:t>X86</w:t>
      </w:r>
      <w:r>
        <w:rPr>
          <w:spacing w:val="-1"/>
        </w:rPr>
        <w:t>两种架构作为后</w:t>
      </w:r>
      <w:r>
        <w:rPr/>
        <w:t> </w:t>
      </w:r>
      <w:r>
        <w:rPr>
          <w:spacing w:val="-5"/>
          <w:w w:val="99"/>
        </w:rPr>
        <w:t>进入者一直在努力打破</w:t>
      </w:r>
      <w:r>
        <w:rPr>
          <w:rFonts w:ascii="Times New Roman" w:hAnsi="Times New Roman" w:cs="Times New Roman" w:eastAsia="Times New Roman" w:hint="default"/>
          <w:spacing w:val="-5"/>
          <w:w w:val="99"/>
        </w:rPr>
        <w:t>ARM</w:t>
      </w:r>
      <w:r>
        <w:rPr>
          <w:spacing w:val="-5"/>
          <w:w w:val="99"/>
        </w:rPr>
        <w:t>的垄断。公司产品采用的是</w:t>
      </w:r>
      <w:r>
        <w:rPr>
          <w:rFonts w:ascii="Times New Roman" w:hAnsi="Times New Roman" w:cs="Times New Roman" w:eastAsia="Times New Roman" w:hint="default"/>
          <w:spacing w:val="-5"/>
          <w:w w:val="99"/>
        </w:rPr>
        <w:t>MIPS</w:t>
      </w:r>
      <w:r>
        <w:rPr>
          <w:spacing w:val="-5"/>
          <w:w w:val="99"/>
        </w:rPr>
        <w:t>架构，产品的软件生态问题是市场销售的一大障碍，公司和</w:t>
      </w:r>
      <w:r>
        <w:rPr>
          <w:rFonts w:ascii="Times New Roman" w:hAnsi="Times New Roman" w:cs="Times New Roman" w:eastAsia="Times New Roman" w:hint="default"/>
          <w:spacing w:val="-5"/>
          <w:w w:val="99"/>
        </w:rPr>
        <w:t>MIPS</w:t>
      </w:r>
      <w:r>
        <w:rPr>
          <w:rFonts w:ascii="Times New Roman" w:hAnsi="Times New Roman" w:cs="Times New Roman" w:eastAsia="Times New Roman" w:hint="default"/>
          <w:spacing w:val="-11"/>
          <w:w w:val="99"/>
        </w:rPr>
        <w:t> </w:t>
      </w:r>
      <w:r>
        <w:rPr>
          <w:rFonts w:ascii="Times New Roman" w:hAnsi="Times New Roman" w:cs="Times New Roman" w:eastAsia="Times New Roman" w:hint="default"/>
          <w:spacing w:val="-11"/>
          <w:w w:val="99"/>
        </w:rPr>
      </w:r>
      <w:r>
        <w:rPr/>
        <w:t>公司一直在努力推进软件生态的改善。</w:t>
      </w:r>
    </w:p>
    <w:p>
      <w:pPr>
        <w:pStyle w:val="BodyText"/>
        <w:spacing w:line="300" w:lineRule="auto" w:before="72"/>
        <w:ind w:right="211" w:firstLine="360"/>
        <w:jc w:val="both"/>
      </w:pPr>
      <w:r>
        <w:rPr>
          <w:rFonts w:ascii="Times New Roman" w:hAnsi="Times New Roman" w:cs="Times New Roman" w:eastAsia="Times New Roman" w:hint="default"/>
        </w:rPr>
        <w:t>2012</w:t>
      </w:r>
      <w:r>
        <w:rPr/>
        <w:t>年末，</w:t>
      </w:r>
      <w:r>
        <w:rPr>
          <w:rFonts w:ascii="Times New Roman" w:hAnsi="Times New Roman" w:cs="Times New Roman" w:eastAsia="Times New Roman" w:hint="default"/>
        </w:rPr>
        <w:t>Bridge Crossing</w:t>
      </w:r>
      <w:r>
        <w:rPr>
          <w:rFonts w:ascii="Times New Roman" w:hAnsi="Times New Roman" w:cs="Times New Roman" w:eastAsia="Times New Roman" w:hint="default"/>
          <w:spacing w:val="-7"/>
        </w:rPr>
        <w:t> </w:t>
      </w:r>
      <w:r>
        <w:rPr>
          <w:rFonts w:ascii="Times New Roman" w:hAnsi="Times New Roman" w:cs="Times New Roman" w:eastAsia="Times New Roman" w:hint="default"/>
        </w:rPr>
        <w:t>LLC</w:t>
      </w:r>
      <w:r>
        <w:rPr/>
        <w:t>以</w:t>
      </w:r>
      <w:r>
        <w:rPr>
          <w:rFonts w:ascii="Times New Roman" w:hAnsi="Times New Roman" w:cs="Times New Roman" w:eastAsia="Times New Roman" w:hint="default"/>
        </w:rPr>
        <w:t>3.5</w:t>
      </w:r>
      <w:r>
        <w:rPr/>
        <w:t>亿美金的价格，收购</w:t>
      </w:r>
      <w:r>
        <w:rPr>
          <w:rFonts w:ascii="Times New Roman" w:hAnsi="Times New Roman" w:cs="Times New Roman" w:eastAsia="Times New Roman" w:hint="default"/>
        </w:rPr>
        <w:t>MIPS</w:t>
      </w:r>
      <w:r>
        <w:rPr/>
        <w:t>公司</w:t>
      </w:r>
      <w:r>
        <w:rPr>
          <w:rFonts w:ascii="Times New Roman" w:hAnsi="Times New Roman" w:cs="Times New Roman" w:eastAsia="Times New Roman" w:hint="default"/>
        </w:rPr>
        <w:t>580</w:t>
      </w:r>
      <w:r>
        <w:rPr/>
        <w:t>项专利中的</w:t>
      </w:r>
      <w:r>
        <w:rPr>
          <w:rFonts w:ascii="Times New Roman" w:hAnsi="Times New Roman" w:cs="Times New Roman" w:eastAsia="Times New Roman" w:hint="default"/>
        </w:rPr>
        <w:t>498</w:t>
      </w:r>
      <w:r>
        <w:rPr/>
        <w:t>项专利拥有权，</w:t>
      </w:r>
      <w:r>
        <w:rPr>
          <w:rFonts w:ascii="Times New Roman" w:hAnsi="Times New Roman" w:cs="Times New Roman" w:eastAsia="Times New Roman" w:hint="default"/>
        </w:rPr>
        <w:t>Imagination</w:t>
      </w:r>
      <w:r>
        <w:rPr/>
        <w:t>公司 以</w:t>
      </w:r>
      <w:r>
        <w:rPr>
          <w:rFonts w:ascii="Times New Roman" w:hAnsi="Times New Roman" w:cs="Times New Roman" w:eastAsia="Times New Roman" w:hint="default"/>
        </w:rPr>
        <w:t>1</w:t>
      </w:r>
      <w:r>
        <w:rPr/>
        <w:t>亿美金的价格收购</w:t>
      </w:r>
      <w:r>
        <w:rPr>
          <w:rFonts w:ascii="Times New Roman" w:hAnsi="Times New Roman" w:cs="Times New Roman" w:eastAsia="Times New Roman" w:hint="default"/>
        </w:rPr>
        <w:t>MIPS</w:t>
      </w:r>
      <w:r>
        <w:rPr/>
        <w:t>公司的经营业务及剩下的</w:t>
      </w:r>
      <w:r>
        <w:rPr>
          <w:rFonts w:ascii="Times New Roman" w:hAnsi="Times New Roman" w:cs="Times New Roman" w:eastAsia="Times New Roman" w:hint="default"/>
        </w:rPr>
        <w:t>82</w:t>
      </w:r>
      <w:r>
        <w:rPr/>
        <w:t>项专利的经营特许权，并永久保有免版税使用已售予</w:t>
      </w:r>
      <w:r>
        <w:rPr>
          <w:rFonts w:ascii="Times New Roman" w:hAnsi="Times New Roman" w:cs="Times New Roman" w:eastAsia="Times New Roman" w:hint="default"/>
        </w:rPr>
        <w:t>Bridge</w:t>
      </w:r>
      <w:r>
        <w:rPr>
          <w:rFonts w:ascii="Times New Roman" w:hAnsi="Times New Roman" w:cs="Times New Roman" w:eastAsia="Times New Roman" w:hint="default"/>
          <w:spacing w:val="-3"/>
        </w:rPr>
        <w:t> </w:t>
      </w:r>
      <w:r>
        <w:rPr>
          <w:rFonts w:ascii="Times New Roman" w:hAnsi="Times New Roman" w:cs="Times New Roman" w:eastAsia="Times New Roman" w:hint="default"/>
        </w:rPr>
        <w:t>Crossing</w:t>
      </w:r>
      <w:r>
        <w:rPr>
          <w:rFonts w:ascii="Times New Roman" w:hAnsi="Times New Roman" w:cs="Times New Roman" w:eastAsia="Times New Roman" w:hint="default"/>
        </w:rPr>
        <w:t> LLC</w:t>
      </w:r>
      <w:r>
        <w:rPr/>
        <w:t>所有专利的权利。</w:t>
      </w:r>
      <w:r>
        <w:rPr>
          <w:rFonts w:ascii="Times New Roman" w:hAnsi="Times New Roman" w:cs="Times New Roman" w:eastAsia="Times New Roman" w:hint="default"/>
        </w:rPr>
        <w:t>Imagination</w:t>
      </w:r>
      <w:r>
        <w:rPr/>
        <w:t>公司对</w:t>
      </w:r>
      <w:r>
        <w:rPr>
          <w:rFonts w:ascii="Times New Roman" w:hAnsi="Times New Roman" w:cs="Times New Roman" w:eastAsia="Times New Roman" w:hint="default"/>
        </w:rPr>
        <w:t>MIPS</w:t>
      </w:r>
      <w:r>
        <w:rPr/>
        <w:t>公司的收购将在</w:t>
      </w:r>
      <w:r>
        <w:rPr>
          <w:rFonts w:ascii="Times New Roman" w:hAnsi="Times New Roman" w:cs="Times New Roman" w:eastAsia="Times New Roman" w:hint="default"/>
        </w:rPr>
        <w:t>2013</w:t>
      </w:r>
      <w:r>
        <w:rPr/>
        <w:t>年完成。据</w:t>
      </w:r>
      <w:r>
        <w:rPr>
          <w:rFonts w:ascii="Times New Roman" w:hAnsi="Times New Roman" w:cs="Times New Roman" w:eastAsia="Times New Roman" w:hint="default"/>
        </w:rPr>
        <w:t>MIPS</w:t>
      </w:r>
      <w:r>
        <w:rPr/>
        <w:t>发布的新闻，作为</w:t>
      </w:r>
      <w:r>
        <w:rPr>
          <w:rFonts w:ascii="Times New Roman" w:hAnsi="Times New Roman" w:cs="Times New Roman" w:eastAsia="Times New Roman" w:hint="default"/>
        </w:rPr>
        <w:t>Imagination</w:t>
      </w:r>
      <w:r>
        <w:rPr/>
        <w:t>公司的一 部分，</w:t>
      </w:r>
      <w:r>
        <w:rPr>
          <w:rFonts w:ascii="Times New Roman" w:hAnsi="Times New Roman" w:cs="Times New Roman" w:eastAsia="Times New Roman" w:hint="default"/>
        </w:rPr>
        <w:t>MIPS</w:t>
      </w:r>
      <w:r>
        <w:rPr/>
        <w:t>处理器架构仍将持续发展。根据</w:t>
      </w:r>
      <w:r>
        <w:rPr>
          <w:rFonts w:ascii="Times New Roman" w:hAnsi="Times New Roman" w:cs="Times New Roman" w:eastAsia="Times New Roman" w:hint="default"/>
        </w:rPr>
        <w:t>Imagination</w:t>
      </w:r>
      <w:r>
        <w:rPr/>
        <w:t>公司在移动领域的市场地位，预计</w:t>
      </w:r>
      <w:r>
        <w:rPr>
          <w:rFonts w:ascii="Times New Roman" w:hAnsi="Times New Roman" w:cs="Times New Roman" w:eastAsia="Times New Roman" w:hint="default"/>
        </w:rPr>
        <w:t>Imagination</w:t>
      </w:r>
      <w:r>
        <w:rPr/>
        <w:t>公司收购</w:t>
      </w:r>
      <w:r>
        <w:rPr>
          <w:rFonts w:ascii="Times New Roman" w:hAnsi="Times New Roman" w:cs="Times New Roman" w:eastAsia="Times New Roman" w:hint="default"/>
        </w:rPr>
        <w:t>MIPS</w:t>
      </w:r>
      <w:r>
        <w:rPr/>
        <w:t>公司的 </w:t>
      </w:r>
      <w:r>
        <w:rPr>
          <w:spacing w:val="-1"/>
        </w:rPr>
        <w:t>经营业务后，将对两家企业的业务与技术进行优势互补，有助于推动</w:t>
      </w:r>
      <w:r>
        <w:rPr>
          <w:rFonts w:ascii="Times New Roman" w:hAnsi="Times New Roman" w:cs="Times New Roman" w:eastAsia="Times New Roman" w:hint="default"/>
          <w:spacing w:val="-1"/>
        </w:rPr>
        <w:t>MIPS</w:t>
      </w:r>
      <w:r>
        <w:rPr>
          <w:spacing w:val="-1"/>
        </w:rPr>
        <w:t>架构产品的市场应用，改善</w:t>
      </w:r>
      <w:r>
        <w:rPr>
          <w:rFonts w:ascii="Times New Roman" w:hAnsi="Times New Roman" w:cs="Times New Roman" w:eastAsia="Times New Roman" w:hint="default"/>
          <w:spacing w:val="-1"/>
        </w:rPr>
        <w:t>MIPS</w:t>
      </w:r>
      <w:r>
        <w:rPr>
          <w:spacing w:val="-1"/>
        </w:rPr>
        <w:t>架构的软件生态</w:t>
      </w:r>
      <w:r>
        <w:rPr>
          <w:spacing w:val="-63"/>
        </w:rPr>
        <w:t> </w:t>
      </w:r>
      <w:r>
        <w:rPr>
          <w:spacing w:val="-63"/>
        </w:rPr>
      </w:r>
      <w:r>
        <w:rPr/>
        <w:t>问题。</w:t>
      </w:r>
    </w:p>
    <w:p>
      <w:pPr>
        <w:pStyle w:val="BodyText"/>
        <w:spacing w:line="307" w:lineRule="auto" w:before="70"/>
        <w:ind w:right="210" w:firstLine="360"/>
        <w:jc w:val="both"/>
      </w:pPr>
      <w:r>
        <w:rPr>
          <w:spacing w:val="-2"/>
        </w:rPr>
        <w:t>移动市场的发展在为国内芯片厂商带来发展机遇的同时，也带来了激烈的市场竞争，芯片供应商为获得市场优势，需要</w:t>
      </w:r>
      <w:r>
        <w:rPr/>
        <w:t> </w:t>
      </w:r>
      <w:r>
        <w:rPr>
          <w:spacing w:val="-2"/>
        </w:rPr>
        <w:t>不断推出更高性能的产品，使得该市场芯片产品更新换代很快。更高的生产工艺、更高的产品性能、更多的</w:t>
      </w:r>
      <w:r>
        <w:rPr>
          <w:rFonts w:ascii="Times New Roman" w:hAnsi="Times New Roman" w:cs="Times New Roman" w:eastAsia="Times New Roman" w:hint="default"/>
          <w:spacing w:val="-2"/>
        </w:rPr>
        <w:t>CPU</w:t>
      </w:r>
      <w:r>
        <w:rPr>
          <w:spacing w:val="-2"/>
        </w:rPr>
        <w:t>核等成为市</w:t>
      </w:r>
      <w:r>
        <w:rPr>
          <w:spacing w:val="-57"/>
        </w:rPr>
        <w:t> </w:t>
      </w:r>
      <w:r>
        <w:rPr>
          <w:spacing w:val="-57"/>
        </w:rPr>
      </w:r>
      <w:r>
        <w:rPr>
          <w:spacing w:val="-2"/>
        </w:rPr>
        <w:t>场竞争要素。生产工艺的提高和</w:t>
      </w:r>
      <w:r>
        <w:rPr>
          <w:rFonts w:ascii="Times New Roman" w:hAnsi="Times New Roman" w:cs="Times New Roman" w:eastAsia="Times New Roman" w:hint="default"/>
          <w:spacing w:val="-2"/>
        </w:rPr>
        <w:t>CPU</w:t>
      </w:r>
      <w:r>
        <w:rPr>
          <w:spacing w:val="-2"/>
        </w:rPr>
        <w:t>核的更新换代导致芯片产品的研发投入不断提高，面向移动产品的芯片市场资金门槛越</w:t>
      </w:r>
      <w:r>
        <w:rPr>
          <w:spacing w:val="-54"/>
        </w:rPr>
        <w:t> </w:t>
      </w:r>
      <w:r>
        <w:rPr>
          <w:spacing w:val="-54"/>
        </w:rPr>
      </w:r>
      <w:r>
        <w:rPr/>
        <w:t>来越高，产品研发投入的不断加大也使芯片厂商的经营风险增大。</w:t>
      </w:r>
    </w:p>
    <w:p>
      <w:pPr>
        <w:pStyle w:val="BodyText"/>
        <w:spacing w:line="300" w:lineRule="auto" w:before="67"/>
        <w:ind w:right="209" w:firstLine="360"/>
        <w:jc w:val="both"/>
      </w:pPr>
      <w:r>
        <w:rPr>
          <w:spacing w:val="-2"/>
        </w:rPr>
        <w:t>由于移动互联网终端产品市场的冲击，</w:t>
      </w:r>
      <w:r>
        <w:rPr>
          <w:rFonts w:ascii="Times New Roman" w:hAnsi="Times New Roman" w:cs="Times New Roman" w:eastAsia="Times New Roman" w:hint="default"/>
          <w:spacing w:val="-2"/>
        </w:rPr>
        <w:t>PMP</w:t>
      </w:r>
      <w:r>
        <w:rPr>
          <w:spacing w:val="-2"/>
        </w:rPr>
        <w:t>产品逐渐被平板电脑类产品所取代，国内</w:t>
      </w:r>
      <w:r>
        <w:rPr>
          <w:rFonts w:ascii="Times New Roman" w:hAnsi="Times New Roman" w:cs="Times New Roman" w:eastAsia="Times New Roman" w:hint="default"/>
          <w:spacing w:val="-2"/>
        </w:rPr>
        <w:t>PMP</w:t>
      </w:r>
      <w:r>
        <w:rPr>
          <w:spacing w:val="-2"/>
        </w:rPr>
        <w:t>市场逐渐消失，导致报告期内</w:t>
      </w:r>
      <w:r>
        <w:rPr/>
        <w:t> 公司消费电子市场销售收入的大幅下降。</w:t>
      </w:r>
    </w:p>
    <w:p>
      <w:pPr>
        <w:pStyle w:val="BodyText"/>
        <w:spacing w:line="309" w:lineRule="auto" w:before="72"/>
        <w:ind w:right="110" w:firstLine="360"/>
        <w:jc w:val="left"/>
      </w:pPr>
      <w:r>
        <w:rPr>
          <w:spacing w:val="-1"/>
        </w:rPr>
        <w:t>传统教育类电子市场的发展相对平稳，学习机、电子词典、点读机等产品市场稳步发展，随着</w:t>
      </w:r>
      <w:r>
        <w:rPr>
          <w:rFonts w:ascii="Times New Roman" w:hAnsi="Times New Roman" w:cs="Times New Roman" w:eastAsia="Times New Roman" w:hint="default"/>
          <w:spacing w:val="-1"/>
        </w:rPr>
        <w:t>Android</w:t>
      </w:r>
      <w:r>
        <w:rPr>
          <w:spacing w:val="-1"/>
        </w:rPr>
        <w:t>操作系统的普及，</w:t>
      </w:r>
      <w:r>
        <w:rPr/>
        <w:t> </w:t>
      </w:r>
      <w:r>
        <w:rPr>
          <w:spacing w:val="-2"/>
        </w:rPr>
        <w:t>教育电子领域学生平板开始兴起。由于教育电子市场基本不存在软件生态问题，且对芯片品质要求较高，多年来，凭借公司</w:t>
      </w:r>
      <w:r>
        <w:rPr>
          <w:spacing w:val="-62"/>
        </w:rPr>
        <w:t> </w:t>
      </w:r>
      <w:r>
        <w:rPr>
          <w:spacing w:val="-62"/>
        </w:rPr>
      </w:r>
      <w:r>
        <w:rPr/>
        <w:t>芯片产品的稳定性、突出的低功耗优势，以及优越的性价比，公司在国内教育电子市场一直占据优势地位。</w:t>
      </w:r>
    </w:p>
    <w:p>
      <w:pPr>
        <w:pStyle w:val="BodyText"/>
        <w:spacing w:line="300" w:lineRule="auto" w:before="62"/>
        <w:ind w:right="250" w:firstLine="360"/>
        <w:jc w:val="both"/>
      </w:pPr>
      <w:r>
        <w:rPr/>
        <w:t>报告期内，随着移动市场的发展和</w:t>
      </w:r>
      <w:r>
        <w:rPr>
          <w:rFonts w:ascii="Times New Roman" w:hAnsi="Times New Roman" w:cs="Times New Roman" w:eastAsia="Times New Roman" w:hint="default"/>
        </w:rPr>
        <w:t>Android</w:t>
      </w:r>
      <w:r>
        <w:rPr/>
        <w:t>操作系统的发展，智能类消费电子新产品不断涌现。智能手表、智能眼镜等 产品逐渐开始成为市场的新热点，有望为产业带来新的增长点。电子产品的多样化为公司未来发展带来机遇。</w:t>
      </w:r>
    </w:p>
    <w:p>
      <w:pPr>
        <w:pStyle w:val="BodyText"/>
        <w:spacing w:line="340" w:lineRule="auto" w:before="72"/>
        <w:ind w:left="513" w:right="110"/>
        <w:jc w:val="left"/>
      </w:pPr>
      <w:r>
        <w:rPr>
          <w:rFonts w:ascii="Times New Roman" w:hAnsi="Times New Roman" w:cs="Times New Roman" w:eastAsia="Times New Roman" w:hint="default"/>
          <w:b/>
          <w:bCs/>
        </w:rPr>
        <w:t>2</w:t>
      </w:r>
      <w:r>
        <w:rPr>
          <w:rFonts w:ascii="宋体" w:hAnsi="宋体" w:cs="宋体" w:eastAsia="宋体" w:hint="default"/>
          <w:b/>
          <w:bCs/>
        </w:rPr>
        <w:t>、公司发展战略</w:t>
      </w:r>
      <w:r>
        <w:rPr>
          <w:rFonts w:ascii="宋体" w:hAnsi="宋体" w:cs="宋体" w:eastAsia="宋体" w:hint="default"/>
          <w:b/>
          <w:bCs/>
          <w:w w:val="99"/>
        </w:rPr>
        <w:t> </w:t>
      </w:r>
      <w:r>
        <w:rPr>
          <w:spacing w:val="-2"/>
        </w:rPr>
        <w:t>随着产业竞争的加剧，芯片产品更新换代越来越快，资金投入也不断提高，</w:t>
      </w:r>
      <w:r>
        <w:rPr>
          <w:rFonts w:ascii="Times New Roman" w:hAnsi="Times New Roman" w:cs="Times New Roman" w:eastAsia="Times New Roman" w:hint="default"/>
          <w:spacing w:val="-2"/>
        </w:rPr>
        <w:t>IC</w:t>
      </w:r>
      <w:r>
        <w:rPr>
          <w:spacing w:val="-2"/>
        </w:rPr>
        <w:t>设计企业面临着越来越大的挑战，能否掌</w:t>
      </w:r>
    </w:p>
    <w:p>
      <w:pPr>
        <w:pStyle w:val="BodyText"/>
        <w:spacing w:line="228" w:lineRule="exact"/>
        <w:ind w:right="0"/>
        <w:jc w:val="both"/>
      </w:pPr>
      <w:r>
        <w:rPr/>
        <w:t>握核心技术对企业的核心竞争力和长期发展能力尤为重要。公司将坚持</w:t>
      </w:r>
      <w:r>
        <w:rPr>
          <w:rFonts w:ascii="Times New Roman" w:hAnsi="Times New Roman" w:cs="Times New Roman" w:eastAsia="Times New Roman" w:hint="default"/>
        </w:rPr>
        <w:t>“</w:t>
      </w:r>
      <w:r>
        <w:rPr/>
        <w:t>创新技术、自主研发</w:t>
      </w:r>
      <w:r>
        <w:rPr>
          <w:rFonts w:ascii="Times New Roman" w:hAnsi="Times New Roman" w:cs="Times New Roman" w:eastAsia="Times New Roman" w:hint="default"/>
        </w:rPr>
        <w:t>”</w:t>
      </w:r>
      <w:r>
        <w:rPr/>
        <w:t>的技术战略和</w:t>
      </w:r>
      <w:r>
        <w:rPr>
          <w:rFonts w:ascii="Times New Roman" w:hAnsi="Times New Roman" w:cs="Times New Roman" w:eastAsia="Times New Roman" w:hint="default"/>
        </w:rPr>
        <w:t>“</w:t>
      </w:r>
      <w:r>
        <w:rPr/>
        <w:t>开放平台、纵</w:t>
      </w:r>
    </w:p>
    <w:p>
      <w:pPr>
        <w:pStyle w:val="BodyText"/>
        <w:spacing w:line="307" w:lineRule="auto" w:before="63"/>
        <w:ind w:right="208"/>
        <w:jc w:val="both"/>
      </w:pPr>
      <w:r>
        <w:rPr/>
        <w:t>横扩展</w:t>
      </w:r>
      <w:r>
        <w:rPr>
          <w:rFonts w:ascii="Times New Roman" w:hAnsi="Times New Roman" w:cs="Times New Roman" w:eastAsia="Times New Roman" w:hint="default"/>
        </w:rPr>
        <w:t>”</w:t>
      </w:r>
      <w:r>
        <w:rPr/>
        <w:t>的市场战略，坚持对自有核心技术的研发，在技术上持续投入，促进技术创新，加强技术人才队伍的培养和建设，</w:t>
      </w:r>
      <w:r>
        <w:rPr>
          <w:spacing w:val="-76"/>
        </w:rPr>
        <w:t> </w:t>
      </w:r>
      <w:r>
        <w:rPr>
          <w:spacing w:val="-76"/>
        </w:rPr>
      </w:r>
      <w:r>
        <w:rPr/>
        <w:t>增强公司的研发实力。未来公司将投入更多的精力进行新一代</w:t>
      </w:r>
      <w:r>
        <w:rPr>
          <w:rFonts w:ascii="Times New Roman" w:hAnsi="Times New Roman" w:cs="Times New Roman" w:eastAsia="Times New Roman" w:hint="default"/>
        </w:rPr>
        <w:t>CPU</w:t>
      </w:r>
      <w:r>
        <w:rPr/>
        <w:t>技术的研发，</w:t>
      </w:r>
      <w:r>
        <w:rPr>
          <w:rFonts w:ascii="Times New Roman" w:hAnsi="Times New Roman" w:cs="Times New Roman" w:eastAsia="Times New Roman" w:hint="default"/>
        </w:rPr>
        <w:t>2013</w:t>
      </w:r>
      <w:r>
        <w:rPr/>
        <w:t>年公司将加快</w:t>
      </w:r>
      <w:r>
        <w:rPr>
          <w:rFonts w:ascii="Times New Roman" w:hAnsi="Times New Roman" w:cs="Times New Roman" w:eastAsia="Times New Roman" w:hint="default"/>
        </w:rPr>
        <w:t>Xburst2</w:t>
      </w:r>
      <w:r>
        <w:rPr>
          <w:rFonts w:ascii="Times New Roman" w:hAnsi="Times New Roman" w:cs="Times New Roman" w:eastAsia="Times New Roman" w:hint="default"/>
          <w:spacing w:val="27"/>
        </w:rPr>
        <w:t> </w:t>
      </w:r>
      <w:r>
        <w:rPr>
          <w:rFonts w:ascii="Times New Roman" w:hAnsi="Times New Roman" w:cs="Times New Roman" w:eastAsia="Times New Roman" w:hint="default"/>
        </w:rPr>
        <w:t>CPU</w:t>
      </w:r>
      <w:r>
        <w:rPr/>
        <w:t>核的研发进 </w:t>
      </w:r>
      <w:r>
        <w:rPr>
          <w:spacing w:val="-2"/>
        </w:rPr>
        <w:t>度，在技术开发中发挥优势，弥补不足，努力降低公司产品开发成本，以增强公司的核心竞争力和公司产品的竞争优势，降</w:t>
      </w:r>
      <w:r>
        <w:rPr>
          <w:spacing w:val="-67"/>
        </w:rPr>
        <w:t> </w:t>
      </w:r>
      <w:r>
        <w:rPr>
          <w:spacing w:val="-67"/>
        </w:rPr>
      </w:r>
      <w:r>
        <w:rPr/>
        <w:t>低公司运营风险。</w:t>
      </w:r>
    </w:p>
    <w:p>
      <w:pPr>
        <w:pStyle w:val="BodyText"/>
        <w:spacing w:line="316" w:lineRule="auto" w:before="64"/>
        <w:ind w:right="114" w:firstLine="360"/>
        <w:jc w:val="left"/>
      </w:pPr>
      <w:r>
        <w:rPr/>
        <w:t>在市场推广中，公司的芯片产品可广泛用于消费电子、教育电子、工业控制、汽车电子、移动通信、智能家电等领域， </w:t>
      </w:r>
      <w:r>
        <w:rPr>
          <w:spacing w:val="-2"/>
        </w:rPr>
        <w:t>并且公司产品一直有低功耗的特点，在手持、移动类电子产品中是较为突出的优势。针对公司产品在移动终端领域的推广问</w:t>
      </w:r>
      <w:r>
        <w:rPr>
          <w:spacing w:val="-66"/>
        </w:rPr>
        <w:t> </w:t>
      </w:r>
      <w:r>
        <w:rPr>
          <w:spacing w:val="-66"/>
        </w:rPr>
      </w:r>
      <w:r>
        <w:rPr>
          <w:spacing w:val="-2"/>
        </w:rPr>
        <w:t>题，公司将加强对行业市场的推广力度，根据市场情况不断调整和完善市场运行机制，深入了解市场和客户的需求，充分发</w:t>
      </w:r>
      <w:r>
        <w:rPr>
          <w:spacing w:val="-65"/>
        </w:rPr>
        <w:t> </w:t>
      </w:r>
      <w:r>
        <w:rPr>
          <w:spacing w:val="-65"/>
        </w:rPr>
      </w:r>
      <w:r>
        <w:rPr>
          <w:spacing w:val="-2"/>
        </w:rPr>
        <w:t>挥自身优势，加强和巩固现有市场领域，加强重点客户的支持和服务，关注市场发展动向，关注新的产品应用，不断挖掘新</w:t>
      </w:r>
      <w:r>
        <w:rPr>
          <w:spacing w:val="-67"/>
        </w:rPr>
        <w:t> </w:t>
      </w:r>
      <w:r>
        <w:rPr>
          <w:spacing w:val="-67"/>
        </w:rPr>
      </w:r>
      <w:r>
        <w:rPr/>
        <w:t>市场，拓展产品的应用领域，以带动公司长期稳健的发展。为更好地拓展行业市场和细分市场，公司将成立一家控股公司， 并将于</w:t>
      </w:r>
      <w:r>
        <w:rPr>
          <w:rFonts w:ascii="Times New Roman" w:hAnsi="Times New Roman" w:cs="Times New Roman" w:eastAsia="Times New Roman" w:hint="default"/>
        </w:rPr>
        <w:t>2013</w:t>
      </w:r>
      <w:r>
        <w:rPr/>
        <w:t>年一季度完成控股公司的设立工作。</w:t>
      </w:r>
    </w:p>
    <w:p>
      <w:pPr>
        <w:pStyle w:val="BodyText"/>
        <w:spacing w:line="340" w:lineRule="auto" w:before="40"/>
        <w:ind w:left="513" w:right="110"/>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Times New Roman" w:hAnsi="Times New Roman" w:cs="Times New Roman" w:eastAsia="Times New Roman" w:hint="default"/>
          <w:b/>
          <w:bCs/>
        </w:rPr>
        <w:t>2013</w:t>
      </w:r>
      <w:r>
        <w:rPr>
          <w:rFonts w:ascii="宋体" w:hAnsi="宋体" w:cs="宋体" w:eastAsia="宋体" w:hint="default"/>
          <w:b/>
          <w:bCs/>
        </w:rPr>
        <w:t>年经营计划</w:t>
      </w:r>
      <w:r>
        <w:rPr>
          <w:rFonts w:ascii="宋体" w:hAnsi="宋体" w:cs="宋体" w:eastAsia="宋体" w:hint="default"/>
          <w:b/>
          <w:bCs/>
          <w:w w:val="99"/>
        </w:rPr>
        <w:t> </w:t>
      </w:r>
      <w:r>
        <w:rPr>
          <w:spacing w:val="-2"/>
        </w:rPr>
        <w:t>针对近两年以来，移动终端市场兼容性问题、消费电子市场的变化等因素导致公司市场销售出现的下滑，</w:t>
      </w:r>
      <w:r>
        <w:rPr>
          <w:rFonts w:ascii="Times New Roman" w:hAnsi="Times New Roman" w:cs="Times New Roman" w:eastAsia="Times New Roman" w:hint="default"/>
          <w:spacing w:val="-2"/>
        </w:rPr>
        <w:t>2013</w:t>
      </w:r>
      <w:r>
        <w:rPr>
          <w:spacing w:val="-2"/>
        </w:rPr>
        <w:t>年初，公</w:t>
      </w:r>
    </w:p>
    <w:p>
      <w:pPr>
        <w:pStyle w:val="BodyText"/>
        <w:spacing w:line="215" w:lineRule="exact"/>
        <w:ind w:right="0"/>
        <w:jc w:val="both"/>
      </w:pPr>
      <w:r>
        <w:rPr/>
        <w:t>司对组织架构进行了部分调整，在保证平板电脑市场拓展不受影响的情况下，公司成立了三个准事业部，分别面向不同的产</w:t>
      </w:r>
    </w:p>
    <w:p>
      <w:pPr>
        <w:pStyle w:val="BodyText"/>
        <w:spacing w:line="300" w:lineRule="auto" w:before="76"/>
        <w:ind w:right="208"/>
        <w:jc w:val="both"/>
      </w:pPr>
      <w:r>
        <w:rPr>
          <w:spacing w:val="-2"/>
        </w:rPr>
        <w:t>品市场，深入挖掘行业市场机会，充分把握新的市场机遇，更好地服务客户，以促进公司的市场拓展。具体来说，公司</w:t>
      </w:r>
      <w:r>
        <w:rPr>
          <w:rFonts w:ascii="Times New Roman" w:hAnsi="Times New Roman" w:cs="Times New Roman" w:eastAsia="Times New Roman" w:hint="default"/>
          <w:spacing w:val="-2"/>
        </w:rPr>
        <w:t>2013</w:t>
      </w:r>
      <w:r>
        <w:rPr>
          <w:rFonts w:ascii="Times New Roman" w:hAnsi="Times New Roman" w:cs="Times New Roman" w:eastAsia="Times New Roman" w:hint="default"/>
          <w:spacing w:val="-15"/>
        </w:rPr>
        <w:t> </w:t>
      </w:r>
      <w:r>
        <w:rPr/>
        <w:t>年经营计划如下：</w:t>
      </w:r>
    </w:p>
    <w:p>
      <w:pPr>
        <w:pStyle w:val="BodyText"/>
        <w:spacing w:line="340" w:lineRule="auto" w:before="70"/>
        <w:ind w:left="513" w:right="207"/>
        <w:jc w:val="left"/>
      </w:pPr>
      <w:r>
        <w:rPr/>
        <w:t>（</w:t>
      </w:r>
      <w:r>
        <w:rPr>
          <w:rFonts w:ascii="Times New Roman" w:hAnsi="Times New Roman" w:cs="Times New Roman" w:eastAsia="Times New Roman" w:hint="default"/>
        </w:rPr>
        <w:t>1</w:t>
      </w:r>
      <w:r>
        <w:rPr/>
        <w:t>）完善研发流程，加强研发管理，推进下一代</w:t>
      </w:r>
      <w:r>
        <w:rPr>
          <w:rFonts w:ascii="Times New Roman" w:hAnsi="Times New Roman" w:cs="Times New Roman" w:eastAsia="Times New Roman" w:hint="default"/>
        </w:rPr>
        <w:t>CPU</w:t>
      </w:r>
      <w:r>
        <w:rPr/>
        <w:t>核的研发 公司将推进下一代</w:t>
      </w:r>
      <w:r>
        <w:rPr>
          <w:rFonts w:ascii="Times New Roman" w:hAnsi="Times New Roman" w:cs="Times New Roman" w:eastAsia="Times New Roman" w:hint="default"/>
        </w:rPr>
        <w:t>CPU</w:t>
      </w:r>
      <w:r>
        <w:rPr/>
        <w:t>核</w:t>
      </w:r>
      <w:r>
        <w:rPr>
          <w:rFonts w:ascii="Times New Roman" w:hAnsi="Times New Roman" w:cs="Times New Roman" w:eastAsia="Times New Roman" w:hint="default"/>
        </w:rPr>
        <w:t>Xburst2</w:t>
      </w:r>
      <w:r>
        <w:rPr/>
        <w:t>的研发工作，投入更多的精力加快</w:t>
      </w:r>
      <w:r>
        <w:rPr>
          <w:rFonts w:ascii="Times New Roman" w:hAnsi="Times New Roman" w:cs="Times New Roman" w:eastAsia="Times New Roman" w:hint="default"/>
        </w:rPr>
        <w:t>Xburst2</w:t>
      </w:r>
      <w:r>
        <w:rPr>
          <w:rFonts w:ascii="Times New Roman" w:hAnsi="Times New Roman" w:cs="Times New Roman" w:eastAsia="Times New Roman" w:hint="default"/>
          <w:spacing w:val="-19"/>
        </w:rPr>
        <w:t> </w:t>
      </w:r>
      <w:r>
        <w:rPr>
          <w:rFonts w:ascii="Times New Roman" w:hAnsi="Times New Roman" w:cs="Times New Roman" w:eastAsia="Times New Roman" w:hint="default"/>
        </w:rPr>
        <w:t>CPU</w:t>
      </w:r>
      <w:r>
        <w:rPr/>
        <w:t>的研发。同时，将完善和优化内部研发</w:t>
      </w:r>
    </w:p>
    <w:p>
      <w:pPr>
        <w:pStyle w:val="BodyText"/>
        <w:spacing w:line="215" w:lineRule="exact"/>
        <w:ind w:right="0"/>
        <w:jc w:val="both"/>
      </w:pPr>
      <w:r>
        <w:rPr/>
        <w:t>流程，加强研发管理，健全项目管理和审核机制，不断学习和积累，增强公司的研发实力，加快新产品的研发速度。</w:t>
      </w:r>
    </w:p>
    <w:p>
      <w:pPr>
        <w:pStyle w:val="BodyText"/>
        <w:spacing w:line="338" w:lineRule="auto" w:before="117"/>
        <w:ind w:left="513" w:right="110"/>
        <w:jc w:val="left"/>
      </w:pPr>
      <w:r>
        <w:rPr/>
        <w:t>（</w:t>
      </w:r>
      <w:r>
        <w:rPr>
          <w:rFonts w:ascii="Times New Roman" w:hAnsi="Times New Roman" w:cs="Times New Roman" w:eastAsia="Times New Roman" w:hint="default"/>
        </w:rPr>
        <w:t>2</w:t>
      </w:r>
      <w:r>
        <w:rPr/>
        <w:t>）加强知识产权管理 </w:t>
      </w:r>
      <w:r>
        <w:rPr>
          <w:spacing w:val="-2"/>
        </w:rPr>
        <w:t>公司将进一步完善知识产权方面的工作，加强技术部门知识产权方面的培训，进行专利的深入挖掘工作，在提高专利质</w:t>
      </w:r>
    </w:p>
    <w:p>
      <w:pPr>
        <w:spacing w:after="0" w:line="338" w:lineRule="auto"/>
        <w:jc w:val="left"/>
        <w:sectPr>
          <w:footerReference w:type="default" r:id="rId11"/>
          <w:pgSz w:w="11910" w:h="16840"/>
          <w:pgMar w:footer="980" w:header="877" w:top="1100" w:bottom="1160" w:left="980" w:right="920"/>
          <w:pgNumType w:start="21"/>
        </w:sectPr>
      </w:pPr>
    </w:p>
    <w:p>
      <w:pPr>
        <w:spacing w:line="240" w:lineRule="auto" w:before="11"/>
        <w:rPr>
          <w:rFonts w:ascii="宋体" w:hAnsi="宋体" w:cs="宋体" w:eastAsia="宋体" w:hint="default"/>
          <w:sz w:val="21"/>
          <w:szCs w:val="21"/>
        </w:rPr>
      </w:pPr>
    </w:p>
    <w:p>
      <w:pPr>
        <w:pStyle w:val="BodyText"/>
        <w:spacing w:line="240" w:lineRule="auto" w:before="44"/>
        <w:ind w:right="0"/>
        <w:jc w:val="both"/>
      </w:pPr>
      <w:r>
        <w:rPr/>
        <w:t>量的同时增加公司专利申请的数量，以提高公司的知识产权储备，提高公司核心竞争力。</w:t>
      </w:r>
    </w:p>
    <w:p>
      <w:pPr>
        <w:pStyle w:val="BodyText"/>
        <w:spacing w:line="338" w:lineRule="auto" w:before="117"/>
        <w:ind w:left="513" w:right="0"/>
        <w:jc w:val="left"/>
      </w:pPr>
      <w:r>
        <w:rPr/>
        <w:t>（</w:t>
      </w:r>
      <w:r>
        <w:rPr>
          <w:rFonts w:ascii="Times New Roman" w:hAnsi="Times New Roman" w:cs="Times New Roman" w:eastAsia="Times New Roman" w:hint="default"/>
        </w:rPr>
        <w:t>3</w:t>
      </w:r>
      <w:r>
        <w:rPr/>
        <w:t>）完成公司的架构调整 </w:t>
      </w:r>
      <w:r>
        <w:rPr>
          <w:spacing w:val="-2"/>
        </w:rPr>
        <w:t>为更好地发掘市场机会，公司于</w:t>
      </w:r>
      <w:r>
        <w:rPr>
          <w:rFonts w:ascii="Times New Roman" w:hAnsi="Times New Roman" w:cs="Times New Roman" w:eastAsia="Times New Roman" w:hint="default"/>
          <w:spacing w:val="-2"/>
        </w:rPr>
        <w:t>2013</w:t>
      </w:r>
      <w:r>
        <w:rPr>
          <w:spacing w:val="-2"/>
        </w:rPr>
        <w:t>年初设立了准事业部，负责各个行业市场。准事业部的设立、人员的组织调整将于</w:t>
      </w:r>
    </w:p>
    <w:p>
      <w:pPr>
        <w:pStyle w:val="BodyText"/>
        <w:spacing w:line="217" w:lineRule="exact"/>
        <w:ind w:right="0"/>
        <w:jc w:val="both"/>
      </w:pPr>
      <w:r>
        <w:rPr/>
        <w:t>一季度完成。公司将加强准事业部的管理，摸索出一套适合公司的运行机制，在保证公司稳健经营的前提下，充分发挥准事</w:t>
      </w:r>
    </w:p>
    <w:p>
      <w:pPr>
        <w:pStyle w:val="BodyText"/>
        <w:spacing w:line="240" w:lineRule="auto" w:before="76"/>
        <w:ind w:right="0"/>
        <w:jc w:val="both"/>
      </w:pPr>
      <w:r>
        <w:rPr/>
        <w:t>业部的积极性和主观能动性，加大公司的市场开拓力度。</w:t>
      </w:r>
    </w:p>
    <w:p>
      <w:pPr>
        <w:pStyle w:val="BodyText"/>
        <w:spacing w:line="340" w:lineRule="auto" w:before="117"/>
        <w:ind w:left="513" w:right="0"/>
        <w:jc w:val="left"/>
      </w:pPr>
      <w:r>
        <w:rPr/>
        <w:t>（</w:t>
      </w:r>
      <w:r>
        <w:rPr>
          <w:rFonts w:ascii="Times New Roman" w:hAnsi="Times New Roman" w:cs="Times New Roman" w:eastAsia="Times New Roman" w:hint="default"/>
        </w:rPr>
        <w:t>4</w:t>
      </w:r>
      <w:r>
        <w:rPr/>
        <w:t>）加强市场营销工作 </w:t>
      </w:r>
      <w:r>
        <w:rPr>
          <w:spacing w:val="-2"/>
        </w:rPr>
        <w:t>公司将加强市场营销工作，完善新架构下的营销服务体系，加强对重点客户的支持与服务，在维护和巩固现有市场的情</w:t>
      </w:r>
    </w:p>
    <w:p>
      <w:pPr>
        <w:pStyle w:val="BodyText"/>
        <w:spacing w:line="357" w:lineRule="auto" w:before="1"/>
        <w:ind w:left="513" w:right="0" w:hanging="361"/>
        <w:jc w:val="left"/>
      </w:pPr>
      <w:r>
        <w:rPr/>
        <w:t>况下，充分挖掘客户需求，寻找新的市场机会，拓展新的应用领域，及时跟进市场变化。 </w:t>
      </w:r>
      <w:r>
        <w:rPr>
          <w:spacing w:val="-2"/>
        </w:rPr>
        <w:t>平板电脑仍是公司重点展拓的市场之一，公司将持续进行软件生态改善的工作，并积极寻找行业类平板电脑的需求，以</w:t>
      </w:r>
    </w:p>
    <w:p>
      <w:pPr>
        <w:pStyle w:val="BodyText"/>
        <w:spacing w:line="224" w:lineRule="exact"/>
        <w:ind w:right="0"/>
        <w:jc w:val="both"/>
      </w:pPr>
      <w:r>
        <w:rPr/>
        <w:t>降低软件生态问题的影响。</w:t>
      </w:r>
    </w:p>
    <w:p>
      <w:pPr>
        <w:pStyle w:val="BodyText"/>
        <w:spacing w:line="340" w:lineRule="auto" w:before="117"/>
        <w:ind w:left="513" w:right="0"/>
        <w:jc w:val="left"/>
      </w:pPr>
      <w:r>
        <w:rPr/>
        <w:t>（</w:t>
      </w:r>
      <w:r>
        <w:rPr>
          <w:rFonts w:ascii="Times New Roman" w:hAnsi="Times New Roman" w:cs="Times New Roman" w:eastAsia="Times New Roman" w:hint="default"/>
        </w:rPr>
        <w:t>5</w:t>
      </w:r>
      <w:r>
        <w:rPr/>
        <w:t>）加强内部管理，加强人才队伍建设 </w:t>
      </w:r>
      <w:r>
        <w:rPr>
          <w:spacing w:val="-2"/>
        </w:rPr>
        <w:t>随着公司的发展和公司规模的扩大，公司需要不断强化内部管理，吸引更多的优秀人才。公司将不断完善管理制度，加</w:t>
      </w:r>
    </w:p>
    <w:p>
      <w:pPr>
        <w:pStyle w:val="BodyText"/>
        <w:spacing w:line="240" w:lineRule="auto" w:before="1"/>
        <w:ind w:right="0"/>
        <w:jc w:val="both"/>
      </w:pPr>
      <w:r>
        <w:rPr/>
        <w:t>强管理人才的培养和培训，加强研发队伍建设，完善绩效考核机制，充分发挥员工的积极性和主动性。</w:t>
      </w:r>
    </w:p>
    <w:p>
      <w:pPr>
        <w:pStyle w:val="BodyText"/>
        <w:spacing w:line="340" w:lineRule="auto" w:before="115"/>
        <w:ind w:left="513" w:right="0"/>
        <w:jc w:val="left"/>
      </w:pPr>
      <w:r>
        <w:rPr/>
        <w:t>（</w:t>
      </w:r>
      <w:r>
        <w:rPr>
          <w:rFonts w:ascii="Times New Roman" w:hAnsi="Times New Roman" w:cs="Times New Roman" w:eastAsia="Times New Roman" w:hint="default"/>
        </w:rPr>
        <w:t>6</w:t>
      </w:r>
      <w:r>
        <w:rPr/>
        <w:t>）完成控股公司的设立工作 </w:t>
      </w:r>
      <w:r>
        <w:rPr>
          <w:spacing w:val="-4"/>
        </w:rPr>
        <w:t>为充分整合资源，更好地拓展细分市场，满足公司长远战略发展要求，根据公司章程的规定，经公司总经理办公会审议，</w:t>
      </w:r>
    </w:p>
    <w:p>
      <w:pPr>
        <w:pStyle w:val="BodyText"/>
        <w:spacing w:line="300" w:lineRule="auto" w:before="1"/>
        <w:ind w:right="184"/>
        <w:jc w:val="left"/>
      </w:pPr>
      <w:r>
        <w:rPr/>
        <w:t>并经公司董事长审核批准，公司以自有资金发起设立控股子公司北京君诚易恒科技有限公司。公司出资人民币</w:t>
      </w:r>
      <w:r>
        <w:rPr>
          <w:rFonts w:ascii="Times New Roman" w:hAnsi="Times New Roman" w:cs="Times New Roman" w:eastAsia="Times New Roman" w:hint="default"/>
        </w:rPr>
        <w:t>300</w:t>
      </w:r>
      <w:r>
        <w:rPr/>
        <w:t>万元，持</w:t>
      </w:r>
      <w:r>
        <w:rPr>
          <w:spacing w:val="-83"/>
        </w:rPr>
        <w:t> </w:t>
      </w:r>
      <w:r>
        <w:rPr>
          <w:spacing w:val="-83"/>
        </w:rPr>
      </w:r>
      <w:r>
        <w:rPr/>
        <w:t>股</w:t>
      </w:r>
      <w:r>
        <w:rPr>
          <w:rFonts w:ascii="Times New Roman" w:hAnsi="Times New Roman" w:cs="Times New Roman" w:eastAsia="Times New Roman" w:hint="default"/>
        </w:rPr>
        <w:t>75%</w:t>
      </w:r>
      <w:r>
        <w:rPr/>
        <w:t>；另两名自然人李道江、李晓坤分别出资人民币</w:t>
      </w:r>
      <w:r>
        <w:rPr>
          <w:rFonts w:ascii="Times New Roman" w:hAnsi="Times New Roman" w:cs="Times New Roman" w:eastAsia="Times New Roman" w:hint="default"/>
        </w:rPr>
        <w:t>50</w:t>
      </w:r>
      <w:r>
        <w:rPr/>
        <w:t>万元，分别持股</w:t>
      </w:r>
      <w:r>
        <w:rPr>
          <w:rFonts w:ascii="Times New Roman" w:hAnsi="Times New Roman" w:cs="Times New Roman" w:eastAsia="Times New Roman" w:hint="default"/>
        </w:rPr>
        <w:t>12.5%</w:t>
      </w:r>
      <w:r>
        <w:rPr/>
        <w:t>。</w:t>
      </w:r>
    </w:p>
    <w:p>
      <w:pPr>
        <w:pStyle w:val="BodyText"/>
        <w:spacing w:line="307" w:lineRule="auto" w:before="53"/>
        <w:ind w:right="103" w:firstLine="360"/>
        <w:jc w:val="left"/>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14</w:t>
      </w:r>
      <w:r>
        <w:rPr>
          <w:spacing w:val="-2"/>
        </w:rPr>
        <w:t>日北京君诚易恒科技有限公司成立，注册资本人民币</w:t>
      </w:r>
      <w:r>
        <w:rPr>
          <w:rFonts w:ascii="Times New Roman" w:hAnsi="Times New Roman" w:cs="Times New Roman" w:eastAsia="Times New Roman" w:hint="default"/>
          <w:spacing w:val="-2"/>
        </w:rPr>
        <w:t>400</w:t>
      </w:r>
      <w:r>
        <w:rPr>
          <w:spacing w:val="-2"/>
        </w:rPr>
        <w:t>万元；注册地：北京市海淀区东北旺西路</w:t>
      </w:r>
      <w:r>
        <w:rPr>
          <w:rFonts w:ascii="Times New Roman" w:hAnsi="Times New Roman" w:cs="Times New Roman" w:eastAsia="Times New Roman" w:hint="default"/>
          <w:spacing w:val="-2"/>
        </w:rPr>
        <w:t>8</w:t>
      </w:r>
      <w:r>
        <w:rPr>
          <w:spacing w:val="-2"/>
        </w:rPr>
        <w:t>号</w:t>
      </w:r>
      <w:r>
        <w:rPr>
          <w:rFonts w:ascii="Times New Roman" w:hAnsi="Times New Roman" w:cs="Times New Roman" w:eastAsia="Times New Roman" w:hint="default"/>
          <w:spacing w:val="-2"/>
        </w:rPr>
        <w:t>4</w:t>
      </w:r>
      <w:r>
        <w:rPr>
          <w:spacing w:val="-2"/>
        </w:rPr>
        <w:t>号楼</w:t>
      </w:r>
      <w:r>
        <w:rPr/>
        <w:t> </w:t>
      </w:r>
      <w:r>
        <w:rPr>
          <w:spacing w:val="-2"/>
        </w:rPr>
        <w:t>软件广场</w:t>
      </w:r>
      <w:r>
        <w:rPr>
          <w:rFonts w:ascii="Times New Roman" w:hAnsi="Times New Roman" w:cs="Times New Roman" w:eastAsia="Times New Roman" w:hint="default"/>
          <w:spacing w:val="-2"/>
        </w:rPr>
        <w:t>C</w:t>
      </w:r>
      <w:r>
        <w:rPr>
          <w:spacing w:val="-2"/>
        </w:rPr>
        <w:t>座</w:t>
      </w:r>
      <w:r>
        <w:rPr>
          <w:rFonts w:ascii="Times New Roman" w:hAnsi="Times New Roman" w:cs="Times New Roman" w:eastAsia="Times New Roman" w:hint="default"/>
          <w:spacing w:val="-2"/>
        </w:rPr>
        <w:t>3-03</w:t>
      </w:r>
      <w:r>
        <w:rPr>
          <w:spacing w:val="-2"/>
        </w:rPr>
        <w:t>室；主营业务：技术开发、技术转让、技术咨询、技术服务、技术推广；计算机技术培训；电脑动画设计；</w:t>
      </w:r>
      <w:r>
        <w:rPr>
          <w:spacing w:val="-65"/>
        </w:rPr>
        <w:t> </w:t>
      </w:r>
      <w:r>
        <w:rPr>
          <w:spacing w:val="-65"/>
        </w:rPr>
      </w:r>
      <w:r>
        <w:rPr>
          <w:spacing w:val="-2"/>
        </w:rPr>
        <w:t>会议服务；承办展览展示活动；投资咨询、经济贸易咨询；销售计算机、软件及辅助设备、机械设备、通讯设备、五金、交</w:t>
      </w:r>
      <w:r>
        <w:rPr>
          <w:spacing w:val="-68"/>
        </w:rPr>
        <w:t> </w:t>
      </w:r>
      <w:r>
        <w:rPr>
          <w:spacing w:val="-68"/>
        </w:rPr>
      </w:r>
      <w:r>
        <w:rPr/>
        <w:t>电、建筑材料；计算机维修；货物进出口、技术进出口、代理进出口。</w:t>
      </w:r>
    </w:p>
    <w:p>
      <w:pPr>
        <w:pStyle w:val="BodyText"/>
        <w:spacing w:line="240" w:lineRule="auto" w:before="64"/>
        <w:ind w:left="513" w:right="0"/>
        <w:jc w:val="left"/>
      </w:pPr>
      <w:r>
        <w:rPr/>
        <w:t>公司将加强对控股公司的监督和管理。</w:t>
      </w:r>
    </w:p>
    <w:p>
      <w:pPr>
        <w:pStyle w:val="BodyText"/>
        <w:spacing w:line="340" w:lineRule="auto" w:before="117"/>
        <w:ind w:left="513" w:right="4413"/>
        <w:jc w:val="left"/>
      </w:pPr>
      <w:r>
        <w:rPr/>
        <w:t>（</w:t>
      </w:r>
      <w:r>
        <w:rPr>
          <w:rFonts w:ascii="Times New Roman" w:hAnsi="Times New Roman" w:cs="Times New Roman" w:eastAsia="Times New Roman" w:hint="default"/>
        </w:rPr>
        <w:t>7</w:t>
      </w:r>
      <w:r>
        <w:rPr/>
        <w:t>）完成研发基地的建设工作 公司预计于</w:t>
      </w:r>
      <w:r>
        <w:rPr>
          <w:rFonts w:ascii="Times New Roman" w:hAnsi="Times New Roman" w:cs="Times New Roman" w:eastAsia="Times New Roman" w:hint="default"/>
        </w:rPr>
        <w:t>2013</w:t>
      </w:r>
      <w:r>
        <w:rPr/>
        <w:t>年中完成自有研发基地的建设工作并投入使用。</w:t>
      </w:r>
    </w:p>
    <w:p>
      <w:pPr>
        <w:pStyle w:val="BodyText"/>
        <w:spacing w:line="316" w:lineRule="auto" w:before="17"/>
        <w:ind w:right="0" w:firstLine="360"/>
        <w:jc w:val="left"/>
      </w:pPr>
      <w:r>
        <w:rPr>
          <w:spacing w:val="-2"/>
        </w:rPr>
        <w:t>上述公司经营计划并不构成公司对投资者的业绩承诺，提示投资者对此保持足够的风险意识，并且应当理解经营计划与</w:t>
      </w:r>
      <w:r>
        <w:rPr/>
        <w:t> 业绩承诺之间的差异。</w:t>
      </w:r>
    </w:p>
    <w:p>
      <w:pPr>
        <w:pStyle w:val="Heading5"/>
        <w:spacing w:line="240" w:lineRule="auto" w:before="59"/>
        <w:ind w:left="635" w:right="0"/>
        <w:jc w:val="left"/>
        <w:rPr>
          <w:b w:val="0"/>
          <w:bCs w:val="0"/>
        </w:rPr>
      </w:pPr>
      <w:r>
        <w:rPr>
          <w:rFonts w:ascii="Times New Roman" w:hAnsi="Times New Roman" w:cs="Times New Roman" w:eastAsia="Times New Roman" w:hint="default"/>
        </w:rPr>
        <w:t>4</w:t>
      </w:r>
      <w:r>
        <w:rPr/>
        <w:t>、可能面对的风险</w:t>
      </w:r>
      <w:r>
        <w:rPr>
          <w:b w:val="0"/>
          <w:bCs w:val="0"/>
        </w:rPr>
      </w:r>
    </w:p>
    <w:p>
      <w:pPr>
        <w:pStyle w:val="BodyText"/>
        <w:spacing w:line="338" w:lineRule="auto" w:before="103"/>
        <w:ind w:left="633" w:right="0"/>
        <w:jc w:val="left"/>
      </w:pPr>
      <w:r>
        <w:rPr/>
        <w:t>（</w:t>
      </w:r>
      <w:r>
        <w:rPr>
          <w:rFonts w:ascii="Times New Roman" w:hAnsi="Times New Roman" w:cs="Times New Roman" w:eastAsia="Times New Roman" w:hint="default"/>
        </w:rPr>
        <w:t>1</w:t>
      </w:r>
      <w:r>
        <w:rPr/>
        <w:t>）行业变化风险 </w:t>
      </w:r>
      <w:r>
        <w:rPr>
          <w:spacing w:val="-1"/>
        </w:rPr>
        <w:t>电子行业的市场需求变化较快，尤其是消费类电子产品，同时，电子行业产业格局也不断发生着变化，市场和产业的</w:t>
      </w:r>
    </w:p>
    <w:p>
      <w:pPr>
        <w:pStyle w:val="BodyText"/>
        <w:spacing w:line="316" w:lineRule="auto" w:before="2"/>
        <w:ind w:right="0"/>
        <w:jc w:val="left"/>
      </w:pPr>
      <w:r>
        <w:rPr>
          <w:spacing w:val="-2"/>
        </w:rPr>
        <w:t>变化都会给行业内企业的发展带来不确定性。公司将不断完善企业的经营管理，加强技术研发和市场拓展，加强对市场变化</w:t>
      </w:r>
      <w:r>
        <w:rPr>
          <w:spacing w:val="-63"/>
        </w:rPr>
        <w:t> </w:t>
      </w:r>
      <w:r>
        <w:rPr>
          <w:spacing w:val="-63"/>
        </w:rPr>
      </w:r>
      <w:r>
        <w:rPr/>
        <w:t>的敏感度和把握能力，提高公司的核心竞争力和快速反应能力。</w:t>
      </w:r>
    </w:p>
    <w:p>
      <w:pPr>
        <w:pStyle w:val="BodyText"/>
        <w:spacing w:line="340" w:lineRule="auto" w:before="59"/>
        <w:ind w:left="633" w:right="0"/>
        <w:jc w:val="left"/>
      </w:pPr>
      <w:r>
        <w:rPr/>
        <w:t>（</w:t>
      </w:r>
      <w:r>
        <w:rPr>
          <w:rFonts w:ascii="Times New Roman" w:hAnsi="Times New Roman" w:cs="Times New Roman" w:eastAsia="Times New Roman" w:hint="default"/>
        </w:rPr>
        <w:t>2</w:t>
      </w:r>
      <w:r>
        <w:rPr/>
        <w:t>）经营风险 </w:t>
      </w:r>
      <w:r>
        <w:rPr>
          <w:spacing w:val="-1"/>
        </w:rPr>
        <w:t>随着集成电路生产工艺的不断发展，新工艺产品开发需要的资金投入不断提高，集成电路设计厂商的经营风险随之加</w:t>
      </w:r>
    </w:p>
    <w:p>
      <w:pPr>
        <w:pStyle w:val="BodyText"/>
        <w:spacing w:line="316" w:lineRule="auto" w:before="1"/>
        <w:ind w:right="190"/>
        <w:jc w:val="both"/>
      </w:pPr>
      <w:r>
        <w:rPr>
          <w:spacing w:val="-2"/>
        </w:rPr>
        <w:t>大。如果公司新产品不能很好地吻合市场需求，将会造成公司较大的财务损失，对未来发展带来不利影响。掌握自有知识产</w:t>
      </w:r>
      <w:r>
        <w:rPr>
          <w:spacing w:val="-65"/>
        </w:rPr>
        <w:t> </w:t>
      </w:r>
      <w:r>
        <w:rPr>
          <w:spacing w:val="-65"/>
        </w:rPr>
      </w:r>
      <w:r>
        <w:rPr>
          <w:spacing w:val="-2"/>
        </w:rPr>
        <w:t>权的核心技术将有效降低研发的资金投入，公司将不断加强自主研发能力，加强核心技术的研发，结合公司情况深入分析市</w:t>
      </w:r>
      <w:r>
        <w:rPr>
          <w:spacing w:val="-63"/>
        </w:rPr>
        <w:t> </w:t>
      </w:r>
      <w:r>
        <w:rPr>
          <w:spacing w:val="-63"/>
        </w:rPr>
      </w:r>
      <w:r>
        <w:rPr/>
        <w:t>场需求，加强新产品开发项目立项的审核和管理。</w:t>
      </w:r>
    </w:p>
    <w:p>
      <w:pPr>
        <w:pStyle w:val="BodyText"/>
        <w:spacing w:line="340" w:lineRule="auto" w:before="57"/>
        <w:ind w:left="633" w:right="0"/>
        <w:jc w:val="left"/>
      </w:pPr>
      <w:r>
        <w:rPr/>
        <w:t>（</w:t>
      </w:r>
      <w:r>
        <w:rPr>
          <w:rFonts w:ascii="Times New Roman" w:hAnsi="Times New Roman" w:cs="Times New Roman" w:eastAsia="Times New Roman" w:hint="default"/>
        </w:rPr>
        <w:t>3</w:t>
      </w:r>
      <w:r>
        <w:rPr/>
        <w:t>）技术风险 </w:t>
      </w:r>
      <w:r>
        <w:rPr>
          <w:spacing w:val="-1"/>
        </w:rPr>
        <w:t>集成电路行业激烈的市场竞争促使各种相关技术发展非常快，如不能跟上市场主流的需求和技术的发展趋势，将有可</w:t>
      </w:r>
    </w:p>
    <w:p>
      <w:pPr>
        <w:pStyle w:val="BodyText"/>
        <w:spacing w:line="316" w:lineRule="auto" w:before="1"/>
        <w:ind w:right="0"/>
        <w:jc w:val="left"/>
      </w:pPr>
      <w:r>
        <w:rPr>
          <w:spacing w:val="-2"/>
        </w:rPr>
        <w:t>能导致研发水平和产品技术指标的落后。公司将加强对国外新产品、新技术趋势的跟踪和分析，加强研发管理，鼓励技术创</w:t>
      </w:r>
      <w:r>
        <w:rPr>
          <w:spacing w:val="-62"/>
        </w:rPr>
        <w:t> </w:t>
      </w:r>
      <w:r>
        <w:rPr>
          <w:spacing w:val="-62"/>
        </w:rPr>
      </w:r>
      <w:r>
        <w:rPr/>
        <w:t>新，增强公司的研发实力。</w:t>
      </w:r>
    </w:p>
    <w:p>
      <w:pPr>
        <w:pStyle w:val="BodyText"/>
        <w:spacing w:line="240" w:lineRule="auto" w:before="59"/>
        <w:ind w:left="578" w:right="0"/>
        <w:jc w:val="left"/>
      </w:pPr>
      <w:r>
        <w:rPr/>
        <w:t>（</w:t>
      </w:r>
      <w:r>
        <w:rPr>
          <w:rFonts w:ascii="Times New Roman" w:hAnsi="Times New Roman" w:cs="Times New Roman" w:eastAsia="Times New Roman" w:hint="default"/>
        </w:rPr>
        <w:t>4</w:t>
      </w:r>
      <w:r>
        <w:rPr/>
        <w:t>）市场依赖风险</w:t>
      </w:r>
    </w:p>
    <w:p>
      <w:pPr>
        <w:spacing w:after="0" w:line="240" w:lineRule="auto"/>
        <w:jc w:val="left"/>
        <w:sectPr>
          <w:pgSz w:w="11910" w:h="16840"/>
          <w:pgMar w:header="877" w:footer="980" w:top="1100" w:bottom="1160" w:left="980" w:right="940"/>
        </w:sectPr>
      </w:pPr>
    </w:p>
    <w:p>
      <w:pPr>
        <w:spacing w:line="240" w:lineRule="auto" w:before="11"/>
        <w:rPr>
          <w:rFonts w:ascii="宋体" w:hAnsi="宋体" w:cs="宋体" w:eastAsia="宋体" w:hint="default"/>
          <w:sz w:val="21"/>
          <w:szCs w:val="21"/>
        </w:rPr>
      </w:pPr>
    </w:p>
    <w:p>
      <w:pPr>
        <w:pStyle w:val="BodyText"/>
        <w:spacing w:line="319" w:lineRule="auto" w:before="44"/>
        <w:ind w:right="94" w:firstLine="425"/>
        <w:jc w:val="left"/>
      </w:pPr>
      <w:r>
        <w:rPr/>
        <w:t>目前，公司产品的主要应用领域为教育电子、消费电子和移动互联网终端产品市场。移动终端市场对消费电子市场的 </w:t>
      </w:r>
      <w:r>
        <w:rPr>
          <w:spacing w:val="-2"/>
        </w:rPr>
        <w:t>冲击、公司在移动终端市场的销售受阻等因素，直接导致公司业绩受到较大影响，公司经营业绩对移动市场存在一定的依赖</w:t>
      </w:r>
      <w:r>
        <w:rPr>
          <w:spacing w:val="-63"/>
        </w:rPr>
        <w:t> </w:t>
      </w:r>
      <w:r>
        <w:rPr>
          <w:spacing w:val="-63"/>
        </w:rPr>
      </w:r>
      <w:r>
        <w:rPr/>
        <w:t>性，如果移动市场迟迟不能取得突破，则会对公司未来发展带来不利。公司产品具有通用性，可广泛应用于多个市场领域， 公司将积极拓展新的应用领域，以分散单一市场的拓展情况对公司的经营影响。</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r>
        <w:rPr/>
        <w:t>四、董事会对会计师事务所本报告期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五、董事会关于报告期会计政策、会计估计变更或重要前期差错更正的说明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六、公司利润分配及分红派息情况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513" w:right="183" w:hanging="361"/>
        <w:jc w:val="left"/>
      </w:pPr>
      <w:r>
        <w:rPr/>
        <w:t>报告期内利润分配政策特别是现金分红政策的制定、执行或调整情况 根据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月中国证监会《关于进一步落实上市公司现金分红有关事项的通知》（证监发〔</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37</w:t>
      </w:r>
      <w:r>
        <w:rPr/>
        <w:t>号）中关于上市</w:t>
      </w:r>
    </w:p>
    <w:p>
      <w:pPr>
        <w:pStyle w:val="BodyText"/>
        <w:spacing w:line="214" w:lineRule="exact"/>
        <w:ind w:right="0"/>
        <w:jc w:val="left"/>
        <w:rPr>
          <w:rFonts w:ascii="Times New Roman" w:hAnsi="Times New Roman" w:cs="Times New Roman" w:eastAsia="Times New Roman" w:hint="default"/>
        </w:rPr>
      </w:pPr>
      <w:r>
        <w:rPr/>
        <w:t>公司分红的政策要求，为进一步明确利润分配原则，保护股东利益，实现公司可持续发展，根据公司实际情况，经</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p>
    <w:p>
      <w:pPr>
        <w:pStyle w:val="BodyText"/>
        <w:spacing w:line="300" w:lineRule="auto" w:before="63"/>
        <w:ind w:right="0"/>
        <w:jc w:val="left"/>
      </w:pPr>
      <w:r>
        <w:rPr>
          <w:spacing w:val="-2"/>
        </w:rPr>
        <w:t>月</w:t>
      </w:r>
      <w:r>
        <w:rPr>
          <w:rFonts w:ascii="Times New Roman" w:hAnsi="Times New Roman" w:cs="Times New Roman" w:eastAsia="Times New Roman" w:hint="default"/>
          <w:spacing w:val="-2"/>
        </w:rPr>
        <w:t>17</w:t>
      </w:r>
      <w:r>
        <w:rPr>
          <w:spacing w:val="-2"/>
        </w:rPr>
        <w:t>日公司第一届董事会第十七次会议和</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8</w:t>
      </w:r>
      <w:r>
        <w:rPr>
          <w:spacing w:val="-2"/>
        </w:rPr>
        <w:t>日公司</w:t>
      </w:r>
      <w:r>
        <w:rPr>
          <w:rFonts w:ascii="Times New Roman" w:hAnsi="Times New Roman" w:cs="Times New Roman" w:eastAsia="Times New Roman" w:hint="default"/>
          <w:spacing w:val="-2"/>
        </w:rPr>
        <w:t>2012</w:t>
      </w:r>
      <w:r>
        <w:rPr>
          <w:spacing w:val="-2"/>
        </w:rPr>
        <w:t>年第一次临时股东大会审议通过，对《公司章程》中有关分</w:t>
      </w:r>
      <w:r>
        <w:rPr>
          <w:spacing w:val="-54"/>
        </w:rPr>
        <w:t> </w:t>
      </w:r>
      <w:r>
        <w:rPr>
          <w:spacing w:val="-54"/>
        </w:rPr>
      </w:r>
      <w:r>
        <w:rPr/>
        <w:t>红的相关条款进行了补充修订。</w:t>
      </w:r>
    </w:p>
    <w:p>
      <w:pPr>
        <w:pStyle w:val="BodyText"/>
        <w:spacing w:line="300" w:lineRule="auto" w:before="72"/>
        <w:ind w:right="0" w:firstLine="360"/>
        <w:jc w:val="left"/>
      </w:pPr>
      <w:r>
        <w:rPr/>
        <w:t>根据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月北京证监局《关于进一步完善上市公司现金分红有关事项的通知》（京证公司发</w:t>
      </w:r>
      <w:r>
        <w:rPr>
          <w:rFonts w:ascii="Times New Roman" w:hAnsi="Times New Roman" w:cs="Times New Roman" w:eastAsia="Times New Roman" w:hint="default"/>
        </w:rPr>
        <w:t>[2012]101</w:t>
      </w:r>
      <w:r>
        <w:rPr/>
        <w:t>号）的要求， </w:t>
      </w:r>
      <w:r>
        <w:rPr>
          <w:spacing w:val="-3"/>
        </w:rPr>
        <w:t>经</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w:t>
      </w:r>
      <w:r>
        <w:rPr>
          <w:spacing w:val="-3"/>
        </w:rPr>
        <w:t>日公司第一届董事会第十八次会议和</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16</w:t>
      </w:r>
      <w:r>
        <w:rPr>
          <w:spacing w:val="-3"/>
        </w:rPr>
        <w:t>日公司</w:t>
      </w:r>
      <w:r>
        <w:rPr>
          <w:rFonts w:ascii="Times New Roman" w:hAnsi="Times New Roman" w:cs="Times New Roman" w:eastAsia="Times New Roman" w:hint="default"/>
          <w:spacing w:val="-3"/>
        </w:rPr>
        <w:t>2012</w:t>
      </w:r>
      <w:r>
        <w:rPr>
          <w:spacing w:val="-3"/>
        </w:rPr>
        <w:t>年第二次临时股东大会审议通过，对《公司章程》</w:t>
      </w:r>
      <w:r>
        <w:rPr>
          <w:spacing w:val="-81"/>
        </w:rPr>
        <w:t> </w:t>
      </w:r>
      <w:r>
        <w:rPr>
          <w:spacing w:val="-81"/>
        </w:rPr>
      </w:r>
      <w:r>
        <w:rPr/>
        <w:t>做了进一步修订，进一步明确了股利分配的计算依据。</w:t>
      </w:r>
    </w:p>
    <w:p>
      <w:pPr>
        <w:pStyle w:val="BodyText"/>
        <w:spacing w:line="338" w:lineRule="auto" w:before="72"/>
        <w:ind w:right="0" w:firstLine="360"/>
        <w:jc w:val="left"/>
      </w:pPr>
      <w:r>
        <w:rPr>
          <w:spacing w:val="-2"/>
        </w:rPr>
        <w:t>公司利润分配政策的修订符合公司章程及审议程序的规定，充分保护了中小投资者的合法权益，利润分配政策对分红标</w:t>
      </w:r>
      <w:r>
        <w:rPr/>
        <w:t> 准和分红比例做了明确规定，利润分配政策调整或变更的条件和程序合规、透明。 公司报告期利润分配预案及资本公积金转增股本预案与公司章程和分红管理办法等的相关规定一致</w:t>
      </w:r>
    </w:p>
    <w:p>
      <w:pPr>
        <w:pStyle w:val="BodyText"/>
        <w:spacing w:line="348" w:lineRule="auto" w:before="43"/>
        <w:ind w:right="3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before="44"/>
        <w:ind w:left="0" w:right="199"/>
        <w:jc w:val="right"/>
      </w:pPr>
      <w:r>
        <w:rPr/>
        <w:pict>
          <v:shape style="position:absolute;margin-left:57pt;margin-top:-205.834274pt;width:478.7pt;height:223.7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96"/>
                    <w:gridCol w:w="5863"/>
                  </w:tblGrid>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104,000,000.00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31,200,000.00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161,203,577.58</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5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1651"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12" w:right="17" w:firstLine="360"/>
                          <w:jc w:val="left"/>
                          <w:rPr>
                            <w:rFonts w:ascii="宋体" w:hAnsi="宋体" w:cs="宋体" w:eastAsia="宋体" w:hint="default"/>
                            <w:sz w:val="18"/>
                            <w:szCs w:val="18"/>
                          </w:rPr>
                        </w:pPr>
                        <w:r>
                          <w:rPr>
                            <w:rFonts w:ascii="宋体" w:hAnsi="宋体" w:cs="宋体" w:eastAsia="宋体" w:hint="default"/>
                            <w:spacing w:val="-1"/>
                            <w:sz w:val="18"/>
                            <w:szCs w:val="18"/>
                          </w:rPr>
                          <w:t>根据北京兴华会计师事务所有限责任公司出具的</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京会兴审字第</w:t>
                        </w:r>
                        <w:r>
                          <w:rPr>
                            <w:rFonts w:ascii="宋体" w:hAnsi="宋体" w:cs="宋体" w:eastAsia="宋体" w:hint="default"/>
                            <w:spacing w:val="-39"/>
                            <w:sz w:val="18"/>
                            <w:szCs w:val="18"/>
                          </w:rPr>
                          <w:t> </w:t>
                        </w:r>
                        <w:r>
                          <w:rPr>
                            <w:rFonts w:ascii="Times New Roman" w:hAnsi="Times New Roman" w:cs="Times New Roman" w:eastAsia="Times New Roman" w:hint="default"/>
                            <w:spacing w:val="-2"/>
                            <w:sz w:val="18"/>
                            <w:szCs w:val="18"/>
                          </w:rPr>
                          <w:t>01011196</w:t>
                        </w:r>
                        <w:r>
                          <w:rPr>
                            <w:rFonts w:ascii="Times New Roman" w:hAnsi="Times New Roman" w:cs="Times New Roman" w:eastAsia="Times New Roman" w:hint="default"/>
                            <w:spacing w:val="8"/>
                            <w:sz w:val="18"/>
                            <w:szCs w:val="18"/>
                          </w:rPr>
                          <w:t> </w:t>
                        </w:r>
                        <w:r>
                          <w:rPr>
                            <w:rFonts w:ascii="宋体" w:hAnsi="宋体" w:cs="宋体" w:eastAsia="宋体" w:hint="default"/>
                            <w:spacing w:val="-14"/>
                            <w:sz w:val="18"/>
                            <w:szCs w:val="18"/>
                          </w:rPr>
                          <w:t>号《审计报告》，公司</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年度母公司 实现净利润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55,357,614.59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元。根据《公司法》和《公司章程》的有关规定，按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年度母公司净利润的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w:t>
                        </w:r>
                      </w:p>
                      <w:p>
                        <w:pPr>
                          <w:pStyle w:val="TableParagraph"/>
                          <w:spacing w:line="240" w:lineRule="auto" w:before="15"/>
                          <w:ind w:left="12" w:right="0"/>
                          <w:jc w:val="left"/>
                          <w:rPr>
                            <w:rFonts w:ascii="宋体" w:hAnsi="宋体" w:cs="宋体" w:eastAsia="宋体" w:hint="default"/>
                            <w:sz w:val="18"/>
                            <w:szCs w:val="18"/>
                          </w:rPr>
                        </w:pPr>
                        <w:r>
                          <w:rPr>
                            <w:rFonts w:ascii="宋体" w:hAnsi="宋体" w:cs="宋体" w:eastAsia="宋体" w:hint="default"/>
                            <w:sz w:val="18"/>
                            <w:szCs w:val="18"/>
                          </w:rPr>
                          <w:t>余公积金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5,535,761.46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日，公司可供股东分配利润为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161,203,577.58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3"/>
                          <w:ind w:left="372" w:right="0"/>
                          <w:jc w:val="left"/>
                          <w:rPr>
                            <w:rFonts w:ascii="宋体" w:hAnsi="宋体" w:cs="宋体" w:eastAsia="宋体" w:hint="default"/>
                            <w:sz w:val="18"/>
                            <w:szCs w:val="18"/>
                          </w:rPr>
                        </w:pPr>
                        <w:r>
                          <w:rPr>
                            <w:rFonts w:ascii="宋体" w:hAnsi="宋体" w:cs="宋体" w:eastAsia="宋体" w:hint="default"/>
                            <w:sz w:val="18"/>
                            <w:szCs w:val="18"/>
                          </w:rPr>
                          <w:t>经公司第二届董事会第二次会议和第二届监事会第二次会议审议通过，拟以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2"/>
                          <w:ind w:left="12" w:right="0"/>
                          <w:jc w:val="left"/>
                          <w:rPr>
                            <w:rFonts w:ascii="宋体" w:hAnsi="宋体" w:cs="宋体" w:eastAsia="宋体" w:hint="default"/>
                            <w:sz w:val="18"/>
                            <w:szCs w:val="18"/>
                          </w:rPr>
                        </w:pPr>
                        <w:r>
                          <w:rPr>
                            <w:rFonts w:ascii="宋体" w:hAnsi="宋体" w:cs="宋体" w:eastAsia="宋体" w:hint="default"/>
                            <w:sz w:val="18"/>
                            <w:szCs w:val="18"/>
                          </w:rPr>
                          <w:t>股为基数</w:t>
                        </w:r>
                        <w:r>
                          <w:rPr>
                            <w:rFonts w:ascii="宋体" w:hAnsi="宋体" w:cs="宋体" w:eastAsia="宋体" w:hint="default"/>
                            <w:spacing w:val="-5"/>
                            <w:sz w:val="18"/>
                            <w:szCs w:val="18"/>
                          </w:rPr>
                          <w:t>，</w:t>
                        </w:r>
                        <w:r>
                          <w:rPr>
                            <w:rFonts w:ascii="宋体" w:hAnsi="宋体" w:cs="宋体" w:eastAsia="宋体" w:hint="default"/>
                            <w:sz w:val="18"/>
                            <w:szCs w:val="18"/>
                          </w:rPr>
                          <w:t>按每</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w:t>
                        </w:r>
                        <w:r>
                          <w:rPr>
                            <w:rFonts w:ascii="宋体" w:hAnsi="宋体" w:cs="宋体" w:eastAsia="宋体" w:hint="default"/>
                            <w:spacing w:val="-3"/>
                            <w:sz w:val="18"/>
                            <w:szCs w:val="18"/>
                          </w:rPr>
                          <w:t>金</w:t>
                        </w:r>
                        <w:r>
                          <w:rPr>
                            <w:rFonts w:ascii="宋体" w:hAnsi="宋体" w:cs="宋体" w:eastAsia="宋体" w:hint="default"/>
                            <w:sz w:val="18"/>
                            <w:szCs w:val="18"/>
                          </w:rPr>
                          <w:t>红利</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共分配现</w:t>
                        </w:r>
                        <w:r>
                          <w:rPr>
                            <w:rFonts w:ascii="宋体" w:hAnsi="宋体" w:cs="宋体" w:eastAsia="宋体" w:hint="default"/>
                            <w:spacing w:val="-3"/>
                            <w:sz w:val="18"/>
                            <w:szCs w:val="18"/>
                          </w:rPr>
                          <w:t>金</w:t>
                        </w:r>
                        <w:r>
                          <w:rPr>
                            <w:rFonts w:ascii="宋体" w:hAnsi="宋体" w:cs="宋体" w:eastAsia="宋体" w:hint="default"/>
                            <w:sz w:val="18"/>
                            <w:szCs w:val="18"/>
                          </w:rPr>
                          <w:t>股利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5"/>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pacing w:val="-3"/>
                            <w:sz w:val="18"/>
                            <w:szCs w:val="18"/>
                          </w:rPr>
                          <w:t>剩</w:t>
                        </w:r>
                        <w:r>
                          <w:rPr>
                            <w:rFonts w:ascii="宋体" w:hAnsi="宋体" w:cs="宋体" w:eastAsia="宋体" w:hint="default"/>
                            <w:sz w:val="18"/>
                            <w:szCs w:val="18"/>
                          </w:rPr>
                          <w:t>余未分配利润结转以后年度</w:t>
                        </w:r>
                      </w:p>
                    </w:tc>
                  </w:tr>
                </w:tbl>
                <w:p>
                  <w:pPr/>
                </w:p>
              </w:txbxContent>
            </v:textbox>
            <w10:wrap type="none"/>
          </v:shape>
        </w:pict>
      </w:r>
      <w:r>
        <w:rPr/>
        <w:t>。</w:t>
      </w:r>
    </w:p>
    <w:p>
      <w:pPr>
        <w:spacing w:after="0" w:line="240" w:lineRule="auto"/>
        <w:jc w:val="right"/>
        <w:sectPr>
          <w:pgSz w:w="11910" w:h="16840"/>
          <w:pgMar w:header="877" w:footer="980" w:top="1100" w:bottom="1160" w:left="980" w:right="940"/>
        </w:sectPr>
      </w:pPr>
    </w:p>
    <w:p>
      <w:pPr>
        <w:spacing w:line="240" w:lineRule="auto" w:before="12"/>
        <w:rPr>
          <w:rFonts w:ascii="宋体" w:hAnsi="宋体" w:cs="宋体" w:eastAsia="宋体" w:hint="default"/>
          <w:sz w:val="24"/>
          <w:szCs w:val="24"/>
        </w:rPr>
      </w:pPr>
    </w:p>
    <w:p>
      <w:pPr>
        <w:spacing w:line="362" w:lineRule="exact"/>
        <w:ind w:left="152"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478.55pt;height:18.150pt;mso-position-horizontal-relative:char;mso-position-vertical-relative:line" type="#_x0000_t202" filled="false" stroked="true" strokeweight=".48pt" strokecolor="#000000">
            <w10:anchorlock/>
            <v:textbox inset="0,0,0,0">
              <w:txbxContent>
                <w:p>
                  <w:pPr>
                    <w:pStyle w:val="BodyText"/>
                    <w:spacing w:line="240" w:lineRule="auto" w:before="8"/>
                    <w:ind w:left="23" w:right="0"/>
                    <w:jc w:val="left"/>
                  </w:pPr>
                  <w:r>
                    <w:rPr/>
                    <w:t>本预案尚需提交公司年度股东大会审议通过后方可实施。</w:t>
                  </w:r>
                </w:p>
              </w:txbxContent>
            </v:textbox>
          </v:shape>
        </w:pict>
      </w:r>
      <w:r>
        <w:rPr>
          <w:rFonts w:ascii="宋体" w:hAnsi="宋体" w:cs="宋体" w:eastAsia="宋体" w:hint="default"/>
          <w:position w:val="-6"/>
          <w:sz w:val="20"/>
          <w:szCs w:val="20"/>
        </w:rPr>
      </w:r>
    </w:p>
    <w:p>
      <w:pPr>
        <w:pStyle w:val="BodyText"/>
        <w:spacing w:line="240" w:lineRule="auto" w:before="54"/>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pStyle w:val="BodyText"/>
        <w:spacing w:line="240" w:lineRule="auto" w:before="101"/>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t>年利润分配方案：公司</w:t>
      </w:r>
      <w:r>
        <w:rPr>
          <w:rFonts w:ascii="Times New Roman" w:hAnsi="Times New Roman" w:cs="Times New Roman" w:eastAsia="Times New Roman" w:hint="default"/>
        </w:rPr>
        <w:t>2010</w:t>
      </w:r>
      <w:r>
        <w:rPr/>
        <w:t>年未进行利润分配。</w:t>
      </w:r>
    </w:p>
    <w:p>
      <w:pPr>
        <w:pStyle w:val="BodyText"/>
        <w:spacing w:line="319" w:lineRule="auto" w:before="103"/>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年利润分配方案：以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8,000</w:t>
      </w:r>
      <w:r>
        <w:rPr/>
        <w:t>万股为基数，按每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6</w:t>
      </w:r>
      <w:r>
        <w:rPr/>
        <w:t>元（含税），共分配现 金股利</w:t>
      </w:r>
      <w:r>
        <w:rPr>
          <w:rFonts w:ascii="Times New Roman" w:hAnsi="Times New Roman" w:cs="Times New Roman" w:eastAsia="Times New Roman" w:hint="default"/>
        </w:rPr>
        <w:t>4,800.00</w:t>
      </w:r>
      <w:r>
        <w:rPr/>
        <w:t>万元（含税）；同时，以资本公积金向全体股东每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股，合计转增股本</w:t>
      </w:r>
      <w:r>
        <w:rPr>
          <w:rFonts w:ascii="Times New Roman" w:hAnsi="Times New Roman" w:cs="Times New Roman" w:eastAsia="Times New Roman" w:hint="default"/>
        </w:rPr>
        <w:t>2,400</w:t>
      </w:r>
      <w:r>
        <w:rPr/>
        <w:t>万股。 </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2012</w:t>
      </w:r>
      <w:r>
        <w:rPr>
          <w:spacing w:val="-1"/>
        </w:rPr>
        <w:t>年利润分配方案：以</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10,400</w:t>
      </w:r>
      <w:r>
        <w:rPr>
          <w:spacing w:val="-1"/>
        </w:rPr>
        <w:t>万股为基数，按每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3</w:t>
      </w:r>
      <w:r>
        <w:rPr>
          <w:spacing w:val="-1"/>
        </w:rPr>
        <w:t>元（含税），共分配现</w:t>
      </w:r>
    </w:p>
    <w:p>
      <w:pPr>
        <w:pStyle w:val="BodyText"/>
        <w:spacing w:line="338" w:lineRule="auto"/>
        <w:ind w:right="4864"/>
        <w:jc w:val="left"/>
      </w:pPr>
      <w:r>
        <w:rPr/>
        <w:t>金股利</w:t>
      </w:r>
      <w:r>
        <w:rPr>
          <w:rFonts w:ascii="Times New Roman" w:hAnsi="Times New Roman" w:cs="Times New Roman" w:eastAsia="Times New Roman" w:hint="default"/>
        </w:rPr>
        <w:t>3,120.00</w:t>
      </w:r>
      <w:r>
        <w:rPr/>
        <w:t>万元（含税），剩余未分配利润结转以后年度。 公司近三年现金分红情况表</w:t>
      </w:r>
    </w:p>
    <w:p>
      <w:pPr>
        <w:pStyle w:val="BodyText"/>
        <w:spacing w:line="240" w:lineRule="auto" w:before="43"/>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6"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47,875,614.78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65.17%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64,265,102.98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74.69%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88,814,940.06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left"/>
      </w:pPr>
      <w:r>
        <w:rPr/>
        <w:t>公司报告期内盈利且母公司未分配利润为正但未提出现金红利分配预案</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七、内幕信息知情人管理制度的建立和执行情况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3" w:right="178"/>
        <w:jc w:val="left"/>
      </w:pPr>
      <w:r>
        <w:rPr>
          <w:rFonts w:ascii="Times New Roman" w:hAnsi="Times New Roman" w:cs="Times New Roman" w:eastAsia="Times New Roman" w:hint="default"/>
        </w:rPr>
        <w:t>1</w:t>
      </w:r>
      <w:r>
        <w:rPr/>
        <w:t>、内幕知情人管理制度的建立和执行情况 </w:t>
      </w:r>
      <w:r>
        <w:rPr>
          <w:spacing w:val="-5"/>
        </w:rPr>
        <w:t>为了规范公司的内幕信息管理，加强内幕信息保密工作，维护信息披露公平原则，根据相关法律法规、规范性文件及《公</w:t>
      </w:r>
    </w:p>
    <w:p>
      <w:pPr>
        <w:pStyle w:val="BodyText"/>
        <w:spacing w:line="316" w:lineRule="auto" w:before="32"/>
        <w:ind w:left="513" w:right="0" w:hanging="361"/>
        <w:jc w:val="left"/>
      </w:pPr>
      <w:r>
        <w:rPr/>
        <w:t>司章程》的规定，公司制订和完善了一系列与内幕信息管理相关的制度。 </w:t>
      </w:r>
      <w:r>
        <w:rPr>
          <w:spacing w:val="-2"/>
        </w:rPr>
        <w:t>报告期内，公司严格执行内幕信息相关管理制度，对于定期报告及未公开的重大信息等，董事会办公室严格规范信息传</w:t>
      </w:r>
    </w:p>
    <w:p>
      <w:pPr>
        <w:pStyle w:val="BodyText"/>
        <w:spacing w:line="316" w:lineRule="auto" w:before="19"/>
        <w:ind w:right="94"/>
        <w:jc w:val="left"/>
      </w:pPr>
      <w:r>
        <w:rPr/>
        <w:t>递流程，控制信息知悉范围并对相关内幕信息知情人进行登记，如实、完整记录上述信息在公开前的所有内幕知情人名单， </w:t>
      </w:r>
      <w:r>
        <w:rPr>
          <w:spacing w:val="-2"/>
        </w:rPr>
        <w:t>以及知情人知悉内幕信息的时间，经公司董事会办公室核实无误后，按照有关法律法规规定向深交所和证监局报备内幕信息</w:t>
      </w:r>
      <w:r>
        <w:rPr>
          <w:spacing w:val="-64"/>
        </w:rPr>
        <w:t> </w:t>
      </w:r>
      <w:r>
        <w:rPr>
          <w:spacing w:val="-64"/>
        </w:rPr>
      </w:r>
      <w:r>
        <w:rPr>
          <w:spacing w:val="-2"/>
        </w:rPr>
        <w:t>知情人登记情况。同时，对于日常投资者调研活动，主要由公司董事会办公室负责对调研人员的个人信息进行备案，同时要</w:t>
      </w:r>
      <w:r>
        <w:rPr>
          <w:spacing w:val="-64"/>
        </w:rPr>
        <w:t> </w:t>
      </w:r>
      <w:r>
        <w:rPr>
          <w:spacing w:val="-64"/>
        </w:rPr>
      </w:r>
      <w:r>
        <w:rPr>
          <w:spacing w:val="-2"/>
        </w:rPr>
        <w:t>求其签署公平信息披露承诺书。在调研会议期间，董事会办公室人员认真做好相关会议记录，及时向深交所报备，并按照相</w:t>
      </w:r>
      <w:r>
        <w:rPr>
          <w:spacing w:val="-66"/>
        </w:rPr>
        <w:t> </w:t>
      </w:r>
      <w:r>
        <w:rPr>
          <w:spacing w:val="-66"/>
        </w:rPr>
      </w:r>
      <w:r>
        <w:rPr/>
        <w:t>关规定在深交所指定的互动易平台进行披露。</w:t>
      </w:r>
    </w:p>
    <w:p>
      <w:pPr>
        <w:pStyle w:val="BodyText"/>
        <w:spacing w:line="300" w:lineRule="auto" w:before="19"/>
        <w:ind w:left="513" w:right="0"/>
        <w:jc w:val="left"/>
      </w:pPr>
      <w:r>
        <w:rPr>
          <w:rFonts w:ascii="Times New Roman" w:hAnsi="Times New Roman" w:cs="Times New Roman" w:eastAsia="Times New Roman" w:hint="default"/>
        </w:rPr>
        <w:t>2</w:t>
      </w:r>
      <w:r>
        <w:rPr/>
        <w:t>、报告期内自查内幕信息知情人涉嫌内幕交易以及监管部门的查处或整改情况 </w:t>
      </w:r>
      <w:r>
        <w:rPr>
          <w:spacing w:val="-2"/>
        </w:rPr>
        <w:t>报告期内，公司严格执行内幕信息管理的相关制度，董事、监事和高级管理人员均严格遵守了内幕信息知情人管理的制</w:t>
      </w:r>
    </w:p>
    <w:p>
      <w:pPr>
        <w:pStyle w:val="BodyText"/>
        <w:spacing w:line="360" w:lineRule="auto" w:before="31"/>
        <w:ind w:left="513" w:right="4053" w:hanging="361"/>
        <w:jc w:val="left"/>
      </w:pPr>
      <w:r>
        <w:rPr/>
        <w:t>度要求，未发现有内幕信息知情人利用内幕信息买卖本公司股票的情况。 报告期内，公司及相关人员未发生受到监管部门查处或整改的情形。</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r>
        <w:rPr/>
        <w:t>八、报告期内接待调研、沟通、采访等活动登记表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6"/>
        <w:gridCol w:w="1056"/>
        <w:gridCol w:w="994"/>
        <w:gridCol w:w="708"/>
        <w:gridCol w:w="2693"/>
        <w:gridCol w:w="2693"/>
      </w:tblGrid>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58"/>
              <w:jc w:val="right"/>
              <w:rPr>
                <w:rFonts w:ascii="宋体" w:hAnsi="宋体" w:cs="宋体" w:eastAsia="宋体" w:hint="default"/>
                <w:sz w:val="18"/>
                <w:szCs w:val="18"/>
              </w:rPr>
            </w:pPr>
            <w:r>
              <w:rPr>
                <w:rFonts w:ascii="宋体" w:hAnsi="宋体" w:cs="宋体" w:eastAsia="宋体" w:hint="default"/>
                <w:sz w:val="18"/>
                <w:szCs w:val="18"/>
              </w:rPr>
              <w:t>接待地点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接待对 象类型</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诚盛投资、远策投资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5"/>
                <w:sz w:val="18"/>
                <w:szCs w:val="18"/>
              </w:rPr>
              <w:t>公司近期产品研发、销售、市场推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广情况。</w:t>
            </w:r>
          </w:p>
        </w:tc>
      </w:tr>
      <w:tr>
        <w:trPr>
          <w:trHeight w:val="674"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中邮证券、华泰联合、华创证券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5"/>
                <w:sz w:val="18"/>
                <w:szCs w:val="18"/>
              </w:rPr>
              <w:t>近期行业市场情况，公司软件生态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的改善情况，公司未来的市场开拓</w:t>
            </w:r>
          </w:p>
        </w:tc>
      </w:tr>
    </w:tbl>
    <w:p>
      <w:pPr>
        <w:spacing w:after="0" w:line="316" w:lineRule="auto"/>
        <w:jc w:val="left"/>
        <w:rPr>
          <w:rFonts w:ascii="宋体" w:hAnsi="宋体" w:cs="宋体" w:eastAsia="宋体" w:hint="default"/>
          <w:sz w:val="18"/>
          <w:szCs w:val="18"/>
        </w:rPr>
        <w:sectPr>
          <w:pgSz w:w="11910" w:h="16840"/>
          <w:pgMar w:header="877" w:footer="980" w:top="1100" w:bottom="1160" w:left="980" w:right="940"/>
        </w:sectPr>
      </w:pPr>
    </w:p>
    <w:p>
      <w:pPr>
        <w:spacing w:line="240" w:lineRule="auto" w:before="11"/>
        <w:rPr>
          <w:rFonts w:ascii="Times New Roman" w:hAnsi="Times New Roman" w:cs="Times New Roman" w:eastAsia="Times New Roman" w:hint="default"/>
          <w:sz w:val="27"/>
          <w:szCs w:val="27"/>
        </w:rPr>
      </w:pPr>
      <w:r>
        <w:rPr/>
        <w:pict>
          <v:shape style="position:absolute;margin-left:270.769989pt;margin-top:126.259979pt;width:267.8pt;height:23.4pt;mso-position-horizontal-relative:page;mso-position-vertical-relative:page;z-index:-649840" type="#_x0000_t202" filled="false" stroked="false">
            <v:textbox inset="0,0,0,0">
              <w:txbxContent>
                <w:p>
                  <w:pPr>
                    <w:pStyle w:val="BodyText"/>
                    <w:spacing w:line="240" w:lineRule="auto" w:before="49"/>
                    <w:ind w:left="0" w:right="0"/>
                    <w:jc w:val="left"/>
                  </w:pPr>
                  <w:r>
                    <w:rPr/>
                    <w:t>民生证券、浙商证券、国都证券、</w:t>
                  </w:r>
                </w:p>
              </w:txbxContent>
            </v:textbox>
            <w10:wrap type="none"/>
          </v:shape>
        </w:pict>
      </w:r>
      <w:r>
        <w:rPr/>
        <w:pict>
          <v:group style="position:absolute;margin-left:404.350006pt;margin-top:126.259979pt;width:134.2pt;height:23.4pt;mso-position-horizontal-relative:page;mso-position-vertical-relative:page;z-index:-649816" coordorigin="8087,2525" coordsize="2684,468">
            <v:shape style="position:absolute;left:8087;top:2525;width:2684;height:468" coordorigin="8087,2525" coordsize="2684,468" path="m8087,2993l10771,2993,10771,2525,8087,2525,8087,2993xe" filled="true" fillcolor="#ffffff" stroked="false">
              <v:path arrowok="t"/>
              <v:fill type="solid"/>
            </v:shape>
            <w10:wrap type="none"/>
          </v:group>
        </w:pict>
      </w:r>
      <w:r>
        <w:rPr/>
        <w:pict>
          <v:group style="position:absolute;margin-left:404.350006pt;margin-top:184.939987pt;width:134.2pt;height:23.4pt;mso-position-horizontal-relative:page;mso-position-vertical-relative:page;z-index:-649792" coordorigin="8087,3699" coordsize="2684,468">
            <v:shape style="position:absolute;left:8087;top:3699;width:2684;height:468" coordorigin="8087,3699" coordsize="2684,468" path="m8087,4167l10771,4167,10771,3699,8087,3699,8087,4167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496"/>
        <w:gridCol w:w="1056"/>
        <w:gridCol w:w="994"/>
        <w:gridCol w:w="708"/>
        <w:gridCol w:w="2693"/>
        <w:gridCol w:w="2693"/>
      </w:tblGrid>
      <w:tr>
        <w:trPr>
          <w:trHeight w:val="363" w:hRule="exact"/>
        </w:trPr>
        <w:tc>
          <w:tcPr>
            <w:tcW w:w="149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中投证券、建信基金、信达证券、 东方资管</w:t>
            </w:r>
          </w:p>
        </w:tc>
        <w:tc>
          <w:tcPr>
            <w:tcW w:w="2693"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49"/>
              <w:ind w:left="11" w:right="20"/>
              <w:jc w:val="left"/>
              <w:rPr>
                <w:rFonts w:ascii="宋体" w:hAnsi="宋体" w:cs="宋体" w:eastAsia="宋体" w:hint="default"/>
                <w:sz w:val="18"/>
                <w:szCs w:val="18"/>
              </w:rPr>
            </w:pPr>
            <w:r>
              <w:rPr>
                <w:rFonts w:ascii="宋体" w:hAnsi="宋体" w:cs="宋体" w:eastAsia="宋体" w:hint="default"/>
                <w:spacing w:val="-5"/>
                <w:sz w:val="18"/>
                <w:szCs w:val="18"/>
              </w:rPr>
              <w:t>公司软件生态的改善情况，公司产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品研发、市场开拓进展情况。</w:t>
            </w:r>
          </w:p>
        </w:tc>
      </w:tr>
      <w:tr>
        <w:trPr>
          <w:trHeight w:val="165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53"/>
              <w:jc w:val="both"/>
              <w:rPr>
                <w:rFonts w:ascii="宋体" w:hAnsi="宋体" w:cs="宋体" w:eastAsia="宋体" w:hint="default"/>
                <w:sz w:val="18"/>
                <w:szCs w:val="18"/>
              </w:rPr>
            </w:pPr>
            <w:r>
              <w:rPr>
                <w:rFonts w:ascii="宋体" w:hAnsi="宋体" w:cs="宋体" w:eastAsia="宋体" w:hint="default"/>
                <w:sz w:val="18"/>
                <w:szCs w:val="18"/>
              </w:rPr>
              <w:t>六禾投资、海通证券、纽银基金、 日信证券、大成基金、中英人寿、 中邮基金、建信基金、中信建投、 长盛基金、诺安基金</w:t>
            </w:r>
          </w:p>
        </w:tc>
        <w:tc>
          <w:tcPr>
            <w:tcW w:w="269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1" w:right="-41"/>
              <w:jc w:val="left"/>
              <w:rPr>
                <w:rFonts w:ascii="宋体" w:hAnsi="宋体" w:cs="宋体" w:eastAsia="宋体" w:hint="default"/>
                <w:sz w:val="18"/>
                <w:szCs w:val="18"/>
              </w:rPr>
            </w:pPr>
            <w:r>
              <w:rPr>
                <w:rFonts w:ascii="宋体" w:hAnsi="宋体" w:cs="宋体" w:eastAsia="宋体" w:hint="default"/>
                <w:sz w:val="18"/>
                <w:szCs w:val="18"/>
              </w:rPr>
              <w:t>公司产品的研发、市场推广情况， 软件生态问题的改善情况。</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3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67"/>
              <w:jc w:val="righ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光大证券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5"/>
                <w:sz w:val="18"/>
                <w:szCs w:val="18"/>
              </w:rPr>
              <w:t>公司募集资金项目进展情况，未来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发展、市场空间情况，研发及人才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储备情况。</w:t>
            </w:r>
          </w:p>
        </w:tc>
      </w:tr>
      <w:tr>
        <w:trPr>
          <w:trHeight w:val="1028"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3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67"/>
              <w:jc w:val="righ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中信证券、银河证券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5"/>
                <w:sz w:val="18"/>
                <w:szCs w:val="18"/>
              </w:rPr>
              <w:t>公司的产品研发、销售、市场开拓</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情况，未来产品和市场的规划和考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虑，人才的储备情况。</w:t>
            </w:r>
          </w:p>
        </w:tc>
      </w:tr>
    </w:tbl>
    <w:p>
      <w:pPr>
        <w:spacing w:after="0" w:line="316" w:lineRule="auto"/>
        <w:jc w:val="both"/>
        <w:rPr>
          <w:rFonts w:ascii="宋体" w:hAnsi="宋体" w:cs="宋体" w:eastAsia="宋体" w:hint="default"/>
          <w:sz w:val="18"/>
          <w:szCs w:val="18"/>
        </w:rPr>
        <w:sectPr>
          <w:pgSz w:w="11910" w:h="16840"/>
          <w:pgMar w:header="877" w:footer="980" w:top="110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Heading1"/>
        <w:spacing w:line="240" w:lineRule="auto"/>
        <w:ind w:right="421"/>
        <w:jc w:val="center"/>
        <w:rPr>
          <w:b w:val="0"/>
          <w:bCs w:val="0"/>
        </w:rPr>
      </w:pPr>
      <w:bookmarkStart w:name="_TOC_250005"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二、上市公司发生控股股东及其关联方非经营性占用资金情况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会计师事务所对资金占用的专项审核意见</w:t>
      </w:r>
    </w:p>
    <w:p>
      <w:pPr>
        <w:pStyle w:val="BodyText"/>
        <w:spacing w:line="309" w:lineRule="auto" w:before="41"/>
        <w:ind w:right="152" w:firstLine="360"/>
        <w:jc w:val="both"/>
      </w:pPr>
      <w:r>
        <w:rPr>
          <w:spacing w:val="-2"/>
        </w:rPr>
        <w:t>编制和对外披露资金占用情况表并保证其真实性、合法性及完整性是贵公司的责任，我们对资金占用情况表所载资料与</w:t>
      </w:r>
      <w:r>
        <w:rPr/>
        <w:t> 我们审计贵公司</w:t>
      </w:r>
      <w:r>
        <w:rPr>
          <w:spacing w:val="-46"/>
        </w:rPr>
        <w:t> </w:t>
      </w:r>
      <w:r>
        <w:rPr>
          <w:rFonts w:ascii="Times New Roman" w:hAnsi="Times New Roman" w:cs="Times New Roman" w:eastAsia="Times New Roman" w:hint="default"/>
        </w:rPr>
        <w:t>2012 </w:t>
      </w:r>
      <w:r>
        <w:rPr/>
        <w:t>年度财务报表时所复核的会计资料和经审计的财务报表的相关内容进行了核对，在所有重大方面没有 发现不一致。</w:t>
      </w:r>
    </w:p>
    <w:p>
      <w:pPr>
        <w:spacing w:line="240" w:lineRule="auto" w:before="1"/>
        <w:rPr>
          <w:rFonts w:ascii="宋体" w:hAnsi="宋体" w:cs="宋体" w:eastAsia="宋体" w:hint="default"/>
          <w:sz w:val="21"/>
          <w:szCs w:val="21"/>
        </w:rPr>
      </w:pPr>
    </w:p>
    <w:p>
      <w:pPr>
        <w:pStyle w:val="Heading2"/>
        <w:spacing w:line="240" w:lineRule="auto"/>
        <w:ind w:right="0"/>
        <w:jc w:val="left"/>
        <w:rPr>
          <w:b w:val="0"/>
          <w:bCs w:val="0"/>
        </w:rPr>
      </w:pPr>
      <w:r>
        <w:rPr/>
        <w:t>三、破产重整相关事项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spacing w:line="506" w:lineRule="auto" w:before="0"/>
        <w:ind w:left="152" w:right="7853" w:firstLine="0"/>
        <w:jc w:val="left"/>
        <w:rPr>
          <w:rFonts w:ascii="宋体" w:hAnsi="宋体" w:cs="宋体" w:eastAsia="宋体" w:hint="default"/>
          <w:sz w:val="18"/>
          <w:szCs w:val="18"/>
        </w:rPr>
      </w:pPr>
      <w:r>
        <w:rPr>
          <w:rFonts w:ascii="宋体" w:hAnsi="宋体" w:cs="宋体" w:eastAsia="宋体" w:hint="default"/>
          <w:b/>
          <w:bCs/>
          <w:sz w:val="24"/>
          <w:szCs w:val="24"/>
        </w:rPr>
        <w:t>四、资产交易事项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、收购资产情况</w:t>
      </w:r>
      <w:r>
        <w:rPr>
          <w:rFonts w:ascii="宋体" w:hAnsi="宋体" w:cs="宋体" w:eastAsia="宋体" w:hint="default"/>
          <w:b/>
          <w:bCs/>
          <w:spacing w:val="-103"/>
          <w:sz w:val="21"/>
          <w:szCs w:val="21"/>
        </w:rPr>
        <w:t> </w:t>
      </w:r>
      <w:r>
        <w:rPr>
          <w:rFonts w:ascii="宋体" w:hAnsi="宋体" w:cs="宋体" w:eastAsia="宋体" w:hint="default"/>
          <w:sz w:val="18"/>
          <w:szCs w:val="18"/>
        </w:rPr>
        <w:t>无。</w:t>
      </w:r>
    </w:p>
    <w:p>
      <w:pPr>
        <w:pStyle w:val="Heading4"/>
        <w:spacing w:line="240" w:lineRule="auto" w:before="156"/>
        <w:ind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59" w:lineRule="auto" w:before="121"/>
        <w:ind w:right="0"/>
        <w:jc w:val="left"/>
        <w:rPr>
          <w:b w:val="0"/>
          <w:bCs w:val="0"/>
        </w:rPr>
      </w:pP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65"/>
        </w:rPr>
        <w:t> </w:t>
      </w:r>
      <w:r>
        <w:rPr>
          <w:spacing w:val="-65"/>
        </w:rPr>
      </w:r>
      <w:r>
        <w:rPr/>
        <w:t>影响</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五、公司股权激励的实施情况及其影响</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本年度公司未实施股权激励计划。</w:t>
      </w:r>
    </w:p>
    <w:p>
      <w:pPr>
        <w:spacing w:after="0" w:line="240" w:lineRule="auto"/>
        <w:jc w:val="left"/>
        <w:sectPr>
          <w:pgSz w:w="11910" w:h="16840"/>
          <w:pgMar w:header="877" w:footer="980" w:top="1100" w:bottom="1160" w:left="980" w:right="980"/>
        </w:sectPr>
      </w:pPr>
    </w:p>
    <w:p>
      <w:pPr>
        <w:spacing w:line="240" w:lineRule="auto" w:before="9"/>
        <w:rPr>
          <w:rFonts w:ascii="宋体" w:hAnsi="宋体" w:cs="宋体" w:eastAsia="宋体" w:hint="default"/>
          <w:sz w:val="19"/>
          <w:szCs w:val="19"/>
        </w:rPr>
      </w:pPr>
    </w:p>
    <w:p>
      <w:pPr>
        <w:spacing w:line="506" w:lineRule="auto" w:before="26"/>
        <w:ind w:left="152" w:right="6942" w:firstLine="0"/>
        <w:jc w:val="left"/>
        <w:rPr>
          <w:rFonts w:ascii="宋体" w:hAnsi="宋体" w:cs="宋体" w:eastAsia="宋体" w:hint="default"/>
          <w:sz w:val="18"/>
          <w:szCs w:val="18"/>
        </w:rPr>
      </w:pPr>
      <w:r>
        <w:rPr>
          <w:rFonts w:ascii="宋体" w:hAnsi="宋体" w:cs="宋体" w:eastAsia="宋体" w:hint="default"/>
          <w:b/>
          <w:bCs/>
          <w:sz w:val="24"/>
          <w:szCs w:val="24"/>
        </w:rPr>
        <w:t>六、重大关联交易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、与日常经营相关的关联交易</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pStyle w:val="Heading4"/>
        <w:spacing w:line="240" w:lineRule="auto" w:before="156"/>
        <w:ind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是否存在非经营性关联债权债务往来</w:t>
      </w:r>
    </w:p>
    <w:p>
      <w:pPr>
        <w:spacing w:line="547" w:lineRule="auto" w:before="115"/>
        <w:ind w:left="152" w:right="77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b/>
          <w:bCs/>
          <w:w w:val="100"/>
          <w:sz w:val="21"/>
          <w:szCs w:val="21"/>
        </w:rPr>
        <w:t> </w:t>
      </w:r>
      <w:r>
        <w:rPr>
          <w:rFonts w:ascii="宋体" w:hAnsi="宋体" w:cs="宋体" w:eastAsia="宋体" w:hint="default"/>
          <w:sz w:val="18"/>
          <w:szCs w:val="18"/>
        </w:rPr>
        <w:t>无。</w:t>
      </w:r>
    </w:p>
    <w:p>
      <w:pPr>
        <w:pStyle w:val="Heading2"/>
        <w:spacing w:line="240" w:lineRule="auto" w:before="100"/>
        <w:ind w:right="0"/>
        <w:jc w:val="left"/>
        <w:rPr>
          <w:b w:val="0"/>
          <w:bCs w:val="0"/>
        </w:rPr>
      </w:pPr>
      <w:r>
        <w:rPr/>
        <w:t>七、重大合同及其履行情况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、为公司带来的利润达到公司本期利润总额</w:t>
      </w:r>
      <w:r>
        <w:rPr>
          <w:spacing w:val="-54"/>
        </w:rPr>
        <w:t> </w:t>
      </w:r>
      <w:r>
        <w:rPr>
          <w:rFonts w:ascii="Times New Roman" w:hAnsi="Times New Roman" w:cs="Times New Roman" w:eastAsia="Times New Roman" w:hint="default"/>
        </w:rPr>
        <w:t>10</w:t>
      </w:r>
      <w:r>
        <w:rPr/>
        <w:t>％以上（含</w:t>
      </w:r>
      <w:r>
        <w:rPr>
          <w:spacing w:val="-54"/>
        </w:rPr>
        <w:t> </w:t>
      </w:r>
      <w:r>
        <w:rPr>
          <w:rFonts w:ascii="Times New Roman" w:hAnsi="Times New Roman" w:cs="Times New Roman" w:eastAsia="Times New Roman" w:hint="default"/>
        </w:rPr>
        <w:t>10</w:t>
      </w:r>
      <w:r>
        <w:rPr/>
        <w:t>％）的托管、承包、租赁事项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5078"/>
        <w:jc w:val="left"/>
      </w:pPr>
      <w:r>
        <w:rPr/>
        <w:t>托管情况说明：无。 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5078"/>
        <w:jc w:val="left"/>
      </w:pPr>
      <w:r>
        <w:rPr/>
        <w:t>承包情况说明：无。 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5078"/>
        <w:jc w:val="left"/>
      </w:pPr>
      <w:r>
        <w:rPr/>
        <w:t>租赁情况说明：无。 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4"/>
        <w:spacing w:line="240" w:lineRule="auto" w:before="36"/>
        <w:ind w:right="194"/>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94"/>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194"/>
        <w:jc w:val="left"/>
        <w:rPr>
          <w:b w:val="0"/>
          <w:bCs w:val="0"/>
        </w:rPr>
      </w:pPr>
      <w:r>
        <w:rPr>
          <w:rFonts w:ascii="Times New Roman" w:hAnsi="Times New Roman" w:cs="Times New Roman" w:eastAsia="Times New Roman" w:hint="default"/>
        </w:rPr>
        <w:t>3</w:t>
      </w:r>
      <w:r>
        <w:rPr/>
        <w:t>、报告期内或报告期继续发生的委托理财情况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94"/>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94"/>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194"/>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94"/>
        <w:jc w:val="left"/>
      </w:pPr>
      <w:r>
        <w:rPr/>
        <w:t>报告期末衍生品投资的持仓情况</w:t>
      </w:r>
    </w:p>
    <w:p>
      <w:pPr>
        <w:pStyle w:val="BodyText"/>
        <w:spacing w:line="240" w:lineRule="auto" w:before="118"/>
        <w:ind w:right="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94"/>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94"/>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94"/>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94"/>
        <w:jc w:val="left"/>
      </w:pPr>
      <w:r>
        <w:rPr/>
        <w:t>无。</w:t>
      </w:r>
    </w:p>
    <w:p>
      <w:pPr>
        <w:spacing w:line="240" w:lineRule="auto" w:before="3"/>
        <w:rPr>
          <w:rFonts w:ascii="宋体" w:hAnsi="宋体" w:cs="宋体" w:eastAsia="宋体" w:hint="default"/>
          <w:sz w:val="25"/>
          <w:szCs w:val="25"/>
        </w:rPr>
      </w:pPr>
    </w:p>
    <w:p>
      <w:pPr>
        <w:pStyle w:val="Heading2"/>
        <w:spacing w:line="240" w:lineRule="auto"/>
        <w:ind w:right="194"/>
        <w:jc w:val="left"/>
        <w:rPr>
          <w:b w:val="0"/>
          <w:bCs w:val="0"/>
        </w:rPr>
      </w:pPr>
      <w:r>
        <w:rPr/>
        <w:t>八、承诺事项履行情况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94"/>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p>
      <w:pPr>
        <w:spacing w:line="1385" w:lineRule="exact"/>
        <w:ind w:left="7248" w:right="0" w:firstLine="0"/>
        <w:rPr>
          <w:rFonts w:ascii="宋体" w:hAnsi="宋体" w:cs="宋体" w:eastAsia="宋体" w:hint="default"/>
          <w:sz w:val="20"/>
          <w:szCs w:val="20"/>
        </w:rPr>
      </w:pPr>
      <w:r>
        <w:rPr>
          <w:rFonts w:ascii="宋体" w:hAnsi="宋体" w:cs="宋体" w:eastAsia="宋体" w:hint="default"/>
          <w:position w:val="-27"/>
          <w:sz w:val="20"/>
          <w:szCs w:val="20"/>
        </w:rPr>
        <w:pict>
          <v:group style="width:42.05pt;height:69.3pt;mso-position-horizontal-relative:char;mso-position-vertical-relative:line" coordorigin="0,0" coordsize="841,1386">
            <v:group style="position:absolute;left:0;top:0;width:841;height:1386" coordorigin="0,0" coordsize="841,1386">
              <v:shape style="position:absolute;left:0;top:0;width:841;height:1386" coordorigin="0,0" coordsize="841,1386" path="m0,1385l840,1385,840,0,0,0,0,1385xe" filled="true" fillcolor="#ffffff" stroked="false">
                <v:path arrowok="t"/>
                <v:fill type="solid"/>
              </v:shape>
            </v:group>
          </v:group>
        </w:pict>
      </w:r>
      <w:r>
        <w:rPr>
          <w:rFonts w:ascii="宋体" w:hAnsi="宋体" w:cs="宋体" w:eastAsia="宋体" w:hint="default"/>
          <w:position w:val="-27"/>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1"/>
          <w:szCs w:val="21"/>
        </w:rPr>
      </w:pPr>
    </w:p>
    <w:p>
      <w:pPr>
        <w:pStyle w:val="BodyText"/>
        <w:spacing w:line="240" w:lineRule="auto" w:before="44"/>
        <w:ind w:left="0" w:right="108"/>
        <w:jc w:val="right"/>
      </w:pPr>
      <w:r>
        <w:rPr/>
        <w:pict>
          <v:shape style="position:absolute;margin-left:206.929993pt;margin-top:-109.47229pt;width:246.55pt;height:69.3pt;mso-position-horizontal-relative:page;mso-position-vertical-relative:paragraph;z-index:-649744" type="#_x0000_t202" filled="false" stroked="false">
            <v:textbox inset="0,0,0,0">
              <w:txbxContent>
                <w:p>
                  <w:pPr>
                    <w:pStyle w:val="BodyText"/>
                    <w:spacing w:line="636" w:lineRule="auto" w:before="49"/>
                    <w:ind w:left="0" w:right="780" w:firstLine="3967"/>
                    <w:jc w:val="left"/>
                  </w:pPr>
                  <w:r>
                    <w:rPr/>
                    <w:t>、 业，下同）未经营与公司现从事的集成电路的设计、</w:t>
                  </w:r>
                </w:p>
              </w:txbxContent>
            </v:textbox>
            <w10:wrap type="none"/>
          </v:shape>
        </w:pict>
      </w:r>
      <w:r>
        <w:rPr/>
        <w:pict>
          <v:shape style="position:absolute;margin-left:56.400002pt;margin-top:-205.958282pt;width:482.65pt;height:270.650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1275"/>
                    <w:gridCol w:w="4112"/>
                    <w:gridCol w:w="853"/>
                    <w:gridCol w:w="850"/>
                    <w:gridCol w:w="847"/>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承诺人</w:t>
                        </w:r>
                      </w:p>
                    </w:tc>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5"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275"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资产置换时所作承诺</w:t>
                        </w:r>
                      </w:p>
                    </w:tc>
                    <w:tc>
                      <w:tcPr>
                        <w:tcW w:w="1275"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34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16" w:lineRule="auto"/>
                          <w:ind w:left="23" w:right="22"/>
                          <w:jc w:val="both"/>
                          <w:rPr>
                            <w:rFonts w:ascii="宋体" w:hAnsi="宋体" w:cs="宋体" w:eastAsia="宋体" w:hint="default"/>
                            <w:sz w:val="18"/>
                            <w:szCs w:val="18"/>
                          </w:rPr>
                        </w:pPr>
                        <w:r>
                          <w:rPr>
                            <w:rFonts w:ascii="宋体" w:hAnsi="宋体" w:cs="宋体" w:eastAsia="宋体" w:hint="default"/>
                            <w:spacing w:val="-7"/>
                            <w:sz w:val="18"/>
                            <w:szCs w:val="18"/>
                          </w:rPr>
                          <w:t>刘强、李杰、张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紧、冼永辉、盈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富泰克</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both"/>
                          <w:rPr>
                            <w:rFonts w:ascii="宋体" w:hAnsi="宋体" w:cs="宋体" w:eastAsia="宋体" w:hint="default"/>
                            <w:sz w:val="18"/>
                            <w:szCs w:val="18"/>
                          </w:rPr>
                        </w:pPr>
                        <w:r>
                          <w:rPr>
                            <w:rFonts w:ascii="宋体" w:hAnsi="宋体" w:cs="宋体" w:eastAsia="宋体" w:hint="default"/>
                            <w:spacing w:val="-4"/>
                            <w:sz w:val="18"/>
                            <w:szCs w:val="18"/>
                          </w:rPr>
                          <w:t>一、公司控股股东暨实际控制人刘强、李杰承诺：</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pacing w:val="-38"/>
                            <w:sz w:val="18"/>
                            <w:szCs w:val="18"/>
                          </w:rPr>
                          <w:t> </w:t>
                        </w:r>
                        <w:r>
                          <w:rPr>
                            <w:rFonts w:ascii="宋体" w:hAnsi="宋体" w:cs="宋体" w:eastAsia="宋体" w:hint="default"/>
                            <w:spacing w:val="-4"/>
                            <w:sz w:val="18"/>
                            <w:szCs w:val="18"/>
                          </w:rPr>
                          <w:t>其本人（包括其控制的全资、控股企业或其他关联企</w:t>
                        </w:r>
                      </w:p>
                      <w:p>
                        <w:pPr>
                          <w:pStyle w:val="TableParagraph"/>
                          <w:spacing w:line="240" w:lineRule="auto" w:before="4"/>
                          <w:ind w:right="0"/>
                          <w:jc w:val="left"/>
                          <w:rPr>
                            <w:rFonts w:ascii="宋体" w:hAnsi="宋体" w:cs="宋体" w:eastAsia="宋体" w:hint="default"/>
                            <w:sz w:val="26"/>
                            <w:szCs w:val="26"/>
                          </w:rPr>
                        </w:pPr>
                      </w:p>
                      <w:p>
                        <w:pPr>
                          <w:pStyle w:val="TableParagraph"/>
                          <w:spacing w:line="312" w:lineRule="auto"/>
                          <w:ind w:left="23" w:right="17"/>
                          <w:jc w:val="both"/>
                          <w:rPr>
                            <w:rFonts w:ascii="宋体" w:hAnsi="宋体" w:cs="宋体" w:eastAsia="宋体" w:hint="default"/>
                            <w:sz w:val="18"/>
                            <w:szCs w:val="18"/>
                          </w:rPr>
                        </w:pPr>
                        <w:r>
                          <w:rPr>
                            <w:rFonts w:ascii="宋体" w:hAnsi="宋体" w:cs="宋体" w:eastAsia="宋体" w:hint="default"/>
                            <w:spacing w:val="-4"/>
                            <w:sz w:val="18"/>
                            <w:szCs w:val="18"/>
                          </w:rPr>
                          <w:t>开发及产业化业务相同或类似的业务，与公司不构成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同业竞争。而且在公司依法存续期间，承诺不经营前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述业务，以避免与公司构成同业竞争。</w:t>
                        </w:r>
                        <w:r>
                          <w:rPr>
                            <w:rFonts w:ascii="Times New Roman" w:hAnsi="Times New Roman" w:cs="Times New Roman" w:eastAsia="Times New Roman" w:hint="default"/>
                            <w:sz w:val="18"/>
                            <w:szCs w:val="18"/>
                          </w:rPr>
                          <w:t>2</w:t>
                        </w:r>
                        <w:r>
                          <w:rPr>
                            <w:rFonts w:ascii="宋体" w:hAnsi="宋体" w:cs="宋体" w:eastAsia="宋体" w:hint="default"/>
                            <w:sz w:val="18"/>
                            <w:szCs w:val="18"/>
                          </w:rPr>
                          <w:t>、若因承诺 </w:t>
                        </w:r>
                        <w:r>
                          <w:rPr>
                            <w:rFonts w:ascii="宋体" w:hAnsi="宋体" w:cs="宋体" w:eastAsia="宋体" w:hint="default"/>
                            <w:spacing w:val="-4"/>
                            <w:sz w:val="18"/>
                            <w:szCs w:val="18"/>
                          </w:rPr>
                          <w:t>人或公司的业务发展，而导致其经营的业务与公司的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业务发生重合而可能构成竞争，其同意由公司在同等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条件下优先收购该等业务所涉资产或股权，和</w:t>
                        </w:r>
                        <w:r>
                          <w:rPr>
                            <w:rFonts w:ascii="Times New Roman" w:hAnsi="Times New Roman" w:cs="Times New Roman" w:eastAsia="Times New Roman" w:hint="default"/>
                            <w:sz w:val="18"/>
                            <w:szCs w:val="18"/>
                          </w:rPr>
                          <w:t>/</w:t>
                        </w:r>
                        <w:r>
                          <w:rPr>
                            <w:rFonts w:ascii="宋体" w:hAnsi="宋体" w:cs="宋体" w:eastAsia="宋体" w:hint="default"/>
                            <w:sz w:val="18"/>
                            <w:szCs w:val="18"/>
                          </w:rPr>
                          <w:t>或通 </w:t>
                        </w:r>
                        <w:r>
                          <w:rPr>
                            <w:rFonts w:ascii="宋体" w:hAnsi="宋体" w:cs="宋体" w:eastAsia="宋体" w:hint="default"/>
                            <w:spacing w:val="-4"/>
                            <w:sz w:val="18"/>
                            <w:szCs w:val="18"/>
                          </w:rPr>
                          <w:t>过合法途径促使其所控制的全资、控股企业或其他关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联企业向公司转让该等资产或控股权，和</w:t>
                        </w:r>
                        <w:r>
                          <w:rPr>
                            <w:rFonts w:ascii="Times New Roman" w:hAnsi="Times New Roman" w:cs="Times New Roman" w:eastAsia="Times New Roman" w:hint="default"/>
                            <w:sz w:val="18"/>
                            <w:szCs w:val="18"/>
                          </w:rPr>
                          <w:t>/</w:t>
                        </w:r>
                        <w:r>
                          <w:rPr>
                            <w:rFonts w:ascii="宋体" w:hAnsi="宋体" w:cs="宋体" w:eastAsia="宋体" w:hint="default"/>
                            <w:sz w:val="18"/>
                            <w:szCs w:val="18"/>
                          </w:rPr>
                          <w:t>或通过其</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一、公司 控股股东 暨实际控 制人刘 强、李杰 关于同业 竞争的承 诺：此承 诺期限为 长期有 效；二、</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报告期 内，上述 股东均遵 守了所做 的承诺， 其中实际 控制人刘 </w:t>
                        </w:r>
                        <w:r>
                          <w:rPr>
                            <w:rFonts w:ascii="宋体" w:hAnsi="宋体" w:cs="宋体" w:eastAsia="宋体" w:hint="default"/>
                            <w:spacing w:val="-5"/>
                            <w:sz w:val="18"/>
                            <w:szCs w:val="18"/>
                          </w:rPr>
                          <w:t>强、李杰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张紧、冼 永辉均已 缴纳了公</w:t>
                        </w:r>
                      </w:p>
                    </w:tc>
                  </w:tr>
                </w:tbl>
                <w:p>
                  <w:pPr/>
                </w:p>
              </w:txbxContent>
            </v:textbox>
            <w10:wrap type="none"/>
          </v:shape>
        </w:pict>
      </w:r>
      <w:r>
        <w:rPr/>
        <w:t>、</w:t>
      </w:r>
    </w:p>
    <w:p>
      <w:pPr>
        <w:spacing w:after="0" w:line="240" w:lineRule="auto"/>
        <w:jc w:val="right"/>
        <w:sectPr>
          <w:pgSz w:w="11910" w:h="16840"/>
          <w:pgMar w:header="877" w:footer="980" w:top="1100" w:bottom="1160" w:left="980" w:right="960"/>
        </w:sectPr>
      </w:pPr>
    </w:p>
    <w:p>
      <w:pPr>
        <w:spacing w:line="240" w:lineRule="auto" w:before="11"/>
        <w:rPr>
          <w:rFonts w:ascii="Times New Roman" w:hAnsi="Times New Roman" w:cs="Times New Roman" w:eastAsia="Times New Roman" w:hint="default"/>
          <w:sz w:val="27"/>
          <w:szCs w:val="27"/>
        </w:rPr>
      </w:pPr>
      <w:r>
        <w:rPr/>
        <w:pict>
          <v:shape style="position:absolute;margin-left:206.929993pt;margin-top:72.47998pt;width:246.55pt;height:647.75pt;mso-position-horizontal-relative:page;mso-position-vertical-relative:page;z-index:-6496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2"/>
                    <w:ind w:left="0" w:right="781"/>
                    <w:jc w:val="right"/>
                  </w:pPr>
                  <w:r>
                    <w:rPr/>
                    <w:t>公司控股股东暨实际控制人刘强、</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pStyle w:val="BodyText"/>
                    <w:spacing w:line="240" w:lineRule="auto"/>
                    <w:ind w:left="0" w:right="788"/>
                    <w:jc w:val="right"/>
                  </w:pPr>
                  <w:r>
                    <w:rPr/>
                    <w:t>司回购该部分股份。盈富泰克、张紧、冼永辉承诺：</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ind w:left="0" w:right="781"/>
                    <w:jc w:val="right"/>
                  </w:pPr>
                  <w:r>
                    <w:rPr/>
                    <w:t>张紧、</w:t>
                  </w:r>
                </w:p>
              </w:txbxContent>
            </v:textbox>
            <w10:wrap type="none"/>
          </v:shape>
        </w:pict>
      </w:r>
      <w:r>
        <w:rPr/>
        <w:pict>
          <v:shape style="position:absolute;margin-left:481.303009pt;margin-top:183.749985pt;width:57pt;height:536.5pt;mso-position-horizontal-relative:page;mso-position-vertical-relative:page;z-index:-6496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5"/>
                      <w:szCs w:val="15"/>
                    </w:rPr>
                  </w:pPr>
                </w:p>
                <w:p>
                  <w:pPr>
                    <w:pStyle w:val="BodyText"/>
                    <w:spacing w:line="240" w:lineRule="auto"/>
                    <w:ind w:left="0" w:right="0" w:firstLine="182"/>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6"/>
                      <w:szCs w:val="26"/>
                    </w:rPr>
                  </w:pPr>
                </w:p>
                <w:p>
                  <w:pPr>
                    <w:pStyle w:val="BodyText"/>
                    <w:spacing w:line="240" w:lineRule="auto"/>
                    <w:ind w:left="0" w:right="0"/>
                    <w:jc w:val="left"/>
                  </w:pPr>
                  <w:r>
                    <w:rPr/>
                    <w:t>四、</w:t>
                  </w:r>
                </w:p>
              </w:txbxContent>
            </v:textbox>
            <w10:wrap type="none"/>
          </v:shape>
        </w:pict>
      </w:r>
      <w:r>
        <w:rPr/>
        <w:pict>
          <v:group style="position:absolute;margin-left:496.420013pt;margin-top:183.749985pt;width:41.9pt;height:536.5pt;mso-position-horizontal-relative:page;mso-position-vertical-relative:page;z-index:-649624" coordorigin="9928,3675" coordsize="838,10730">
            <v:shape style="position:absolute;left:9928;top:3675;width:838;height:10730" coordorigin="9928,3675" coordsize="838,10730" path="m9928,14404l10766,14404,10766,3675,9928,3675,9928,14404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702"/>
        <w:gridCol w:w="1275"/>
        <w:gridCol w:w="4112"/>
        <w:gridCol w:w="853"/>
        <w:gridCol w:w="850"/>
        <w:gridCol w:w="847"/>
      </w:tblGrid>
      <w:tr>
        <w:trPr>
          <w:trHeight w:val="315" w:hRule="exact"/>
        </w:trPr>
        <w:tc>
          <w:tcPr>
            <w:tcW w:w="1702" w:type="dxa"/>
            <w:vMerge w:val="restart"/>
            <w:tcBorders>
              <w:top w:val="single" w:sz="4" w:space="0" w:color="000000"/>
              <w:left w:val="single" w:sz="4" w:space="0" w:color="000000"/>
              <w:right w:val="single" w:sz="4" w:space="0" w:color="000000"/>
            </w:tcBorders>
          </w:tcPr>
          <w:p>
            <w:pPr/>
          </w:p>
        </w:tc>
        <w:tc>
          <w:tcPr>
            <w:tcW w:w="1275" w:type="dxa"/>
            <w:vMerge w:val="restart"/>
            <w:tcBorders>
              <w:top w:val="single" w:sz="4" w:space="0" w:color="000000"/>
              <w:left w:val="single" w:sz="4" w:space="0" w:color="000000"/>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他公平</w:t>
            </w:r>
            <w:r>
              <w:rPr>
                <w:rFonts w:ascii="宋体" w:hAnsi="宋体" w:cs="宋体" w:eastAsia="宋体" w:hint="default"/>
                <w:spacing w:val="-85"/>
                <w:sz w:val="18"/>
                <w:szCs w:val="18"/>
              </w:rPr>
              <w:t>、</w:t>
            </w:r>
            <w:r>
              <w:rPr>
                <w:rFonts w:ascii="宋体" w:hAnsi="宋体" w:cs="宋体" w:eastAsia="宋体" w:hint="default"/>
                <w:sz w:val="18"/>
                <w:szCs w:val="18"/>
              </w:rPr>
              <w:t>合理的途径对其经营的业务进行调整以避免</w:t>
            </w:r>
          </w:p>
        </w:tc>
        <w:tc>
          <w:tcPr>
            <w:tcW w:w="853" w:type="dxa"/>
            <w:vMerge w:val="restart"/>
            <w:tcBorders>
              <w:top w:val="single" w:sz="4" w:space="0" w:color="000000"/>
              <w:left w:val="single" w:sz="4" w:space="0" w:color="000000"/>
              <w:right w:val="single" w:sz="4" w:space="0" w:color="000000"/>
            </w:tcBorders>
          </w:tcPr>
          <w:p>
            <w:pPr>
              <w:pStyle w:val="TableParagraph"/>
              <w:spacing w:line="12954"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8"/>
                <w:sz w:val="20"/>
                <w:szCs w:val="20"/>
              </w:rPr>
              <w:pict>
                <v:group style="width:42.05pt;height:647.75pt;mso-position-horizontal-relative:char;mso-position-vertical-relative:line" coordorigin="0,0" coordsize="841,12955">
                  <v:group style="position:absolute;left:0;top:0;width:841;height:12955" coordorigin="0,0" coordsize="841,12955">
                    <v:shape style="position:absolute;left:0;top:0;width:841;height:12955" coordorigin="0,0" coordsize="841,12955" path="m0,12955l840,12955,840,0,0,0,0,12955xe" filled="true" fillcolor="#ffffff" stroked="false">
                      <v:path arrowok="t"/>
                      <v:fill type="solid"/>
                    </v:shape>
                  </v:group>
                </v:group>
              </w:pict>
            </w:r>
            <w:r>
              <w:rPr>
                <w:rFonts w:ascii="Times New Roman" w:hAnsi="Times New Roman" w:cs="Times New Roman" w:eastAsia="Times New Roman" w:hint="default"/>
                <w:position w:val="-258"/>
                <w:sz w:val="20"/>
                <w:szCs w:val="20"/>
              </w:rPr>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个人所得</w:t>
            </w:r>
          </w:p>
        </w:tc>
        <w:tc>
          <w:tcPr>
            <w:tcW w:w="8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司整体变</w:t>
            </w:r>
          </w:p>
        </w:tc>
      </w:tr>
      <w:tr>
        <w:trPr>
          <w:trHeight w:val="317"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与公司的业务构成同业竞争。</w:t>
            </w:r>
            <w:r>
              <w:rPr>
                <w:rFonts w:ascii="Times New Roman" w:hAnsi="Times New Roman" w:cs="Times New Roman" w:eastAsia="Times New Roman" w:hint="default"/>
                <w:sz w:val="18"/>
                <w:szCs w:val="18"/>
              </w:rPr>
              <w:t>3</w:t>
            </w:r>
            <w:r>
              <w:rPr>
                <w:rFonts w:ascii="宋体" w:hAnsi="宋体" w:cs="宋体" w:eastAsia="宋体" w:hint="default"/>
                <w:sz w:val="18"/>
                <w:szCs w:val="18"/>
              </w:rPr>
              <w:t>、如因其未履行本承</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税承诺：</w:t>
            </w:r>
          </w:p>
        </w:tc>
        <w:tc>
          <w:tcPr>
            <w:tcW w:w="84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更为股份</w:t>
            </w:r>
          </w:p>
        </w:tc>
      </w:tr>
      <w:tr>
        <w:trPr>
          <w:trHeight w:val="307"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诺而给公司造成损失的</w:t>
            </w:r>
            <w:r>
              <w:rPr>
                <w:rFonts w:ascii="宋体" w:hAnsi="宋体" w:cs="宋体" w:eastAsia="宋体" w:hint="default"/>
                <w:spacing w:val="-85"/>
                <w:sz w:val="18"/>
                <w:szCs w:val="18"/>
              </w:rPr>
              <w:t>，</w:t>
            </w:r>
            <w:r>
              <w:rPr>
                <w:rFonts w:ascii="宋体" w:hAnsi="宋体" w:cs="宋体" w:eastAsia="宋体" w:hint="default"/>
                <w:sz w:val="18"/>
                <w:szCs w:val="18"/>
              </w:rPr>
              <w:t>其对因此给公司造成的损失</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公司实际</w:t>
            </w:r>
          </w:p>
        </w:tc>
        <w:tc>
          <w:tcPr>
            <w:tcW w:w="84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r>
      <w:tr>
        <w:trPr>
          <w:trHeight w:val="312"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予以赔偿。</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控制人刘</w:t>
            </w:r>
          </w:p>
        </w:tc>
        <w:tc>
          <w:tcPr>
            <w:tcW w:w="84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过程中其</w:t>
            </w:r>
          </w:p>
        </w:tc>
      </w:tr>
      <w:tr>
        <w:trPr>
          <w:trHeight w:val="332"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4"/>
                <w:sz w:val="18"/>
                <w:szCs w:val="18"/>
              </w:rPr>
              <w:t>二、个人所得税承诺：公司实际控制人刘强、李杰承</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强、李杰</w:t>
            </w:r>
          </w:p>
        </w:tc>
        <w:tc>
          <w:tcPr>
            <w:tcW w:w="84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应缴纳的</w:t>
            </w:r>
          </w:p>
        </w:tc>
      </w:tr>
      <w:tr>
        <w:trPr>
          <w:trHeight w:val="312"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诺</w:t>
            </w:r>
            <w:r>
              <w:rPr>
                <w:rFonts w:ascii="宋体" w:hAnsi="宋体" w:cs="宋体" w:eastAsia="宋体" w:hint="default"/>
                <w:spacing w:val="-85"/>
                <w:sz w:val="18"/>
                <w:szCs w:val="18"/>
              </w:rPr>
              <w:t>：</w:t>
            </w:r>
            <w:r>
              <w:rPr>
                <w:rFonts w:ascii="宋体" w:hAnsi="宋体" w:cs="宋体" w:eastAsia="宋体" w:hint="default"/>
                <w:sz w:val="18"/>
                <w:szCs w:val="18"/>
              </w:rPr>
              <w:t>将于公司上市之日起十二个月内缴纳公司整体变</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47"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个人所得</w:t>
            </w:r>
          </w:p>
        </w:tc>
      </w:tr>
      <w:tr>
        <w:trPr>
          <w:trHeight w:val="312"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更为股份有限公司过程中其应缴纳的个人所得税</w:t>
            </w:r>
            <w:r>
              <w:rPr>
                <w:rFonts w:ascii="宋体" w:hAnsi="宋体" w:cs="宋体" w:eastAsia="宋体" w:hint="default"/>
                <w:spacing w:val="-85"/>
                <w:sz w:val="18"/>
                <w:szCs w:val="18"/>
              </w:rPr>
              <w:t>、</w:t>
            </w:r>
            <w:r>
              <w:rPr>
                <w:rFonts w:ascii="宋体" w:hAnsi="宋体" w:cs="宋体" w:eastAsia="宋体" w:hint="default"/>
                <w:sz w:val="18"/>
                <w:szCs w:val="18"/>
              </w:rPr>
              <w:t>滞</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23"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847"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税款项。</w:t>
            </w:r>
          </w:p>
        </w:tc>
      </w:tr>
      <w:tr>
        <w:trPr>
          <w:trHeight w:val="312"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纳金等款项</w:t>
            </w:r>
            <w:r>
              <w:rPr>
                <w:rFonts w:ascii="宋体" w:hAnsi="宋体" w:cs="宋体" w:eastAsia="宋体" w:hint="default"/>
                <w:spacing w:val="-85"/>
                <w:sz w:val="18"/>
                <w:szCs w:val="18"/>
              </w:rPr>
              <w:t>；</w:t>
            </w:r>
            <w:r>
              <w:rPr>
                <w:rFonts w:ascii="宋体" w:hAnsi="宋体" w:cs="宋体" w:eastAsia="宋体" w:hint="default"/>
                <w:sz w:val="18"/>
                <w:szCs w:val="18"/>
              </w:rPr>
              <w:t>如果公司因上述事宜被追究责任或被税</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8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pacing w:val="-4"/>
                <w:sz w:val="18"/>
                <w:szCs w:val="18"/>
              </w:rPr>
              <w:t>务机关进行处罚而产生任何支出、费用或损失，其将</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8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立即向公司进行全额补偿</w:t>
            </w:r>
            <w:r>
              <w:rPr>
                <w:rFonts w:ascii="宋体" w:hAnsi="宋体" w:cs="宋体" w:eastAsia="宋体" w:hint="default"/>
                <w:spacing w:val="-85"/>
                <w:sz w:val="18"/>
                <w:szCs w:val="18"/>
              </w:rPr>
              <w:t>，</w:t>
            </w:r>
            <w:r>
              <w:rPr>
                <w:rFonts w:ascii="宋体" w:hAnsi="宋体" w:cs="宋体" w:eastAsia="宋体" w:hint="default"/>
                <w:sz w:val="18"/>
                <w:szCs w:val="18"/>
              </w:rPr>
              <w:t>保证公司不因此遭受任何</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tc>
        <w:tc>
          <w:tcPr>
            <w:tcW w:w="8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pacing w:val="-4"/>
                <w:sz w:val="18"/>
                <w:szCs w:val="18"/>
              </w:rPr>
              <w:t>损失。公司自然人股东张紧、冼永辉承诺：将于公司</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其已履行</w:t>
            </w:r>
          </w:p>
        </w:tc>
        <w:tc>
          <w:tcPr>
            <w:tcW w:w="8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上市之日起两年内缴纳公司整体变更为股份有限公</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了承诺；</w:t>
            </w:r>
          </w:p>
        </w:tc>
        <w:tc>
          <w:tcPr>
            <w:tcW w:w="8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pacing w:val="-4"/>
                <w:sz w:val="18"/>
                <w:szCs w:val="18"/>
              </w:rPr>
              <w:t>司过程中其应缴纳的个人所得税、滞纳金等款项；如</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公司自然</w:t>
            </w:r>
          </w:p>
        </w:tc>
        <w:tc>
          <w:tcPr>
            <w:tcW w:w="8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果公司因上述事宜被追究责任或被税务机关进行处</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人股东张</w:t>
            </w:r>
          </w:p>
        </w:tc>
        <w:tc>
          <w:tcPr>
            <w:tcW w:w="8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pacing w:val="-4"/>
                <w:sz w:val="18"/>
                <w:szCs w:val="18"/>
              </w:rPr>
              <w:t>罚而产生任何支出、费用或损失，其将立即向公司进</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紧、冼永</w:t>
            </w:r>
          </w:p>
        </w:tc>
        <w:tc>
          <w:tcPr>
            <w:tcW w:w="8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行全额补偿，保证公司不因此遭受任何损失。</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辉承诺期</w:t>
            </w:r>
          </w:p>
        </w:tc>
        <w:tc>
          <w:tcPr>
            <w:tcW w:w="847" w:type="dxa"/>
            <w:tcBorders>
              <w:top w:val="nil" w:sz="6" w:space="0" w:color="auto"/>
              <w:left w:val="single" w:sz="4" w:space="0" w:color="000000"/>
              <w:bottom w:val="nil" w:sz="6" w:space="0" w:color="auto"/>
              <w:right w:val="single" w:sz="4" w:space="0" w:color="000000"/>
            </w:tcBorders>
          </w:tcPr>
          <w:p>
            <w:pPr/>
          </w:p>
        </w:tc>
      </w:tr>
      <w:tr>
        <w:trPr>
          <w:trHeight w:val="331"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left="23"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股份锁定承诺：</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2011</w:t>
            </w:r>
          </w:p>
        </w:tc>
        <w:tc>
          <w:tcPr>
            <w:tcW w:w="8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李杰承诺</w:t>
            </w:r>
            <w:r>
              <w:rPr>
                <w:rFonts w:ascii="宋体" w:hAnsi="宋体" w:cs="宋体" w:eastAsia="宋体" w:hint="default"/>
                <w:spacing w:val="-85"/>
                <w:sz w:val="18"/>
                <w:szCs w:val="18"/>
              </w:rPr>
              <w:t>：</w:t>
            </w:r>
            <w:r>
              <w:rPr>
                <w:rFonts w:ascii="宋体" w:hAnsi="宋体" w:cs="宋体" w:eastAsia="宋体" w:hint="default"/>
                <w:sz w:val="18"/>
                <w:szCs w:val="18"/>
              </w:rPr>
              <w:t>自公司发行的股票在深圳证券交易所上市</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8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之日起三十六个月内</w:t>
            </w:r>
            <w:r>
              <w:rPr>
                <w:rFonts w:ascii="宋体" w:hAnsi="宋体" w:cs="宋体" w:eastAsia="宋体" w:hint="default"/>
                <w:spacing w:val="-85"/>
                <w:sz w:val="18"/>
                <w:szCs w:val="18"/>
              </w:rPr>
              <w:t>，</w:t>
            </w:r>
            <w:r>
              <w:rPr>
                <w:rFonts w:ascii="宋体" w:hAnsi="宋体" w:cs="宋体" w:eastAsia="宋体" w:hint="default"/>
                <w:sz w:val="18"/>
                <w:szCs w:val="18"/>
              </w:rPr>
              <w:t>不转让或者委托他人管理其已</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p>
        </w:tc>
        <w:tc>
          <w:tcPr>
            <w:tcW w:w="8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持有的公司公开发行股票前已发行的股份</w:t>
            </w:r>
            <w:r>
              <w:rPr>
                <w:rFonts w:ascii="宋体" w:hAnsi="宋体" w:cs="宋体" w:eastAsia="宋体" w:hint="default"/>
                <w:spacing w:val="-85"/>
                <w:sz w:val="18"/>
                <w:szCs w:val="18"/>
              </w:rPr>
              <w:t>，</w:t>
            </w:r>
            <w:r>
              <w:rPr>
                <w:rFonts w:ascii="宋体" w:hAnsi="宋体" w:cs="宋体" w:eastAsia="宋体" w:hint="default"/>
                <w:sz w:val="18"/>
                <w:szCs w:val="18"/>
              </w:rPr>
              <w:t>也不由公</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847"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日。三、</w:t>
            </w:r>
          </w:p>
        </w:tc>
        <w:tc>
          <w:tcPr>
            <w:tcW w:w="847"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自公司股票上市之日起十二个月内</w:t>
            </w:r>
            <w:r>
              <w:rPr>
                <w:rFonts w:ascii="宋体" w:hAnsi="宋体" w:cs="宋体" w:eastAsia="宋体" w:hint="default"/>
                <w:spacing w:val="-85"/>
                <w:sz w:val="18"/>
                <w:szCs w:val="18"/>
              </w:rPr>
              <w:t>，</w:t>
            </w:r>
            <w:r>
              <w:rPr>
                <w:rFonts w:ascii="宋体" w:hAnsi="宋体" w:cs="宋体" w:eastAsia="宋体" w:hint="default"/>
                <w:sz w:val="18"/>
                <w:szCs w:val="18"/>
              </w:rPr>
              <w:t>不转让或者委托</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股份锁定</w:t>
            </w:r>
          </w:p>
        </w:tc>
        <w:tc>
          <w:tcPr>
            <w:tcW w:w="8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他人管理其持有的公司股份</w:t>
            </w:r>
            <w:r>
              <w:rPr>
                <w:rFonts w:ascii="宋体" w:hAnsi="宋体" w:cs="宋体" w:eastAsia="宋体" w:hint="default"/>
                <w:spacing w:val="-85"/>
                <w:sz w:val="18"/>
                <w:szCs w:val="18"/>
              </w:rPr>
              <w:t>，</w:t>
            </w:r>
            <w:r>
              <w:rPr>
                <w:rFonts w:ascii="宋体" w:hAnsi="宋体" w:cs="宋体" w:eastAsia="宋体" w:hint="default"/>
                <w:sz w:val="18"/>
                <w:szCs w:val="18"/>
              </w:rPr>
              <w:t>也不由公司回购其持有</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承诺：承</w:t>
            </w:r>
          </w:p>
        </w:tc>
        <w:tc>
          <w:tcPr>
            <w:tcW w:w="8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pacing w:val="-7"/>
                <w:sz w:val="18"/>
                <w:szCs w:val="18"/>
              </w:rPr>
              <w:t>的股份。除前述承诺外，公司股东刘强、李杰、</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诺期限为</w:t>
            </w:r>
          </w:p>
        </w:tc>
        <w:tc>
          <w:tcPr>
            <w:tcW w:w="8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pacing w:val="-4"/>
                <w:sz w:val="18"/>
                <w:szCs w:val="18"/>
              </w:rPr>
              <w:t>冼永辉承诺：在前述限售期满后，每年转让的股份不</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直至所持</w:t>
            </w:r>
          </w:p>
        </w:tc>
        <w:tc>
          <w:tcPr>
            <w:tcW w:w="84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得超过其所持公司股份总数的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；所持公司股份</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股份全部</w:t>
            </w:r>
          </w:p>
        </w:tc>
        <w:tc>
          <w:tcPr>
            <w:tcW w:w="8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3" w:right="0"/>
              <w:jc w:val="lef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股的，可一次全部转让，不受前述转让</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解锁。</w:t>
            </w:r>
          </w:p>
        </w:tc>
        <w:tc>
          <w:tcPr>
            <w:tcW w:w="84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3" w:right="0"/>
              <w:jc w:val="left"/>
              <w:rPr>
                <w:rFonts w:ascii="宋体" w:hAnsi="宋体" w:cs="宋体" w:eastAsia="宋体" w:hint="default"/>
                <w:sz w:val="18"/>
                <w:szCs w:val="18"/>
              </w:rPr>
            </w:pPr>
            <w:r>
              <w:rPr>
                <w:rFonts w:ascii="宋体" w:hAnsi="宋体" w:cs="宋体" w:eastAsia="宋体" w:hint="default"/>
                <w:spacing w:val="-4"/>
                <w:sz w:val="18"/>
                <w:szCs w:val="18"/>
              </w:rPr>
              <w:t>比例的限制。担任公司董事、监事、高级管理人员的</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对君正时</w:t>
            </w:r>
          </w:p>
        </w:tc>
        <w:tc>
          <w:tcPr>
            <w:tcW w:w="8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pacing w:val="-4"/>
                <w:sz w:val="18"/>
                <w:szCs w:val="18"/>
              </w:rPr>
              <w:t>股东及其关联方刘强、李杰、张紧、冼永辉承诺：在</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代补缴住</w:t>
            </w:r>
          </w:p>
        </w:tc>
        <w:tc>
          <w:tcPr>
            <w:tcW w:w="8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pacing w:val="-4"/>
                <w:sz w:val="18"/>
                <w:szCs w:val="18"/>
              </w:rPr>
              <w:t>其本人及其关联方担任公司董事、监事、高级管理人</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房公积金</w:t>
            </w:r>
          </w:p>
        </w:tc>
        <w:tc>
          <w:tcPr>
            <w:tcW w:w="8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员期间每年转让的股份不超过其直接和间接持有的</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风险的承</w:t>
            </w:r>
          </w:p>
        </w:tc>
        <w:tc>
          <w:tcPr>
            <w:tcW w:w="84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公司股份总数的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；离职后半年内，不转让其直</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诺：此承</w:t>
            </w:r>
          </w:p>
        </w:tc>
        <w:tc>
          <w:tcPr>
            <w:tcW w:w="84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3" w:right="0"/>
              <w:jc w:val="left"/>
              <w:rPr>
                <w:rFonts w:ascii="宋体" w:hAnsi="宋体" w:cs="宋体" w:eastAsia="宋体" w:hint="default"/>
                <w:sz w:val="18"/>
                <w:szCs w:val="18"/>
              </w:rPr>
            </w:pPr>
            <w:r>
              <w:rPr>
                <w:rFonts w:ascii="宋体" w:hAnsi="宋体" w:cs="宋体" w:eastAsia="宋体" w:hint="default"/>
                <w:sz w:val="18"/>
                <w:szCs w:val="18"/>
              </w:rPr>
              <w:t>接和间接持有的公司股份</w:t>
            </w:r>
            <w:r>
              <w:rPr>
                <w:rFonts w:ascii="宋体" w:hAnsi="宋体" w:cs="宋体" w:eastAsia="宋体" w:hint="default"/>
                <w:spacing w:val="-85"/>
                <w:sz w:val="18"/>
                <w:szCs w:val="18"/>
              </w:rPr>
              <w:t>；</w:t>
            </w:r>
            <w:r>
              <w:rPr>
                <w:rFonts w:ascii="宋体" w:hAnsi="宋体" w:cs="宋体" w:eastAsia="宋体" w:hint="default"/>
                <w:sz w:val="18"/>
                <w:szCs w:val="18"/>
              </w:rPr>
              <w:t>离职半年后的十二个月内</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诺期限为</w:t>
            </w:r>
          </w:p>
        </w:tc>
        <w:tc>
          <w:tcPr>
            <w:tcW w:w="8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通过证券交易所挂牌交易出售公司股份数量占其直</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长期有</w:t>
            </w:r>
          </w:p>
        </w:tc>
        <w:tc>
          <w:tcPr>
            <w:tcW w:w="847" w:type="dxa"/>
            <w:tcBorders>
              <w:top w:val="nil" w:sz="6" w:space="0" w:color="auto"/>
              <w:left w:val="single" w:sz="4" w:space="0" w:color="000000"/>
              <w:bottom w:val="nil" w:sz="6" w:space="0" w:color="auto"/>
              <w:right w:val="single" w:sz="4" w:space="0" w:color="000000"/>
            </w:tcBorders>
          </w:tcPr>
          <w:p>
            <w:pPr/>
          </w:p>
        </w:tc>
      </w:tr>
      <w:tr>
        <w:trPr>
          <w:trHeight w:val="377"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接和间接持有的公司股份总数的比例不超过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效。</w:t>
            </w:r>
          </w:p>
        </w:tc>
        <w:tc>
          <w:tcPr>
            <w:tcW w:w="847" w:type="dxa"/>
            <w:tcBorders>
              <w:top w:val="nil" w:sz="6" w:space="0" w:color="auto"/>
              <w:left w:val="single" w:sz="4" w:space="0" w:color="000000"/>
              <w:bottom w:val="nil" w:sz="6" w:space="0" w:color="auto"/>
              <w:right w:val="single" w:sz="4" w:space="0" w:color="000000"/>
            </w:tcBorders>
          </w:tcPr>
          <w:p>
            <w:pPr/>
          </w:p>
        </w:tc>
      </w:tr>
      <w:tr>
        <w:trPr>
          <w:trHeight w:val="328"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宋体" w:hAnsi="宋体" w:cs="宋体" w:eastAsia="宋体" w:hint="default"/>
                <w:spacing w:val="-4"/>
                <w:sz w:val="18"/>
                <w:szCs w:val="18"/>
              </w:rPr>
              <w:t>四、对君正时代补缴住房公积金风险的承诺：君正时</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代未为非深圳户籍员工缴交住房公积金。为此，公司</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实际控制人刘强、李杰承诺：如主管部门要求君正时</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代为上述员工补缴住房公积金或因该事项致使君正</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时代遭受任何经济损失，刘强、李杰将承担有关的费</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47"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702"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用，并及时、足额将有关费用支付给君正时代。</w:t>
            </w:r>
          </w:p>
        </w:tc>
        <w:tc>
          <w:tcPr>
            <w:tcW w:w="853" w:type="dxa"/>
            <w:vMerge/>
            <w:tcBorders>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47"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275"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701"/>
        <w:gridCol w:w="7936"/>
      </w:tblGrid>
      <w:tr>
        <w:trPr>
          <w:trHeight w:val="401"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6"/>
              <w:jc w:val="left"/>
              <w:rPr>
                <w:rFonts w:ascii="宋体" w:hAnsi="宋体" w:cs="宋体" w:eastAsia="宋体" w:hint="default"/>
                <w:sz w:val="18"/>
                <w:szCs w:val="18"/>
              </w:rPr>
            </w:pPr>
            <w:r>
              <w:rPr>
                <w:rFonts w:ascii="宋体" w:hAnsi="宋体" w:cs="宋体" w:eastAsia="宋体" w:hint="default"/>
                <w:sz w:val="18"/>
                <w:szCs w:val="18"/>
              </w:rPr>
              <w:t>未完成履行的具体原 因及下一步计划</w:t>
            </w:r>
          </w:p>
        </w:tc>
        <w:tc>
          <w:tcPr>
            <w:tcW w:w="7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6"/>
              <w:jc w:val="both"/>
              <w:rPr>
                <w:rFonts w:ascii="宋体" w:hAnsi="宋体" w:cs="宋体" w:eastAsia="宋体" w:hint="default"/>
                <w:sz w:val="18"/>
                <w:szCs w:val="18"/>
              </w:rPr>
            </w:pPr>
            <w:r>
              <w:rPr>
                <w:rFonts w:ascii="宋体" w:hAnsi="宋体" w:cs="宋体" w:eastAsia="宋体" w:hint="default"/>
                <w:sz w:val="18"/>
                <w:szCs w:val="18"/>
              </w:rPr>
              <w:t>是否就导致的同业竞 争和关联交易问题作 出承诺</w:t>
            </w:r>
          </w:p>
        </w:tc>
        <w:tc>
          <w:tcPr>
            <w:tcW w:w="7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7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r>
      <w:tr>
        <w:trPr>
          <w:trHeight w:val="713"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79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pacing w:val="-2"/>
                <w:sz w:val="18"/>
                <w:szCs w:val="18"/>
              </w:rPr>
              <w:t>自公司上市以来，所有股东严格遵守承诺，未来公司股东将继续履行承诺，公司将严格监控股东承诺</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事项，保证承诺的顺利履行。</w:t>
            </w:r>
          </w:p>
        </w:tc>
      </w:tr>
      <w:tr>
        <w:trPr>
          <w:trHeight w:val="716"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79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
              <w:jc w:val="left"/>
              <w:rPr>
                <w:rFonts w:ascii="宋体" w:hAnsi="宋体" w:cs="宋体" w:eastAsia="宋体" w:hint="default"/>
                <w:sz w:val="18"/>
                <w:szCs w:val="18"/>
              </w:rPr>
            </w:pPr>
            <w:r>
              <w:rPr>
                <w:rFonts w:ascii="宋体" w:hAnsi="宋体" w:cs="宋体" w:eastAsia="宋体" w:hint="default"/>
                <w:spacing w:val="-1"/>
                <w:sz w:val="18"/>
                <w:szCs w:val="18"/>
              </w:rPr>
              <w:t>报告期内，上述股东均遵守了所做的承诺，其中实际控制人刘强、李杰、张紧、冼永辉均已缴纳了公</w:t>
            </w:r>
            <w:r>
              <w:rPr>
                <w:rFonts w:ascii="宋体" w:hAnsi="宋体" w:cs="宋体" w:eastAsia="宋体" w:hint="default"/>
                <w:sz w:val="18"/>
                <w:szCs w:val="18"/>
              </w:rPr>
              <w:t> 司整体变更为股份有限公司过程中其应缴纳的个人所得税款项。</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北京兴华会计师事务所有限责任公司</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陈胜华、时颜禄</w:t>
            </w:r>
          </w:p>
        </w:tc>
      </w:tr>
    </w:tbl>
    <w:p>
      <w:pPr>
        <w:pStyle w:val="BodyText"/>
        <w:spacing w:line="240" w:lineRule="auto" w:before="49"/>
        <w:ind w:right="0"/>
        <w:jc w:val="left"/>
      </w:pPr>
      <w:r>
        <w:rPr/>
        <w:t>是否改聘会计师事务所</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7"/>
        <w:rPr>
          <w:rFonts w:ascii="宋体" w:hAnsi="宋体" w:cs="宋体" w:eastAsia="宋体" w:hint="default"/>
          <w:sz w:val="26"/>
          <w:szCs w:val="26"/>
        </w:rPr>
      </w:pPr>
    </w:p>
    <w:p>
      <w:pPr>
        <w:pStyle w:val="Heading2"/>
        <w:spacing w:line="312" w:lineRule="exact"/>
        <w:ind w:right="136"/>
        <w:jc w:val="left"/>
        <w:rPr>
          <w:b w:val="0"/>
          <w:bCs w:val="0"/>
        </w:rPr>
      </w:pPr>
      <w:r>
        <w:rPr/>
        <w:t>十、上市公司及其董事、监事、高级管理人员、公司股东、实际控制人和收购人处罚及整改</w:t>
      </w:r>
      <w:r>
        <w:rPr>
          <w:w w:val="99"/>
        </w:rPr>
        <w:t> </w:t>
      </w:r>
      <w:r>
        <w:rPr/>
        <w:t>情况</w:t>
      </w:r>
      <w:r>
        <w:rPr>
          <w:b w:val="0"/>
          <w:bCs w:val="0"/>
        </w:rPr>
      </w:r>
    </w:p>
    <w:p>
      <w:pPr>
        <w:spacing w:line="240" w:lineRule="auto" w:before="4"/>
        <w:rPr>
          <w:rFonts w:ascii="宋体" w:hAnsi="宋体" w:cs="宋体" w:eastAsia="宋体" w:hint="default"/>
          <w:b/>
          <w:bCs/>
          <w:sz w:val="24"/>
          <w:szCs w:val="24"/>
        </w:rPr>
      </w:pPr>
    </w:p>
    <w:p>
      <w:pPr>
        <w:pStyle w:val="BodyText"/>
        <w:spacing w:line="340" w:lineRule="auto"/>
        <w:ind w:right="45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上市公司及其子公司是否被列入环保部门公布的污染严重企业名单</w:t>
      </w:r>
    </w:p>
    <w:p>
      <w:pPr>
        <w:pStyle w:val="BodyText"/>
        <w:spacing w:line="340" w:lineRule="auto" w:before="40"/>
        <w:ind w:right="5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上市公司及其子公司是否存在其他重大社会安全问题</w:t>
      </w:r>
    </w:p>
    <w:p>
      <w:pPr>
        <w:pStyle w:val="BodyText"/>
        <w:spacing w:line="338" w:lineRule="auto" w:before="41"/>
        <w:ind w:right="7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报告期内是否被行政处罚</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十一、公司股东及其一致行动人在报告期提出或实施股份增持计划的情况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980" w:top="1100" w:bottom="116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十二、</w:t>
      </w:r>
      <w:r>
        <w:rPr>
          <w:rFonts w:ascii="Times New Roman" w:hAnsi="Times New Roman" w:cs="Times New Roman" w:eastAsia="Times New Roman" w:hint="default"/>
        </w:rPr>
        <w:t>2012 </w:t>
      </w:r>
      <w:r>
        <w:rPr/>
        <w:t>年董事、监事、高级管理人员、持股</w:t>
      </w:r>
      <w:r>
        <w:rPr>
          <w:spacing w:val="-64"/>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十三、违规对外担保情况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十四、年度报告披露后面临暂停上市和终止上市情况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十五、其他重大事项的说明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980"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3144" w:right="344"/>
        <w:jc w:val="left"/>
        <w:rPr>
          <w:b w:val="0"/>
          <w:bCs w:val="0"/>
        </w:rPr>
      </w:pPr>
      <w:bookmarkStart w:name="_TOC_250004"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left="332" w:right="344"/>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332" w:right="344"/>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7" w:type="dxa"/>
        <w:tblLayout w:type="fixed"/>
        <w:tblCellMar>
          <w:top w:w="0" w:type="dxa"/>
          <w:left w:w="0" w:type="dxa"/>
          <w:bottom w:w="0" w:type="dxa"/>
          <w:right w:w="0" w:type="dxa"/>
        </w:tblCellMar>
        <w:tblLook w:val="01E0"/>
      </w:tblPr>
      <w:tblGrid>
        <w:gridCol w:w="2009"/>
        <w:gridCol w:w="956"/>
        <w:gridCol w:w="845"/>
        <w:gridCol w:w="845"/>
        <w:gridCol w:w="634"/>
        <w:gridCol w:w="1013"/>
        <w:gridCol w:w="991"/>
        <w:gridCol w:w="994"/>
        <w:gridCol w:w="991"/>
        <w:gridCol w:w="816"/>
      </w:tblGrid>
      <w:tr>
        <w:trPr>
          <w:trHeight w:val="206" w:hRule="exact"/>
        </w:trPr>
        <w:tc>
          <w:tcPr>
            <w:tcW w:w="20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47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4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1801" w:type="dxa"/>
            <w:gridSpan w:val="2"/>
            <w:vMerge/>
            <w:tcBorders>
              <w:left w:val="single" w:sz="4" w:space="0" w:color="000000"/>
              <w:bottom w:val="single" w:sz="4" w:space="0" w:color="000000"/>
              <w:right w:val="single" w:sz="4" w:space="0" w:color="000000"/>
            </w:tcBorders>
            <w:shd w:val="clear" w:color="auto" w:fill="D2D2D2"/>
          </w:tcPr>
          <w:p>
            <w:pPr/>
          </w:p>
        </w:tc>
        <w:tc>
          <w:tcPr>
            <w:tcW w:w="4477" w:type="dxa"/>
            <w:gridSpan w:val="5"/>
            <w:vMerge/>
            <w:tcBorders>
              <w:left w:val="single" w:sz="4" w:space="0" w:color="000000"/>
              <w:bottom w:val="single" w:sz="4" w:space="0" w:color="000000"/>
              <w:right w:val="single" w:sz="4" w:space="0" w:color="000000"/>
            </w:tcBorders>
            <w:shd w:val="clear" w:color="auto" w:fill="D2D2D2"/>
          </w:tcPr>
          <w:p>
            <w:pPr/>
          </w:p>
        </w:tc>
        <w:tc>
          <w:tcPr>
            <w:tcW w:w="180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009" w:type="dxa"/>
            <w:vMerge/>
            <w:tcBorders>
              <w:left w:val="single" w:sz="4" w:space="0" w:color="000000"/>
              <w:bottom w:val="nil" w:sz="6" w:space="0" w:color="auto"/>
              <w:right w:val="single" w:sz="4" w:space="0" w:color="000000"/>
            </w:tcBorders>
            <w:shd w:val="clear" w:color="auto" w:fill="D2D2D2"/>
          </w:tcPr>
          <w:p>
            <w:pP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4" w:hRule="exact"/>
        </w:trPr>
        <w:tc>
          <w:tcPr>
            <w:tcW w:w="2009"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845" w:type="dxa"/>
            <w:vMerge/>
            <w:tcBorders>
              <w:left w:val="single" w:sz="4" w:space="0" w:color="000000"/>
              <w:bottom w:val="single" w:sz="4" w:space="0" w:color="000000"/>
              <w:right w:val="single" w:sz="4" w:space="0" w:color="000000"/>
            </w:tcBorders>
            <w:shd w:val="clear" w:color="auto" w:fill="D2D2D2"/>
          </w:tcPr>
          <w:p>
            <w:pPr/>
          </w:p>
        </w:tc>
        <w:tc>
          <w:tcPr>
            <w:tcW w:w="845" w:type="dxa"/>
            <w:vMerge/>
            <w:tcBorders>
              <w:left w:val="single" w:sz="4" w:space="0" w:color="000000"/>
              <w:bottom w:val="single" w:sz="4" w:space="0" w:color="000000"/>
              <w:right w:val="single" w:sz="4" w:space="0" w:color="000000"/>
            </w:tcBorders>
            <w:shd w:val="clear" w:color="auto" w:fill="D2D2D2"/>
          </w:tcPr>
          <w:p>
            <w:pPr/>
          </w:p>
        </w:tc>
        <w:tc>
          <w:tcPr>
            <w:tcW w:w="634"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8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w:t>
            </w:r>
          </w:p>
        </w:tc>
        <w:tc>
          <w:tcPr>
            <w:tcW w:w="84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-20,264,652</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-2,264,652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57,735,348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55.51%</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w:t>
            </w:r>
          </w:p>
        </w:tc>
        <w:tc>
          <w:tcPr>
            <w:tcW w:w="84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-35,100,252</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-17,100,252</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42,899,748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41.25%</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10,791,367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13.49%</w:t>
            </w:r>
          </w:p>
        </w:tc>
        <w:tc>
          <w:tcPr>
            <w:tcW w:w="84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3,237,410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-14,028,777</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-10,791,367</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49,208,633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61.51%</w:t>
            </w:r>
          </w:p>
        </w:tc>
        <w:tc>
          <w:tcPr>
            <w:tcW w:w="84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14,762,590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-21,071,475</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-6,308,885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42,899,748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41.25%</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956" w:type="dxa"/>
            <w:tcBorders>
              <w:top w:val="single" w:sz="4" w:space="0" w:color="000000"/>
              <w:left w:val="single" w:sz="10"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14,835,600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14,835,600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14,835,600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14.26%</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w:t>
            </w:r>
          </w:p>
        </w:tc>
        <w:tc>
          <w:tcPr>
            <w:tcW w:w="84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20,264,652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26,264,652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46,264,652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44.49%</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w:t>
            </w:r>
          </w:p>
        </w:tc>
        <w:tc>
          <w:tcPr>
            <w:tcW w:w="84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20,264,652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26,264,652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46,264,652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44.49%</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84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104,000,000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360" w:lineRule="auto" w:before="49"/>
        <w:ind w:left="693" w:right="344" w:hanging="361"/>
        <w:jc w:val="left"/>
        <w:rPr>
          <w:rFonts w:ascii="Times New Roman" w:hAnsi="Times New Roman" w:cs="Times New Roman" w:eastAsia="Times New Roman" w:hint="default"/>
        </w:rPr>
      </w:pPr>
      <w:r>
        <w:rPr/>
        <w:t>股份变动的原因 </w:t>
      </w:r>
      <w:r>
        <w:rPr>
          <w:spacing w:val="-1"/>
        </w:rPr>
        <w:t>根据公司</w:t>
      </w:r>
      <w:r>
        <w:rPr>
          <w:rFonts w:ascii="Times New Roman" w:hAnsi="Times New Roman" w:cs="Times New Roman" w:eastAsia="Times New Roman" w:hint="default"/>
          <w:spacing w:val="-1"/>
        </w:rPr>
        <w:t>2011</w:t>
      </w:r>
      <w:r>
        <w:rPr>
          <w:spacing w:val="-1"/>
        </w:rPr>
        <w:t>年年度分配方案，公司以</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8,000</w:t>
      </w:r>
      <w:r>
        <w:rPr>
          <w:spacing w:val="-1"/>
        </w:rPr>
        <w:t>万股为基数，以资本公积金向全体股东每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3</w:t>
      </w:r>
    </w:p>
    <w:p>
      <w:pPr>
        <w:pStyle w:val="BodyText"/>
        <w:spacing w:line="213" w:lineRule="exact"/>
        <w:ind w:left="332" w:right="344"/>
        <w:jc w:val="left"/>
      </w:pPr>
      <w:r>
        <w:rPr/>
        <w:t>股，合计转增股本</w:t>
      </w:r>
      <w:r>
        <w:rPr>
          <w:rFonts w:ascii="Times New Roman" w:hAnsi="Times New Roman" w:cs="Times New Roman" w:eastAsia="Times New Roman" w:hint="default"/>
        </w:rPr>
        <w:t>2,400</w:t>
      </w:r>
      <w:r>
        <w:rPr/>
        <w:t>万股。</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日，公司实施了</w:t>
      </w:r>
      <w:r>
        <w:rPr>
          <w:rFonts w:ascii="Times New Roman" w:hAnsi="Times New Roman" w:cs="Times New Roman" w:eastAsia="Times New Roman" w:hint="default"/>
        </w:rPr>
        <w:t>2011</w:t>
      </w:r>
      <w:r>
        <w:rPr/>
        <w:t>年年度分配方案，总股本增加至</w:t>
      </w:r>
      <w:r>
        <w:rPr>
          <w:rFonts w:ascii="Times New Roman" w:hAnsi="Times New Roman" w:cs="Times New Roman" w:eastAsia="Times New Roman" w:hint="default"/>
        </w:rPr>
        <w:t>10,400</w:t>
      </w:r>
      <w:r>
        <w:rPr/>
        <w:t>万股。</w:t>
      </w:r>
    </w:p>
    <w:p>
      <w:pPr>
        <w:pStyle w:val="BodyText"/>
        <w:spacing w:line="240" w:lineRule="auto" w:before="103"/>
        <w:ind w:left="332" w:right="344"/>
        <w:jc w:val="left"/>
      </w:pPr>
      <w:r>
        <w:rPr/>
        <w:t>股份变动的批准情况</w:t>
      </w:r>
    </w:p>
    <w:p>
      <w:pPr>
        <w:pStyle w:val="BodyText"/>
        <w:spacing w:line="240" w:lineRule="auto" w:before="115"/>
        <w:ind w:left="332" w:right="3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left="332" w:right="344" w:firstLine="360"/>
        <w:jc w:val="left"/>
      </w:pPr>
      <w:r>
        <w:rPr>
          <w:rFonts w:ascii="Times New Roman" w:hAnsi="Times New Roman" w:cs="Times New Roman" w:eastAsia="Times New Roman" w:hint="default"/>
        </w:rPr>
        <w:t>2011</w:t>
      </w:r>
      <w:r>
        <w:rPr/>
        <w:t>年年度分配方案经</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5</w:t>
      </w:r>
      <w:r>
        <w:rPr/>
        <w:t>日公司第一届董事会第十五次会议审议通过，并经</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日召开的</w:t>
      </w:r>
      <w:r>
        <w:rPr>
          <w:rFonts w:ascii="Times New Roman" w:hAnsi="Times New Roman" w:cs="Times New Roman" w:eastAsia="Times New Roman" w:hint="default"/>
        </w:rPr>
        <w:t>2011</w:t>
      </w:r>
      <w:r>
        <w:rPr/>
        <w:t>年年度 股东大会审议通过后实施。</w:t>
      </w:r>
    </w:p>
    <w:p>
      <w:pPr>
        <w:pStyle w:val="BodyText"/>
        <w:spacing w:line="357" w:lineRule="auto" w:before="72"/>
        <w:ind w:left="332" w:right="614"/>
        <w:jc w:val="left"/>
      </w:pPr>
      <w:r>
        <w:rPr/>
        <w:t>股份变动的过户情况：无。 股份变动对最近一年和最近一期基本每股收益和稀释每股收益、归属于公司普通股股东的每股净资产等财务指标的影响</w:t>
      </w:r>
    </w:p>
    <w:p>
      <w:pPr>
        <w:pStyle w:val="BodyText"/>
        <w:spacing w:line="338" w:lineRule="auto" w:before="29"/>
        <w:ind w:left="693" w:right="343" w:hanging="361"/>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基本每股收益、稀释每股收益、扣除非经常性损益后的基本每股收益等各项数据，按照</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日资本公积金每</w:t>
      </w:r>
      <w:r>
        <w:rPr>
          <w:rFonts w:ascii="Times New Roman" w:hAnsi="Times New Roman" w:cs="Times New Roman" w:eastAsia="Times New Roman" w:hint="default"/>
        </w:rPr>
        <w:t>10</w:t>
      </w:r>
    </w:p>
    <w:p>
      <w:pPr>
        <w:pStyle w:val="BodyText"/>
        <w:spacing w:line="230" w:lineRule="exact"/>
        <w:ind w:left="332" w:right="344"/>
        <w:jc w:val="left"/>
      </w:pPr>
      <w:r>
        <w:rPr/>
        <w:t>股转增</w:t>
      </w:r>
      <w:r>
        <w:rPr>
          <w:rFonts w:ascii="Times New Roman" w:hAnsi="Times New Roman" w:cs="Times New Roman" w:eastAsia="Times New Roman" w:hint="default"/>
        </w:rPr>
        <w:t>3</w:t>
      </w:r>
      <w:r>
        <w:rPr/>
        <w:t>股后，以</w:t>
      </w:r>
      <w:r>
        <w:rPr>
          <w:rFonts w:ascii="Times New Roman" w:hAnsi="Times New Roman" w:cs="Times New Roman" w:eastAsia="Times New Roman" w:hint="default"/>
        </w:rPr>
        <w:t>104,000,000</w:t>
      </w:r>
      <w:r>
        <w:rPr/>
        <w:t>股为基数计算。</w:t>
      </w:r>
    </w:p>
    <w:p>
      <w:pPr>
        <w:pStyle w:val="BodyText"/>
        <w:spacing w:line="240" w:lineRule="auto" w:before="104"/>
        <w:ind w:left="332" w:right="344"/>
        <w:jc w:val="left"/>
      </w:pPr>
      <w:r>
        <w:rPr/>
        <w:t>公司认为必要或证券监管机构要求披露的其他内容：无。</w:t>
      </w:r>
    </w:p>
    <w:p>
      <w:pPr>
        <w:spacing w:line="240" w:lineRule="auto" w:before="0"/>
        <w:rPr>
          <w:rFonts w:ascii="宋体" w:hAnsi="宋体" w:cs="宋体" w:eastAsia="宋体" w:hint="default"/>
          <w:sz w:val="18"/>
          <w:szCs w:val="18"/>
        </w:rPr>
      </w:pPr>
    </w:p>
    <w:p>
      <w:pPr>
        <w:pStyle w:val="Heading4"/>
        <w:spacing w:line="240" w:lineRule="auto" w:before="120"/>
        <w:ind w:left="332" w:right="344"/>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327" w:type="dxa"/>
        <w:tblLayout w:type="fixed"/>
        <w:tblCellMar>
          <w:top w:w="0" w:type="dxa"/>
          <w:left w:w="0" w:type="dxa"/>
          <w:bottom w:w="0" w:type="dxa"/>
          <w:right w:w="0" w:type="dxa"/>
        </w:tblCellMar>
        <w:tblLook w:val="01E0"/>
      </w:tblPr>
      <w:tblGrid>
        <w:gridCol w:w="1277"/>
        <w:gridCol w:w="1274"/>
        <w:gridCol w:w="1186"/>
        <w:gridCol w:w="1236"/>
        <w:gridCol w:w="1287"/>
        <w:gridCol w:w="960"/>
        <w:gridCol w:w="2420"/>
      </w:tblGrid>
      <w:tr>
        <w:trPr>
          <w:trHeight w:val="71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8" w:right="46" w:hanging="361"/>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2"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18,092,633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5,427,790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23,520,423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2014-5-31</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2014-5-31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800" w:right="7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277"/>
        <w:gridCol w:w="1274"/>
        <w:gridCol w:w="1186"/>
        <w:gridCol w:w="1236"/>
        <w:gridCol w:w="1287"/>
        <w:gridCol w:w="960"/>
        <w:gridCol w:w="2420"/>
      </w:tblGrid>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盈富泰克创业 投资有限公司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10,791,367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14,028,777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3,237,410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2012-5-31</w:t>
            </w: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冼永辉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4,608,000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1,497,600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1,382,400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4,492,800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首次解除限售，以后</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每年按照所持股份总数的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张紧</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4,608,000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1,497,600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1,382,400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4,492,800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姜君</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585,000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540,000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1,755,000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许志鹏</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487,500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1,462,500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刘飞</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450,000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2014-5-31</w:t>
            </w: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晏晓京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487,500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1,462,500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首次解除限售，以后</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每年按照所持股份总数的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赵明漪</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682,500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360,000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877,500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鹿良礼</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608,175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951,825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张燕祥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585,000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张敏</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20,264,652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18,000,000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57,735,348</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b/>
          <w:bCs/>
          <w:sz w:val="18"/>
          <w:szCs w:val="18"/>
        </w:rPr>
      </w:pPr>
    </w:p>
    <w:p>
      <w:pPr>
        <w:spacing w:line="506" w:lineRule="auto" w:before="26"/>
        <w:ind w:left="152" w:right="7124" w:firstLine="0"/>
        <w:jc w:val="left"/>
        <w:rPr>
          <w:rFonts w:ascii="宋体" w:hAnsi="宋体" w:cs="宋体" w:eastAsia="宋体" w:hint="default"/>
          <w:sz w:val="18"/>
          <w:szCs w:val="18"/>
        </w:rPr>
      </w:pPr>
      <w:r>
        <w:rPr>
          <w:rFonts w:ascii="宋体" w:hAnsi="宋体" w:cs="宋体" w:eastAsia="宋体" w:hint="default"/>
          <w:b/>
          <w:bCs/>
          <w:sz w:val="24"/>
          <w:szCs w:val="24"/>
        </w:rPr>
        <w:t>二、证券发行与上市情况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、报告期内证券发行情况</w:t>
      </w:r>
      <w:r>
        <w:rPr>
          <w:rFonts w:ascii="宋体" w:hAnsi="宋体" w:cs="宋体" w:eastAsia="宋体" w:hint="default"/>
          <w:b/>
          <w:bCs/>
          <w:w w:val="100"/>
          <w:sz w:val="21"/>
          <w:szCs w:val="21"/>
        </w:rPr>
        <w:t> </w:t>
      </w:r>
      <w:r>
        <w:rPr>
          <w:rFonts w:ascii="宋体" w:hAnsi="宋体" w:cs="宋体" w:eastAsia="宋体" w:hint="default"/>
          <w:sz w:val="18"/>
          <w:szCs w:val="18"/>
        </w:rPr>
        <w:t>无。</w:t>
      </w:r>
    </w:p>
    <w:p>
      <w:pPr>
        <w:pStyle w:val="Heading4"/>
        <w:spacing w:line="240" w:lineRule="auto" w:before="156"/>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51" w:firstLine="360"/>
        <w:jc w:val="both"/>
      </w:pPr>
      <w:r>
        <w:rPr/>
        <w:t>根据公司</w:t>
      </w:r>
      <w:r>
        <w:rPr>
          <w:rFonts w:ascii="Times New Roman" w:hAnsi="Times New Roman" w:cs="Times New Roman" w:eastAsia="Times New Roman" w:hint="default"/>
        </w:rPr>
        <w:t>2011</w:t>
      </w:r>
      <w:r>
        <w:rPr/>
        <w:t>年年度股东大会审议通过的</w:t>
      </w:r>
      <w:r>
        <w:rPr>
          <w:rFonts w:ascii="Times New Roman" w:hAnsi="Times New Roman" w:cs="Times New Roman" w:eastAsia="Times New Roman" w:hint="default"/>
        </w:rPr>
        <w:t>2011</w:t>
      </w:r>
      <w:r>
        <w:rPr/>
        <w:t>年年度分配方案：公司以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8,000</w:t>
      </w:r>
      <w:r>
        <w:rPr/>
        <w:t>万股为基数，按每 </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6</w:t>
      </w:r>
      <w:r>
        <w:rPr/>
        <w:t>元（税前），同时，以资本公积金向全体股东每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股，合计转增股本</w:t>
      </w:r>
      <w:r>
        <w:rPr>
          <w:rFonts w:ascii="Times New Roman" w:hAnsi="Times New Roman" w:cs="Times New Roman" w:eastAsia="Times New Roman" w:hint="default"/>
        </w:rPr>
        <w:t>2,400</w:t>
      </w:r>
      <w:r>
        <w:rPr/>
        <w:t>万股。报告期内，公</w:t>
      </w:r>
      <w:r>
        <w:rPr>
          <w:spacing w:val="-43"/>
        </w:rPr>
        <w:t> </w:t>
      </w:r>
      <w:r>
        <w:rPr>
          <w:spacing w:val="-43"/>
        </w:rPr>
      </w:r>
      <w:r>
        <w:rPr/>
        <w:t>司实施了</w:t>
      </w:r>
      <w:r>
        <w:rPr>
          <w:rFonts w:ascii="Times New Roman" w:hAnsi="Times New Roman" w:cs="Times New Roman" w:eastAsia="Times New Roman" w:hint="default"/>
        </w:rPr>
        <w:t>2011</w:t>
      </w:r>
      <w:r>
        <w:rPr/>
        <w:t>年年度分配方案，公司总股本由</w:t>
      </w:r>
      <w:r>
        <w:rPr>
          <w:rFonts w:ascii="Times New Roman" w:hAnsi="Times New Roman" w:cs="Times New Roman" w:eastAsia="Times New Roman" w:hint="default"/>
        </w:rPr>
        <w:t>8,000</w:t>
      </w:r>
      <w:r>
        <w:rPr/>
        <w:t>万股增加至</w:t>
      </w:r>
      <w:r>
        <w:rPr>
          <w:rFonts w:ascii="Times New Roman" w:hAnsi="Times New Roman" w:cs="Times New Roman" w:eastAsia="Times New Roman" w:hint="default"/>
        </w:rPr>
        <w:t>10,400</w:t>
      </w:r>
      <w:r>
        <w:rPr/>
        <w:t>万股。</w:t>
      </w:r>
    </w:p>
    <w:p>
      <w:pPr>
        <w:spacing w:line="240" w:lineRule="auto" w:before="3"/>
        <w:rPr>
          <w:rFonts w:ascii="宋体" w:hAnsi="宋体" w:cs="宋体" w:eastAsia="宋体" w:hint="default"/>
          <w:sz w:val="20"/>
          <w:szCs w:val="20"/>
        </w:rPr>
      </w:pPr>
    </w:p>
    <w:p>
      <w:pPr>
        <w:pStyle w:val="Heading2"/>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352"/>
        <w:gridCol w:w="1363"/>
        <w:gridCol w:w="1380"/>
        <w:gridCol w:w="1362"/>
        <w:gridCol w:w="1368"/>
        <w:gridCol w:w="1363"/>
        <w:gridCol w:w="1374"/>
      </w:tblGrid>
      <w:tr>
        <w:trPr>
          <w:trHeight w:val="408" w:hRule="exact"/>
        </w:trPr>
        <w:tc>
          <w:tcPr>
            <w:tcW w:w="27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7,428</w:t>
            </w:r>
          </w:p>
        </w:tc>
        <w:tc>
          <w:tcPr>
            <w:tcW w:w="40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个交易日末的股东总数</w:t>
            </w:r>
          </w:p>
        </w:tc>
        <w:tc>
          <w:tcPr>
            <w:tcW w:w="13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7,307</w:t>
            </w:r>
          </w:p>
        </w:tc>
      </w:tr>
      <w:tr>
        <w:trPr>
          <w:trHeight w:val="391" w:hRule="exact"/>
        </w:trPr>
        <w:tc>
          <w:tcPr>
            <w:tcW w:w="956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1" w:hRule="exact"/>
        </w:trPr>
        <w:tc>
          <w:tcPr>
            <w:tcW w:w="13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230" w:right="47" w:hanging="180"/>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3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0" w:hRule="exact"/>
        </w:trPr>
        <w:tc>
          <w:tcPr>
            <w:tcW w:w="13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0"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3"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368" w:type="dxa"/>
            <w:vMerge/>
            <w:tcBorders>
              <w:left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2"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1362"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13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7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22.62%</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9" w:right="0"/>
              <w:jc w:val="left"/>
              <w:rPr>
                <w:rFonts w:ascii="Times New Roman" w:hAnsi="Times New Roman" w:cs="Times New Roman" w:eastAsia="Times New Roman" w:hint="default"/>
                <w:sz w:val="18"/>
                <w:szCs w:val="18"/>
              </w:rPr>
            </w:pPr>
            <w:r>
              <w:rPr>
                <w:rFonts w:ascii="Times New Roman"/>
                <w:sz w:val="18"/>
              </w:rPr>
              <w:t>23,520,423</w:t>
            </w:r>
          </w:p>
        </w:tc>
        <w:tc>
          <w:tcPr>
            <w:tcW w:w="1368"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73"/>
              <w:ind w:left="525" w:right="0"/>
              <w:jc w:val="left"/>
              <w:rPr>
                <w:rFonts w:ascii="Times New Roman" w:hAnsi="Times New Roman" w:cs="Times New Roman" w:eastAsia="Times New Roman" w:hint="default"/>
                <w:sz w:val="18"/>
                <w:szCs w:val="18"/>
              </w:rPr>
            </w:pPr>
            <w:r>
              <w:rPr>
                <w:rFonts w:ascii="Times New Roman"/>
                <w:sz w:val="18"/>
              </w:rPr>
              <w:t>23,520,423</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BodyText"/>
        <w:spacing w:line="240" w:lineRule="auto" w:before="44"/>
        <w:ind w:left="0" w:right="154"/>
        <w:jc w:val="right"/>
      </w:pPr>
      <w:r>
        <w:rPr/>
        <w:pict>
          <v:shape style="position:absolute;margin-left:56.400002pt;margin-top:-505.398285pt;width:479.4pt;height:589.7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4"/>
                    <w:gridCol w:w="1369"/>
                    <w:gridCol w:w="1368"/>
                    <w:gridCol w:w="1368"/>
                    <w:gridCol w:w="1368"/>
                    <w:gridCol w:w="1369"/>
                    <w:gridCol w:w="1368"/>
                  </w:tblGrid>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9"/>
                          <w:jc w:val="left"/>
                          <w:rPr>
                            <w:rFonts w:ascii="宋体" w:hAnsi="宋体" w:cs="宋体" w:eastAsia="宋体" w:hint="default"/>
                            <w:sz w:val="18"/>
                            <w:szCs w:val="18"/>
                          </w:rPr>
                        </w:pPr>
                        <w:r>
                          <w:rPr>
                            <w:rFonts w:ascii="宋体" w:hAnsi="宋体" w:cs="宋体" w:eastAsia="宋体" w:hint="default"/>
                            <w:sz w:val="18"/>
                            <w:szCs w:val="18"/>
                          </w:rPr>
                          <w:t>盈富泰克创业投 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9,028,777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冼永辉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5,990,400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4,492,800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5,990,400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4,492,800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1,755,000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许志鹏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1,462,500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晏晓京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1,462,500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鹿良礼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1,269,100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951,825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58"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4104" w:type="dxa"/>
                        <w:gridSpan w:val="3"/>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17"/>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盈富泰克创业投资有限公司</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9,028,777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冼永辉</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1,497,600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张紧</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1,497,600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6"/>
                          <w:jc w:val="left"/>
                          <w:rPr>
                            <w:rFonts w:ascii="宋体" w:hAnsi="宋体" w:cs="宋体" w:eastAsia="宋体" w:hint="default"/>
                            <w:sz w:val="18"/>
                            <w:szCs w:val="18"/>
                          </w:rPr>
                        </w:pPr>
                        <w:r>
                          <w:rPr>
                            <w:rFonts w:ascii="宋体" w:hAnsi="宋体" w:cs="宋体" w:eastAsia="宋体" w:hint="default"/>
                            <w:sz w:val="18"/>
                            <w:szCs w:val="18"/>
                          </w:rPr>
                          <w:t>中国建设银行－华夏红利混合型 开放式证券投资基金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1,008,960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姜君</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金国海</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502,680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许志鹏</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晏晓京</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华泰证券股份有限公司客户信用 交易担保证券账户</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454,833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郑雁云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419,798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2002" w:hRule="exact"/>
                    </w:trPr>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316" w:lineRule="auto"/>
                          <w:ind w:left="24" w:right="17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pacing w:val="-2"/>
                            <w:sz w:val="18"/>
                            <w:szCs w:val="18"/>
                          </w:rPr>
                          <w:t>公司股东刘强先生和李杰先生为一致行动人；刘强先生和刘飞先生为兄弟关系；除此之</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外，未知公司其他股东存在关联关系或属于《上市公司股东持股变动信息披露管理办法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规定的一致行动人。</w:t>
                        </w:r>
                      </w:p>
                      <w:p>
                        <w:pPr>
                          <w:pStyle w:val="TableParagraph"/>
                          <w:spacing w:line="309" w:lineRule="auto" w:before="57"/>
                          <w:ind w:left="23" w:right="24"/>
                          <w:jc w:val="both"/>
                          <w:rPr>
                            <w:rFonts w:ascii="宋体" w:hAnsi="宋体" w:cs="宋体" w:eastAsia="宋体" w:hint="default"/>
                            <w:sz w:val="18"/>
                            <w:szCs w:val="18"/>
                          </w:rPr>
                        </w:pPr>
                        <w:r>
                          <w:rPr>
                            <w:rFonts w:ascii="宋体" w:hAnsi="宋体" w:cs="宋体" w:eastAsia="宋体" w:hint="default"/>
                            <w:sz w:val="18"/>
                            <w:szCs w:val="18"/>
                          </w:rPr>
                          <w:t>注：证券账户名称前标注</w:t>
                        </w:r>
                        <w:r>
                          <w:rPr>
                            <w:rFonts w:ascii="Times New Roman" w:hAnsi="Times New Roman" w:cs="Times New Roman" w:eastAsia="Times New Roman" w:hint="default"/>
                            <w:sz w:val="18"/>
                            <w:szCs w:val="18"/>
                          </w:rPr>
                          <w:t>“*”</w:t>
                        </w:r>
                        <w:r>
                          <w:rPr>
                            <w:rFonts w:ascii="宋体" w:hAnsi="宋体" w:cs="宋体" w:eastAsia="宋体" w:hint="default"/>
                            <w:sz w:val="18"/>
                            <w:szCs w:val="18"/>
                          </w:rPr>
                          <w:t>的股东所持股份含有登记日收市后由限售股解限而来的股 </w:t>
                        </w:r>
                        <w:r>
                          <w:rPr>
                            <w:rFonts w:ascii="宋体" w:hAnsi="宋体" w:cs="宋体" w:eastAsia="宋体" w:hint="default"/>
                            <w:spacing w:val="-2"/>
                            <w:sz w:val="18"/>
                            <w:szCs w:val="18"/>
                          </w:rPr>
                          <w:t>份，该股份可于次一日上市交易。限售股定义参见中国证监会信息披露内容与格式准则</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0" w:firstLine="360"/>
        <w:jc w:val="left"/>
      </w:pPr>
      <w:r>
        <w:rPr>
          <w:spacing w:val="-2"/>
        </w:rPr>
        <w:t>刘强和李杰是一致行动人，两人共同拥有对公司的控制权，系公司的控股股东暨实际控制人。截至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日，刘</w:t>
      </w:r>
      <w:r>
        <w:rPr/>
        <w:t> 强和李杰分别直接持有公司</w:t>
      </w:r>
      <w:r>
        <w:rPr>
          <w:rFonts w:ascii="Times New Roman" w:hAnsi="Times New Roman" w:cs="Times New Roman" w:eastAsia="Times New Roman" w:hint="default"/>
        </w:rPr>
        <w:t>22.62%</w:t>
      </w:r>
      <w:r>
        <w:rPr/>
        <w:t>和</w:t>
      </w:r>
      <w:r>
        <w:rPr>
          <w:rFonts w:ascii="Times New Roman" w:hAnsi="Times New Roman" w:cs="Times New Roman" w:eastAsia="Times New Roman" w:hint="default"/>
        </w:rPr>
        <w:t>15.00%</w:t>
      </w:r>
      <w:r>
        <w:rPr/>
        <w:t>的股份，分列公司第一、二大股东。</w:t>
      </w:r>
    </w:p>
    <w:p>
      <w:pPr>
        <w:pStyle w:val="BodyText"/>
        <w:spacing w:line="340" w:lineRule="auto" w:before="13"/>
        <w:ind w:left="513" w:right="2773"/>
        <w:jc w:val="left"/>
      </w:pPr>
      <w:r>
        <w:rPr/>
        <w:t>刘强和李杰的基本情况详见本报告第七节</w:t>
      </w:r>
      <w:r>
        <w:rPr>
          <w:rFonts w:ascii="Times New Roman" w:hAnsi="Times New Roman" w:cs="Times New Roman" w:eastAsia="Times New Roman" w:hint="default"/>
        </w:rPr>
        <w:t>“</w:t>
      </w:r>
      <w:r>
        <w:rPr/>
        <w:t>董事、监事、高级管理人员和员工情况</w:t>
      </w:r>
      <w:r>
        <w:rPr>
          <w:rFonts w:ascii="Times New Roman" w:hAnsi="Times New Roman" w:cs="Times New Roman" w:eastAsia="Times New Roman" w:hint="default"/>
        </w:rPr>
        <w:t>”</w:t>
      </w:r>
      <w:r>
        <w:rPr/>
        <w:t>。 报告期内，本公司控股股东、实际控制人均未发生变化。</w:t>
      </w:r>
    </w:p>
    <w:p>
      <w:pPr>
        <w:spacing w:after="0" w:line="340"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2034" w:firstLine="360"/>
        <w:jc w:val="left"/>
      </w:pPr>
      <w:r>
        <w:rPr/>
        <w:t>刘强和李杰是一致行动人，两人共同拥有对公司的控制权，系公司的控股股东暨实际控制人。 公司与实际控制人之间的产权及控制关系的方框图</w:t>
      </w:r>
    </w:p>
    <w:p>
      <w:pPr>
        <w:spacing w:line="240" w:lineRule="auto" w:before="4"/>
        <w:rPr>
          <w:rFonts w:ascii="宋体" w:hAnsi="宋体" w:cs="宋体" w:eastAsia="宋体" w:hint="default"/>
          <w:sz w:val="25"/>
          <w:szCs w:val="25"/>
        </w:rPr>
      </w:pPr>
    </w:p>
    <w:p>
      <w:pPr>
        <w:spacing w:line="3435" w:lineRule="exact"/>
        <w:ind w:left="1919" w:right="0" w:firstLine="0"/>
        <w:rPr>
          <w:rFonts w:ascii="宋体" w:hAnsi="宋体" w:cs="宋体" w:eastAsia="宋体" w:hint="default"/>
          <w:sz w:val="20"/>
          <w:szCs w:val="20"/>
        </w:rPr>
      </w:pPr>
      <w:r>
        <w:rPr>
          <w:rFonts w:ascii="宋体" w:hAnsi="宋体" w:cs="宋体" w:eastAsia="宋体" w:hint="default"/>
          <w:position w:val="-68"/>
          <w:sz w:val="20"/>
          <w:szCs w:val="20"/>
        </w:rPr>
        <w:drawing>
          <wp:inline distT="0" distB="0" distL="0" distR="0">
            <wp:extent cx="3875053" cy="218122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3875053" cy="2181225"/>
                    </a:xfrm>
                    <a:prstGeom prst="rect">
                      <a:avLst/>
                    </a:prstGeom>
                  </pic:spPr>
                </pic:pic>
              </a:graphicData>
            </a:graphic>
          </wp:inline>
        </w:drawing>
      </w:r>
      <w:r>
        <w:rPr>
          <w:rFonts w:ascii="宋体" w:hAnsi="宋体" w:cs="宋体" w:eastAsia="宋体" w:hint="default"/>
          <w:position w:val="-68"/>
          <w:sz w:val="20"/>
          <w:szCs w:val="20"/>
        </w:rPr>
      </w:r>
    </w:p>
    <w:p>
      <w:pPr>
        <w:spacing w:line="240" w:lineRule="auto" w:before="4"/>
        <w:rPr>
          <w:rFonts w:ascii="宋体" w:hAnsi="宋体" w:cs="宋体" w:eastAsia="宋体" w:hint="default"/>
          <w:sz w:val="22"/>
          <w:szCs w:val="22"/>
        </w:rPr>
      </w:pPr>
    </w:p>
    <w:p>
      <w:pPr>
        <w:pStyle w:val="Heading3"/>
        <w:spacing w:line="240" w:lineRule="auto" w:before="26"/>
        <w:ind w:right="0"/>
        <w:jc w:val="left"/>
      </w:pPr>
      <w:r>
        <w:rPr/>
        <w:t>实际控制人通过信托或其他资产管理方式控制公司</w:t>
      </w:r>
    </w:p>
    <w:p>
      <w:pPr>
        <w:spacing w:line="240" w:lineRule="auto" w:before="8"/>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w:t>
      </w:r>
      <w:r>
        <w:rPr/>
        <w:t>、前</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名有限售条件股东持股数量及限售条件</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1" w:hanging="452"/>
              <w:jc w:val="left"/>
              <w:rPr>
                <w:rFonts w:ascii="宋体" w:hAnsi="宋体" w:cs="宋体" w:eastAsia="宋体" w:hint="default"/>
                <w:sz w:val="18"/>
                <w:szCs w:val="18"/>
              </w:rPr>
            </w:pPr>
            <w:r>
              <w:rPr>
                <w:rFonts w:ascii="宋体" w:hAnsi="宋体" w:cs="宋体" w:eastAsia="宋体" w:hint="default"/>
                <w:sz w:val="18"/>
                <w:szCs w:val="18"/>
              </w:rPr>
              <w:t>持有的有限售条件股份 数量（股）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23,520,423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冼永辉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4,492,800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1,497,600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4,492,800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1,497,600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刘飞</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许志鹏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487,500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晏晓京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487,500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鹿良礼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951,825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608,175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赵明漪</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682,500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首发承诺</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left="1799" w:right="0"/>
        <w:jc w:val="left"/>
        <w:rPr>
          <w:b w:val="0"/>
          <w:bCs w:val="0"/>
        </w:rPr>
      </w:pPr>
      <w:bookmarkStart w:name="_TOC_250003" w:id="7"/>
      <w:r>
        <w:rPr/>
        <w:t>第七节</w:t>
      </w:r>
      <w:r>
        <w:rPr>
          <w:spacing w:val="-8"/>
        </w:rPr>
        <w:t> </w:t>
      </w:r>
      <w:r>
        <w:rPr/>
        <w:t>董事、监事、高级管理人员和员工情况</w:t>
      </w:r>
      <w:bookmarkEnd w:id="7"/>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272" w:right="0"/>
        <w:jc w:val="left"/>
        <w:rPr>
          <w:b w:val="0"/>
          <w:bCs w:val="0"/>
        </w:rPr>
      </w:pPr>
      <w:r>
        <w:rPr/>
        <w:pict>
          <v:shape style="position:absolute;margin-left:310.487pt;margin-top:74.015594pt;width:50.95pt;height:20pt;mso-position-horizontal-relative:page;mso-position-vertical-relative:paragraph;z-index:-649576" type="#_x0000_t202" filled="false" stroked="false">
            <v:textbox inset="0,0,0,0">
              <w:txbxContent>
                <w:p>
                  <w:pPr>
                    <w:spacing w:line="240" w:lineRule="auto" w:before="7"/>
                    <w:rPr>
                      <w:rFonts w:ascii="宋体" w:hAnsi="宋体" w:cs="宋体" w:eastAsia="宋体" w:hint="default"/>
                      <w:b/>
                      <w:bCs/>
                      <w:sz w:val="12"/>
                      <w:szCs w:val="12"/>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0" w:type="dxa"/>
        <w:tblLayout w:type="fixed"/>
        <w:tblCellMar>
          <w:top w:w="0" w:type="dxa"/>
          <w:left w:w="0" w:type="dxa"/>
          <w:bottom w:w="0" w:type="dxa"/>
          <w:right w:w="0" w:type="dxa"/>
        </w:tblCellMar>
        <w:tblLook w:val="01E0"/>
      </w:tblPr>
      <w:tblGrid>
        <w:gridCol w:w="682"/>
        <w:gridCol w:w="734"/>
        <w:gridCol w:w="336"/>
        <w:gridCol w:w="286"/>
        <w:gridCol w:w="850"/>
        <w:gridCol w:w="852"/>
        <w:gridCol w:w="991"/>
        <w:gridCol w:w="992"/>
        <w:gridCol w:w="566"/>
        <w:gridCol w:w="994"/>
        <w:gridCol w:w="567"/>
        <w:gridCol w:w="684"/>
        <w:gridCol w:w="593"/>
        <w:gridCol w:w="850"/>
      </w:tblGrid>
      <w:tr>
        <w:trPr>
          <w:trHeight w:val="1964" w:hRule="exact"/>
        </w:trPr>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154"/>
              <w:jc w:val="right"/>
              <w:rPr>
                <w:rFonts w:ascii="宋体" w:hAnsi="宋体" w:cs="宋体" w:eastAsia="宋体" w:hint="default"/>
                <w:sz w:val="18"/>
                <w:szCs w:val="18"/>
              </w:rPr>
            </w:pPr>
            <w:r>
              <w:rPr>
                <w:rFonts w:ascii="宋体" w:hAnsi="宋体" w:cs="宋体" w:eastAsia="宋体" w:hint="default"/>
                <w:sz w:val="18"/>
                <w:szCs w:val="18"/>
              </w:rPr>
              <w:t>姓名</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8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76" w:right="67"/>
              <w:jc w:val="left"/>
              <w:rPr>
                <w:rFonts w:ascii="宋体" w:hAnsi="宋体" w:cs="宋体" w:eastAsia="宋体" w:hint="default"/>
                <w:sz w:val="18"/>
                <w:szCs w:val="18"/>
              </w:rPr>
            </w:pPr>
            <w:r>
              <w:rPr>
                <w:rFonts w:ascii="宋体" w:hAnsi="宋体" w:cs="宋体" w:eastAsia="宋体" w:hint="default"/>
                <w:sz w:val="18"/>
                <w:szCs w:val="18"/>
              </w:rPr>
              <w:t>性 别</w:t>
            </w:r>
          </w:p>
        </w:tc>
        <w:tc>
          <w:tcPr>
            <w:tcW w:w="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50" w:right="43"/>
              <w:jc w:val="left"/>
              <w:rPr>
                <w:rFonts w:ascii="宋体" w:hAnsi="宋体" w:cs="宋体" w:eastAsia="宋体" w:hint="default"/>
                <w:sz w:val="18"/>
                <w:szCs w:val="18"/>
              </w:rPr>
            </w:pPr>
            <w:r>
              <w:rPr>
                <w:rFonts w:ascii="宋体" w:hAnsi="宋体" w:cs="宋体" w:eastAsia="宋体" w:hint="default"/>
                <w:sz w:val="18"/>
                <w:szCs w:val="18"/>
              </w:rPr>
              <w:t>年 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40" w:right="5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40" w:right="60"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3" w:right="39" w:firstLine="16"/>
              <w:jc w:val="left"/>
              <w:rPr>
                <w:rFonts w:ascii="宋体" w:hAnsi="宋体" w:cs="宋体" w:eastAsia="宋体" w:hint="default"/>
                <w:sz w:val="18"/>
                <w:szCs w:val="18"/>
              </w:rPr>
            </w:pPr>
            <w:r>
              <w:rPr>
                <w:rFonts w:ascii="宋体" w:hAnsi="宋体" w:cs="宋体" w:eastAsia="宋体" w:hint="default"/>
                <w:sz w:val="18"/>
                <w:szCs w:val="18"/>
              </w:rPr>
              <w:t>本期增持股 份数量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本期 减持 股份 数量</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both"/>
              <w:rPr>
                <w:rFonts w:ascii="宋体" w:hAnsi="宋体" w:cs="宋体" w:eastAsia="宋体" w:hint="default"/>
                <w:sz w:val="18"/>
                <w:szCs w:val="18"/>
              </w:rPr>
            </w:pPr>
            <w:r>
              <w:rPr>
                <w:rFonts w:ascii="宋体" w:hAnsi="宋体" w:cs="宋体" w:eastAsia="宋体" w:hint="default"/>
                <w:sz w:val="18"/>
                <w:szCs w:val="18"/>
              </w:rPr>
              <w:t>期初 持有 股票 期权 数量</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2"/>
              <w:jc w:val="both"/>
              <w:rPr>
                <w:rFonts w:ascii="宋体" w:hAnsi="宋体" w:cs="宋体" w:eastAsia="宋体" w:hint="default"/>
                <w:sz w:val="18"/>
                <w:szCs w:val="18"/>
              </w:rPr>
            </w:pPr>
            <w:r>
              <w:rPr>
                <w:rFonts w:ascii="宋体" w:hAnsi="宋体" w:cs="宋体" w:eastAsia="宋体" w:hint="default"/>
                <w:sz w:val="18"/>
                <w:szCs w:val="18"/>
              </w:rPr>
              <w:t>其中： 被授予 的限制 性股票 数量</w:t>
            </w:r>
          </w:p>
          <w:p>
            <w:pPr>
              <w:pStyle w:val="TableParagraph"/>
              <w:spacing w:line="240" w:lineRule="auto" w:before="19"/>
              <w:ind w:left="6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10"/>
              <w:jc w:val="both"/>
              <w:rPr>
                <w:rFonts w:ascii="宋体" w:hAnsi="宋体" w:cs="宋体" w:eastAsia="宋体" w:hint="default"/>
                <w:sz w:val="18"/>
                <w:szCs w:val="18"/>
              </w:rPr>
            </w:pPr>
            <w:r>
              <w:rPr>
                <w:rFonts w:ascii="宋体" w:hAnsi="宋体" w:cs="宋体" w:eastAsia="宋体" w:hint="default"/>
                <w:sz w:val="18"/>
                <w:szCs w:val="18"/>
              </w:rPr>
              <w:t>期末 持有 股票 期权 数量</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60" w:right="0"/>
              <w:jc w:val="left"/>
              <w:rPr>
                <w:rFonts w:ascii="宋体" w:hAnsi="宋体" w:cs="宋体" w:eastAsia="宋体" w:hint="default"/>
                <w:sz w:val="18"/>
                <w:szCs w:val="18"/>
              </w:rPr>
            </w:pPr>
            <w:r>
              <w:rPr>
                <w:rFonts w:ascii="宋体" w:hAnsi="宋体" w:cs="宋体" w:eastAsia="宋体" w:hint="default"/>
                <w:sz w:val="18"/>
                <w:szCs w:val="18"/>
              </w:rPr>
              <w:t>变动原因</w:t>
            </w:r>
          </w:p>
        </w:tc>
      </w:tr>
      <w:tr>
        <w:trPr>
          <w:trHeight w:val="713"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刘 </w:t>
            </w:r>
            <w:r>
              <w:rPr>
                <w:rFonts w:ascii="宋体" w:hAnsi="宋体" w:cs="宋体" w:eastAsia="宋体" w:hint="default"/>
                <w:spacing w:val="2"/>
                <w:sz w:val="18"/>
                <w:szCs w:val="18"/>
              </w:rPr>
              <w:t> </w:t>
            </w:r>
            <w:r>
              <w:rPr>
                <w:rFonts w:ascii="宋体" w:hAnsi="宋体" w:cs="宋体" w:eastAsia="宋体" w:hint="default"/>
                <w:sz w:val="18"/>
                <w:szCs w:val="18"/>
              </w:rPr>
              <w:t>强</w:t>
            </w:r>
          </w:p>
        </w:tc>
        <w:tc>
          <w:tcPr>
            <w:tcW w:w="734" w:type="dxa"/>
            <w:tcBorders>
              <w:top w:val="single" w:sz="4" w:space="0" w:color="000000"/>
              <w:left w:val="single" w:sz="4" w:space="0" w:color="000000"/>
              <w:bottom w:val="single" w:sz="4" w:space="0" w:color="000000"/>
              <w:right w:val="single" w:sz="14" w:space="0" w:color="FFFFFF"/>
            </w:tcBorders>
          </w:tcPr>
          <w:p>
            <w:pPr>
              <w:pStyle w:val="TableParagraph"/>
              <w:spacing w:line="314" w:lineRule="auto" w:before="49"/>
              <w:ind w:left="24" w:right="-33"/>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336" w:type="dxa"/>
            <w:tcBorders>
              <w:top w:val="single" w:sz="4" w:space="0" w:color="000000"/>
              <w:left w:val="single" w:sz="14"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18,092,633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5,427,790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23,520,423</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资本公积 金转增</w:t>
            </w:r>
          </w:p>
        </w:tc>
      </w:tr>
      <w:tr>
        <w:trPr>
          <w:trHeight w:val="715"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杰</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15,600,000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资本公积 金转增</w:t>
            </w:r>
          </w:p>
        </w:tc>
      </w:tr>
      <w:tr>
        <w:trPr>
          <w:trHeight w:val="713"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紧</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11"/>
                <w:sz w:val="18"/>
                <w:szCs w:val="18"/>
              </w:rPr>
              <w:t>董事、副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总经理</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4,608,000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1,382,400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5,990,400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资本公积 金转增</w:t>
            </w:r>
          </w:p>
        </w:tc>
      </w:tr>
      <w:tr>
        <w:trPr>
          <w:trHeight w:val="715"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冼永辉</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副总经 </w:t>
            </w:r>
            <w:r>
              <w:rPr>
                <w:rFonts w:ascii="宋体" w:hAnsi="宋体" w:cs="宋体" w:eastAsia="宋体" w:hint="default"/>
                <w:spacing w:val="-11"/>
                <w:sz w:val="18"/>
                <w:szCs w:val="18"/>
              </w:rPr>
              <w:t>理、董事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4,608,000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1,382,400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5,990,400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资本公积 金转增</w:t>
            </w:r>
          </w:p>
        </w:tc>
      </w:tr>
      <w:tr>
        <w:trPr>
          <w:trHeight w:val="713"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刘维锦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王芹生</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傅代国</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晏晓京</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资本公积 金转增</w:t>
            </w:r>
          </w:p>
        </w:tc>
      </w:tr>
      <w:tr>
        <w:trPr>
          <w:trHeight w:val="713"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许志鹏</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资本公积 金转增</w:t>
            </w:r>
          </w:p>
        </w:tc>
      </w:tr>
      <w:tr>
        <w:trPr>
          <w:trHeight w:val="716"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葛 </w:t>
            </w:r>
            <w:r>
              <w:rPr>
                <w:rFonts w:ascii="宋体" w:hAnsi="宋体" w:cs="宋体" w:eastAsia="宋体" w:hint="default"/>
                <w:spacing w:val="2"/>
                <w:sz w:val="18"/>
                <w:szCs w:val="18"/>
              </w:rPr>
              <w:t> </w:t>
            </w:r>
            <w:r>
              <w:rPr>
                <w:rFonts w:ascii="宋体" w:hAnsi="宋体" w:cs="宋体" w:eastAsia="宋体" w:hint="default"/>
                <w:sz w:val="18"/>
                <w:szCs w:val="18"/>
              </w:rPr>
              <w:t>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姜 </w:t>
            </w:r>
            <w:r>
              <w:rPr>
                <w:rFonts w:ascii="宋体" w:hAnsi="宋体" w:cs="宋体" w:eastAsia="宋体" w:hint="default"/>
                <w:spacing w:val="2"/>
                <w:sz w:val="18"/>
                <w:szCs w:val="18"/>
              </w:rPr>
              <w:t> </w:t>
            </w:r>
            <w:r>
              <w:rPr>
                <w:rFonts w:ascii="宋体" w:hAnsi="宋体" w:cs="宋体" w:eastAsia="宋体" w:hint="default"/>
                <w:sz w:val="18"/>
                <w:szCs w:val="18"/>
              </w:rPr>
              <w:t>君</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职工监 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资本公积 金转增</w:t>
            </w:r>
          </w:p>
        </w:tc>
      </w:tr>
      <w:tr>
        <w:trPr>
          <w:trHeight w:val="1027"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06"/>
              <w:jc w:val="right"/>
              <w:rPr>
                <w:rFonts w:ascii="宋体" w:hAnsi="宋体" w:cs="宋体" w:eastAsia="宋体" w:hint="default"/>
                <w:sz w:val="18"/>
                <w:szCs w:val="18"/>
              </w:rPr>
            </w:pPr>
            <w:r>
              <w:rPr>
                <w:rFonts w:ascii="宋体" w:hAnsi="宋体" w:cs="宋体" w:eastAsia="宋体" w:hint="default"/>
                <w:sz w:val="18"/>
                <w:szCs w:val="18"/>
              </w:rPr>
              <w:t>张燕祥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副总经 </w:t>
            </w:r>
            <w:r>
              <w:rPr>
                <w:rFonts w:ascii="宋体" w:hAnsi="宋体" w:cs="宋体" w:eastAsia="宋体" w:hint="default"/>
                <w:spacing w:val="-11"/>
                <w:sz w:val="18"/>
                <w:szCs w:val="18"/>
              </w:rPr>
              <w:t>理、财务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总监</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资本公积 金转增</w:t>
            </w:r>
          </w:p>
        </w:tc>
      </w:tr>
      <w:tr>
        <w:trPr>
          <w:trHeight w:val="1025"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敏</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副总经 </w:t>
            </w:r>
            <w:r>
              <w:rPr>
                <w:rFonts w:ascii="宋体" w:hAnsi="宋体" w:cs="宋体" w:eastAsia="宋体" w:hint="default"/>
                <w:spacing w:val="-11"/>
                <w:sz w:val="18"/>
                <w:szCs w:val="18"/>
              </w:rPr>
              <w:t>理、董事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会秘书</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95"/>
              <w:jc w:val="left"/>
              <w:rPr>
                <w:rFonts w:ascii="宋体" w:hAnsi="宋体" w:cs="宋体" w:eastAsia="宋体" w:hint="default"/>
                <w:sz w:val="18"/>
                <w:szCs w:val="18"/>
              </w:rPr>
            </w:pPr>
            <w:r>
              <w:rPr>
                <w:rFonts w:ascii="宋体" w:hAnsi="宋体" w:cs="宋体" w:eastAsia="宋体" w:hint="default"/>
                <w:sz w:val="18"/>
                <w:szCs w:val="18"/>
              </w:rPr>
              <w:t>资本公积 金转增</w:t>
            </w:r>
          </w:p>
        </w:tc>
      </w:tr>
    </w:tbl>
    <w:p>
      <w:pPr>
        <w:spacing w:after="0" w:line="314" w:lineRule="auto"/>
        <w:jc w:val="left"/>
        <w:rPr>
          <w:rFonts w:ascii="宋体" w:hAnsi="宋体" w:cs="宋体" w:eastAsia="宋体" w:hint="default"/>
          <w:sz w:val="18"/>
          <w:szCs w:val="18"/>
        </w:rPr>
        <w:sectPr>
          <w:pgSz w:w="11910" w:h="16840"/>
          <w:pgMar w:header="877" w:footer="980" w:top="1100" w:bottom="1160" w:left="860" w:right="840"/>
        </w:sectPr>
      </w:pPr>
    </w:p>
    <w:p>
      <w:pPr>
        <w:spacing w:line="240" w:lineRule="auto" w:before="8"/>
        <w:rPr>
          <w:rFonts w:ascii="宋体" w:hAnsi="宋体" w:cs="宋体" w:eastAsia="宋体" w:hint="default"/>
          <w:b/>
          <w:bCs/>
          <w:sz w:val="24"/>
          <w:szCs w:val="24"/>
        </w:rPr>
      </w:pPr>
    </w:p>
    <w:tbl>
      <w:tblPr>
        <w:tblW w:w="0" w:type="auto"/>
        <w:jc w:val="left"/>
        <w:tblInd w:w="100" w:type="dxa"/>
        <w:tblLayout w:type="fixed"/>
        <w:tblCellMar>
          <w:top w:w="0" w:type="dxa"/>
          <w:left w:w="0" w:type="dxa"/>
          <w:bottom w:w="0" w:type="dxa"/>
          <w:right w:w="0" w:type="dxa"/>
        </w:tblCellMar>
        <w:tblLook w:val="01E0"/>
      </w:tblPr>
      <w:tblGrid>
        <w:gridCol w:w="682"/>
        <w:gridCol w:w="734"/>
        <w:gridCol w:w="336"/>
        <w:gridCol w:w="286"/>
        <w:gridCol w:w="850"/>
        <w:gridCol w:w="852"/>
        <w:gridCol w:w="991"/>
        <w:gridCol w:w="992"/>
        <w:gridCol w:w="566"/>
        <w:gridCol w:w="994"/>
        <w:gridCol w:w="567"/>
        <w:gridCol w:w="684"/>
        <w:gridCol w:w="593"/>
        <w:gridCol w:w="850"/>
      </w:tblGrid>
      <w:tr>
        <w:trPr>
          <w:trHeight w:val="713"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周生雷</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男</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赖亚明</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8"/>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男</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
              <w:jc w:val="right"/>
              <w:rPr>
                <w:rFonts w:ascii="宋体" w:hAnsi="宋体" w:cs="宋体" w:eastAsia="宋体" w:hint="default"/>
                <w:sz w:val="18"/>
                <w:szCs w:val="18"/>
              </w:rPr>
            </w:pPr>
            <w:r>
              <w:rPr>
                <w:rFonts w:ascii="宋体" w:hAnsi="宋体" w:cs="宋体" w:eastAsia="宋体" w:hint="default"/>
                <w:sz w:val="18"/>
                <w:szCs w:val="18"/>
              </w:rPr>
              <w:t>合计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c>
          <w:tcPr>
            <w:tcW w:w="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45,308,633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13,592,590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58,901,223</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b/>
          <w:bCs/>
          <w:sz w:val="18"/>
          <w:szCs w:val="18"/>
        </w:rPr>
      </w:pPr>
    </w:p>
    <w:p>
      <w:pPr>
        <w:pStyle w:val="Heading2"/>
        <w:spacing w:line="240" w:lineRule="auto" w:before="26"/>
        <w:ind w:left="272" w:right="0"/>
        <w:jc w:val="left"/>
        <w:rPr>
          <w:b w:val="0"/>
          <w:bCs w:val="0"/>
        </w:rPr>
      </w:pPr>
      <w:r>
        <w:rPr/>
        <w:t>二、任职情况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72" w:right="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340" w:lineRule="auto" w:before="103"/>
        <w:ind w:left="633" w:right="0"/>
        <w:jc w:val="left"/>
      </w:pPr>
      <w:r>
        <w:rPr>
          <w:rFonts w:ascii="Times New Roman" w:hAnsi="Times New Roman" w:cs="Times New Roman" w:eastAsia="Times New Roman" w:hint="default"/>
        </w:rPr>
        <w:t>1</w:t>
      </w:r>
      <w:r>
        <w:rPr/>
        <w:t>、董事 </w:t>
      </w:r>
      <w:r>
        <w:rPr>
          <w:rFonts w:ascii="宋体" w:hAnsi="宋体" w:cs="宋体" w:eastAsia="宋体" w:hint="default"/>
          <w:b/>
          <w:bCs/>
          <w:spacing w:val="-2"/>
        </w:rPr>
        <w:t>刘强先生</w:t>
      </w:r>
      <w:r>
        <w:rPr>
          <w:spacing w:val="-2"/>
        </w:rPr>
        <w:t>，公司董事长、总经理，中国国籍，无境外永久居住权。刘强先生出生于</w:t>
      </w:r>
      <w:r>
        <w:rPr>
          <w:rFonts w:ascii="Times New Roman" w:hAnsi="Times New Roman" w:cs="Times New Roman" w:eastAsia="Times New Roman" w:hint="default"/>
          <w:spacing w:val="-2"/>
        </w:rPr>
        <w:t>1969</w:t>
      </w:r>
      <w:r>
        <w:rPr>
          <w:spacing w:val="-2"/>
        </w:rPr>
        <w:t>年，拥有清华大学学士学位和中</w:t>
      </w:r>
    </w:p>
    <w:p>
      <w:pPr>
        <w:pStyle w:val="BodyText"/>
        <w:spacing w:line="229" w:lineRule="exact"/>
        <w:ind w:left="272" w:right="0"/>
        <w:jc w:val="left"/>
      </w:pPr>
      <w:r>
        <w:rPr>
          <w:spacing w:val="-3"/>
        </w:rPr>
        <w:t>国科学院计算技术研究所（以下简称</w:t>
      </w:r>
      <w:r>
        <w:rPr>
          <w:rFonts w:ascii="Times New Roman" w:hAnsi="Times New Roman" w:cs="Times New Roman" w:eastAsia="Times New Roman" w:hint="default"/>
          <w:spacing w:val="-3"/>
        </w:rPr>
        <w:t>“</w:t>
      </w:r>
      <w:r>
        <w:rPr>
          <w:spacing w:val="-3"/>
        </w:rPr>
        <w:t>中科院计算所</w:t>
      </w:r>
      <w:r>
        <w:rPr>
          <w:rFonts w:ascii="Times New Roman" w:hAnsi="Times New Roman" w:cs="Times New Roman" w:eastAsia="Times New Roman" w:hint="default"/>
          <w:spacing w:val="-3"/>
        </w:rPr>
        <w:t>”</w:t>
      </w:r>
      <w:r>
        <w:rPr>
          <w:spacing w:val="-3"/>
        </w:rPr>
        <w:t>）工学博士学位。刘强先生先后在北京百拓立克科技发展有限责任公司、</w:t>
      </w:r>
    </w:p>
    <w:p>
      <w:pPr>
        <w:pStyle w:val="BodyText"/>
        <w:spacing w:line="300" w:lineRule="auto" w:before="63"/>
        <w:ind w:left="272" w:right="366"/>
        <w:jc w:val="left"/>
      </w:pPr>
      <w:r>
        <w:rPr/>
        <w:t>方舟科技（北京）有限公司任职，</w:t>
      </w:r>
      <w:r>
        <w:rPr>
          <w:rFonts w:ascii="Times New Roman" w:hAnsi="Times New Roman" w:cs="Times New Roman" w:eastAsia="Times New Roman" w:hint="default"/>
        </w:rPr>
        <w:t>2005</w:t>
      </w:r>
      <w:r>
        <w:rPr/>
        <w:t>年至</w:t>
      </w:r>
      <w:r>
        <w:rPr>
          <w:rFonts w:ascii="Times New Roman" w:hAnsi="Times New Roman" w:cs="Times New Roman" w:eastAsia="Times New Roman" w:hint="default"/>
        </w:rPr>
        <w:t>2009</w:t>
      </w:r>
      <w:r>
        <w:rPr/>
        <w:t>年任君正有限董事长、总经理，领导研发了嵌入式</w:t>
      </w:r>
      <w:r>
        <w:rPr>
          <w:rFonts w:ascii="Times New Roman" w:hAnsi="Times New Roman" w:cs="Times New Roman" w:eastAsia="Times New Roman" w:hint="default"/>
        </w:rPr>
        <w:t>XBurst</w:t>
      </w:r>
      <w:r>
        <w:rPr>
          <w:rFonts w:ascii="Times New Roman" w:hAnsi="Times New Roman" w:cs="Times New Roman" w:eastAsia="Times New Roman" w:hint="default"/>
          <w:spacing w:val="-7"/>
        </w:rPr>
        <w:t> </w:t>
      </w:r>
      <w:r>
        <w:rPr>
          <w:rFonts w:ascii="Times New Roman" w:hAnsi="Times New Roman" w:cs="Times New Roman" w:eastAsia="Times New Roman" w:hint="default"/>
        </w:rPr>
        <w:t>CPU</w:t>
      </w:r>
      <w:r>
        <w:rPr/>
        <w:t>，现任北京 君正董事长、总经理，君正时代执行董事。</w:t>
      </w:r>
    </w:p>
    <w:p>
      <w:pPr>
        <w:pStyle w:val="BodyText"/>
        <w:spacing w:line="309" w:lineRule="auto" w:before="70"/>
        <w:ind w:left="272" w:right="0" w:firstLine="360"/>
        <w:jc w:val="left"/>
      </w:pPr>
      <w:r>
        <w:rPr>
          <w:rFonts w:ascii="宋体" w:hAnsi="宋体" w:cs="宋体" w:eastAsia="宋体" w:hint="default"/>
          <w:b/>
          <w:bCs/>
          <w:spacing w:val="-2"/>
        </w:rPr>
        <w:t>李杰先生</w:t>
      </w:r>
      <w:r>
        <w:rPr>
          <w:spacing w:val="-2"/>
        </w:rPr>
        <w:t>，公司董事，中国国籍，无境外永久居住权。李杰先生出生于</w:t>
      </w:r>
      <w:r>
        <w:rPr>
          <w:rFonts w:ascii="Times New Roman" w:hAnsi="Times New Roman" w:cs="Times New Roman" w:eastAsia="Times New Roman" w:hint="default"/>
          <w:spacing w:val="-2"/>
        </w:rPr>
        <w:t>1963</w:t>
      </w:r>
      <w:r>
        <w:rPr>
          <w:spacing w:val="-2"/>
        </w:rPr>
        <w:t>年，拥有清华大学学士学位、中科院计算所</w:t>
      </w:r>
      <w:r>
        <w:rPr/>
        <w:t> </w:t>
      </w:r>
      <w:r>
        <w:rPr>
          <w:spacing w:val="-4"/>
        </w:rPr>
        <w:t>软件工程硕士学位。李杰先生曾在中科院计算所任职，从事大型机的研制工作，曾任庚顿数据执行董事，现任北京君正董事、</w:t>
      </w:r>
      <w:r>
        <w:rPr>
          <w:spacing w:val="-46"/>
        </w:rPr>
        <w:t> </w:t>
      </w:r>
      <w:r>
        <w:rPr>
          <w:spacing w:val="-46"/>
        </w:rPr>
      </w:r>
      <w:r>
        <w:rPr/>
        <w:t>南山高科总经理、西邦信息执行董事和总经理、北京华如科技股份有限公司董事长。</w:t>
      </w:r>
    </w:p>
    <w:p>
      <w:pPr>
        <w:pStyle w:val="BodyText"/>
        <w:spacing w:line="304" w:lineRule="auto" w:before="65"/>
        <w:ind w:left="272" w:right="0" w:firstLine="360"/>
        <w:jc w:val="left"/>
      </w:pPr>
      <w:r>
        <w:rPr>
          <w:rFonts w:ascii="宋体" w:hAnsi="宋体" w:cs="宋体" w:eastAsia="宋体" w:hint="default"/>
          <w:b/>
          <w:bCs/>
          <w:spacing w:val="-2"/>
        </w:rPr>
        <w:t>张紧先生</w:t>
      </w:r>
      <w:r>
        <w:rPr>
          <w:spacing w:val="-2"/>
        </w:rPr>
        <w:t>，公司董事、副总经理，中国国籍，无境外永久居住权。张紧先生出生于</w:t>
      </w:r>
      <w:r>
        <w:rPr>
          <w:rFonts w:ascii="Times New Roman" w:hAnsi="Times New Roman" w:cs="Times New Roman" w:eastAsia="Times New Roman" w:hint="default"/>
          <w:spacing w:val="-2"/>
        </w:rPr>
        <w:t>1962</w:t>
      </w:r>
      <w:r>
        <w:rPr>
          <w:spacing w:val="-2"/>
        </w:rPr>
        <w:t>年，拥有中国科学技术大学核物</w:t>
      </w:r>
      <w:r>
        <w:rPr/>
        <w:t> </w:t>
      </w:r>
      <w:r>
        <w:rPr>
          <w:spacing w:val="-2"/>
        </w:rPr>
        <w:t>理专业学士学位、中国原子能科学研究院核物理所物理专业硕士学位。张紧先生先后在中国原子能科学研究院核物理所、北</w:t>
      </w:r>
      <w:r>
        <w:rPr>
          <w:spacing w:val="-63"/>
        </w:rPr>
        <w:t> </w:t>
      </w:r>
      <w:r>
        <w:rPr>
          <w:spacing w:val="-63"/>
        </w:rPr>
      </w:r>
      <w:r>
        <w:rPr>
          <w:spacing w:val="-2"/>
        </w:rPr>
        <w:t>京百拓立克科技发展有限责任公司、方舟科技（北京）有限公司任职，</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2009</w:t>
      </w:r>
      <w:r>
        <w:rPr>
          <w:spacing w:val="-2"/>
        </w:rPr>
        <w:t>年任君正有限董事、副总经理、技术总</w:t>
      </w:r>
      <w:r>
        <w:rPr>
          <w:spacing w:val="-62"/>
        </w:rPr>
        <w:t> </w:t>
      </w:r>
      <w:r>
        <w:rPr>
          <w:spacing w:val="-62"/>
        </w:rPr>
      </w:r>
      <w:r>
        <w:rPr/>
        <w:t>监，现任北京君正董事、副总经理。张紧先生精通芯片的体系结构、微体系结构和逻辑电路，领导了公司多个嵌入式</w:t>
      </w:r>
      <w:r>
        <w:rPr>
          <w:rFonts w:ascii="Times New Roman" w:hAnsi="Times New Roman" w:cs="Times New Roman" w:eastAsia="Times New Roman" w:hint="default"/>
        </w:rPr>
        <w:t>CPU</w:t>
      </w:r>
      <w:r>
        <w:rPr>
          <w:rFonts w:ascii="Times New Roman" w:hAnsi="Times New Roman" w:cs="Times New Roman" w:eastAsia="Times New Roman" w:hint="default"/>
          <w:w w:val="99"/>
        </w:rPr>
        <w:t> </w:t>
      </w:r>
      <w:r>
        <w:rPr/>
        <w:t>芯片研发项目。</w:t>
      </w:r>
    </w:p>
    <w:p>
      <w:pPr>
        <w:pStyle w:val="BodyText"/>
        <w:spacing w:line="309" w:lineRule="auto" w:before="69"/>
        <w:ind w:left="272" w:right="0" w:firstLine="360"/>
        <w:jc w:val="left"/>
      </w:pPr>
      <w:r>
        <w:rPr>
          <w:rFonts w:ascii="宋体" w:hAnsi="宋体" w:cs="宋体" w:eastAsia="宋体" w:hint="default"/>
          <w:b/>
          <w:bCs/>
          <w:spacing w:val="-2"/>
        </w:rPr>
        <w:t>冼永辉先生</w:t>
      </w:r>
      <w:r>
        <w:rPr>
          <w:spacing w:val="-2"/>
        </w:rPr>
        <w:t>，公司董事、副总经理，中国国籍，无境外永久居住权。冼永辉先生出生于</w:t>
      </w:r>
      <w:r>
        <w:rPr>
          <w:rFonts w:ascii="Times New Roman" w:hAnsi="Times New Roman" w:cs="Times New Roman" w:eastAsia="Times New Roman" w:hint="default"/>
          <w:spacing w:val="-2"/>
        </w:rPr>
        <w:t>1968</w:t>
      </w:r>
      <w:r>
        <w:rPr>
          <w:spacing w:val="-2"/>
        </w:rPr>
        <w:t>年，拥有华中理工大学电子</w:t>
      </w:r>
      <w:r>
        <w:rPr/>
        <w:t> </w:t>
      </w:r>
      <w:r>
        <w:rPr>
          <w:spacing w:val="-2"/>
        </w:rPr>
        <w:t>与信息工程系微波技术专业学士学位。冼永辉先生先后在北京首钢计算机公司、北京百拓立克科技发展有限责任公司、方舟</w:t>
      </w:r>
      <w:r>
        <w:rPr>
          <w:spacing w:val="-63"/>
        </w:rPr>
        <w:t> </w:t>
      </w:r>
      <w:r>
        <w:rPr>
          <w:spacing w:val="-63"/>
        </w:rPr>
      </w:r>
      <w:r>
        <w:rPr>
          <w:spacing w:val="-2"/>
        </w:rPr>
        <w:t>科技（北京）有限公司任职，</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2009</w:t>
      </w:r>
      <w:r>
        <w:rPr>
          <w:spacing w:val="-2"/>
        </w:rPr>
        <w:t>年任君正有限董事、副总经理，</w:t>
      </w:r>
      <w:r>
        <w:rPr>
          <w:rFonts w:ascii="Times New Roman" w:hAnsi="Times New Roman" w:cs="Times New Roman" w:eastAsia="Times New Roman" w:hint="default"/>
          <w:spacing w:val="-2"/>
        </w:rPr>
        <w:t>2009</w:t>
      </w:r>
      <w:r>
        <w:rPr>
          <w:spacing w:val="-2"/>
        </w:rPr>
        <w:t>年至</w:t>
      </w:r>
      <w:r>
        <w:rPr>
          <w:rFonts w:ascii="Times New Roman" w:hAnsi="Times New Roman" w:cs="Times New Roman" w:eastAsia="Times New Roman" w:hint="default"/>
          <w:spacing w:val="-2"/>
        </w:rPr>
        <w:t>2012</w:t>
      </w:r>
      <w:r>
        <w:rPr>
          <w:spacing w:val="-2"/>
        </w:rPr>
        <w:t>年任公司副总经理，现任北京君正</w:t>
      </w:r>
      <w:r>
        <w:rPr>
          <w:spacing w:val="-57"/>
        </w:rPr>
        <w:t> </w:t>
      </w:r>
      <w:r>
        <w:rPr>
          <w:spacing w:val="-57"/>
        </w:rPr>
      </w:r>
      <w:r>
        <w:rPr/>
        <w:t>董事、副总经理。冼永辉先生负责公司的系统软硬件工作，是硬件电路、操作系统底层、中间件领域的专家，主持了公司 </w:t>
      </w:r>
      <w:r>
        <w:rPr>
          <w:rFonts w:ascii="Times New Roman" w:hAnsi="Times New Roman" w:cs="Times New Roman" w:eastAsia="Times New Roman" w:hint="default"/>
        </w:rPr>
        <w:t>Linux</w:t>
      </w:r>
      <w:r>
        <w:rPr/>
        <w:t>、</w:t>
      </w:r>
      <w:r>
        <w:rPr>
          <w:rFonts w:ascii="Times New Roman" w:hAnsi="Times New Roman" w:cs="Times New Roman" w:eastAsia="Times New Roman" w:hint="default"/>
        </w:rPr>
        <w:t>Android</w:t>
      </w:r>
      <w:r>
        <w:rPr/>
        <w:t>平台及</w:t>
      </w:r>
      <w:r>
        <w:rPr>
          <w:rFonts w:ascii="Times New Roman" w:hAnsi="Times New Roman" w:cs="Times New Roman" w:eastAsia="Times New Roman" w:hint="default"/>
        </w:rPr>
        <w:t>PMP</w:t>
      </w:r>
      <w:r>
        <w:rPr/>
        <w:t>方案和智能手机方案的研发项目。</w:t>
      </w:r>
    </w:p>
    <w:p>
      <w:pPr>
        <w:pStyle w:val="BodyText"/>
        <w:spacing w:line="312" w:lineRule="auto" w:before="43"/>
        <w:ind w:left="272" w:right="0" w:firstLine="360"/>
        <w:jc w:val="left"/>
      </w:pPr>
      <w:r>
        <w:rPr>
          <w:rFonts w:ascii="宋体" w:hAnsi="宋体" w:cs="宋体" w:eastAsia="宋体" w:hint="default"/>
          <w:b/>
          <w:bCs/>
          <w:spacing w:val="-4"/>
        </w:rPr>
        <w:t>王芹生女士</w:t>
      </w:r>
      <w:r>
        <w:rPr>
          <w:spacing w:val="-4"/>
        </w:rPr>
        <w:t>，公司独立董事，中国国籍，无境外永久居住权。王芹生女士出生于</w:t>
      </w:r>
      <w:r>
        <w:rPr>
          <w:rFonts w:ascii="Times New Roman" w:hAnsi="Times New Roman" w:cs="Times New Roman" w:eastAsia="Times New Roman" w:hint="default"/>
          <w:spacing w:val="-4"/>
        </w:rPr>
        <w:t>1942</w:t>
      </w:r>
      <w:r>
        <w:rPr>
          <w:spacing w:val="-4"/>
        </w:rPr>
        <w:t>年，毕业于北京航空学院计算机系。</w:t>
      </w:r>
      <w:r>
        <w:rPr/>
        <w:t> </w:t>
      </w:r>
      <w:r>
        <w:rPr>
          <w:spacing w:val="-4"/>
        </w:rPr>
        <w:t>王芹生女士先后在中国华大集成电路设计集团有限公司、北京华大电子设计有限责任公司、北京华大信安科技有限公司任职，</w:t>
      </w:r>
      <w:r>
        <w:rPr>
          <w:spacing w:val="-44"/>
        </w:rPr>
        <w:t> </w:t>
      </w:r>
      <w:r>
        <w:rPr>
          <w:spacing w:val="-44"/>
        </w:rPr>
      </w:r>
      <w:r>
        <w:rPr>
          <w:spacing w:val="-2"/>
        </w:rPr>
        <w:t>现任中国半导体行业协会副理事长、中国半导体行业协会集成电路设计分会理事长、上海华申智能卡应用系统有限公司董事</w:t>
      </w:r>
      <w:r>
        <w:rPr>
          <w:spacing w:val="-64"/>
        </w:rPr>
        <w:t> </w:t>
      </w:r>
      <w:r>
        <w:rPr>
          <w:spacing w:val="-64"/>
        </w:rPr>
      </w:r>
      <w:r>
        <w:rPr>
          <w:spacing w:val="-2"/>
        </w:rPr>
        <w:t>长、中国电子学会监事、江苏银河电子股份有限公司独立董事、天水华天科技股份有限公司独立董事和武汉力源信息技术股</w:t>
      </w:r>
      <w:r>
        <w:rPr>
          <w:spacing w:val="-66"/>
        </w:rPr>
        <w:t> </w:t>
      </w:r>
      <w:r>
        <w:rPr>
          <w:spacing w:val="-66"/>
        </w:rPr>
      </w:r>
      <w:r>
        <w:rPr/>
        <w:t>份有限公司独立董事。王芹生女士享受政府特殊津贴，是国家</w:t>
      </w:r>
      <w:r>
        <w:rPr>
          <w:rFonts w:ascii="Times New Roman" w:hAnsi="Times New Roman" w:cs="Times New Roman" w:eastAsia="Times New Roman" w:hint="default"/>
        </w:rPr>
        <w:t>“</w:t>
      </w:r>
      <w:r>
        <w:rPr/>
        <w:t>八五</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九五</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t>集成电路</w:t>
      </w:r>
      <w:r>
        <w:rPr>
          <w:rFonts w:ascii="Times New Roman" w:hAnsi="Times New Roman" w:cs="Times New Roman" w:eastAsia="Times New Roman" w:hint="default"/>
        </w:rPr>
        <w:t>CAD</w:t>
      </w:r>
      <w:r>
        <w:rPr/>
        <w:t>技术研究项目的主要负 责人，主持了多项国家重点集成电路品种开发和应用项目。</w:t>
      </w:r>
    </w:p>
    <w:p>
      <w:pPr>
        <w:pStyle w:val="BodyText"/>
        <w:spacing w:line="309" w:lineRule="auto" w:before="64"/>
        <w:ind w:left="272" w:right="291" w:firstLine="360"/>
        <w:jc w:val="both"/>
      </w:pPr>
      <w:r>
        <w:rPr>
          <w:rFonts w:ascii="宋体" w:hAnsi="宋体" w:cs="宋体" w:eastAsia="宋体" w:hint="default"/>
          <w:b/>
          <w:bCs/>
          <w:spacing w:val="-2"/>
        </w:rPr>
        <w:t>傅代国先生</w:t>
      </w:r>
      <w:r>
        <w:rPr>
          <w:spacing w:val="-2"/>
        </w:rPr>
        <w:t>，公司独立董事，中国国籍，无境外永久居住权。傅代国先生出生于</w:t>
      </w:r>
      <w:r>
        <w:rPr>
          <w:rFonts w:ascii="Times New Roman" w:hAnsi="Times New Roman" w:cs="Times New Roman" w:eastAsia="Times New Roman" w:hint="default"/>
          <w:spacing w:val="-2"/>
        </w:rPr>
        <w:t>1964</w:t>
      </w:r>
      <w:r>
        <w:rPr>
          <w:spacing w:val="-2"/>
        </w:rPr>
        <w:t>年。现任西南财经大学会计学院副</w:t>
      </w:r>
      <w:r>
        <w:rPr/>
        <w:t> </w:t>
      </w:r>
      <w:r>
        <w:rPr>
          <w:spacing w:val="-2"/>
        </w:rPr>
        <w:t>院长、博士生导师、教授，中国会计学会会员，成都市会计学会副会长，四川省会计人才培养基地负责人。除在公司担任独</w:t>
      </w:r>
      <w:r>
        <w:rPr>
          <w:spacing w:val="-70"/>
        </w:rPr>
        <w:t> </w:t>
      </w:r>
      <w:r>
        <w:rPr>
          <w:spacing w:val="-70"/>
        </w:rPr>
      </w:r>
      <w:r>
        <w:rPr/>
        <w:t>立董事之外，傅代国先生同时还担任四川川润股份有限公司、山东龙力生物科技股份有限公司独立董事。</w:t>
      </w:r>
    </w:p>
    <w:p>
      <w:pPr>
        <w:pStyle w:val="BodyText"/>
        <w:spacing w:line="340" w:lineRule="auto" w:before="62"/>
        <w:ind w:left="633" w:right="0"/>
        <w:jc w:val="left"/>
      </w:pPr>
      <w:r>
        <w:rPr>
          <w:rFonts w:ascii="Times New Roman" w:hAnsi="Times New Roman" w:cs="Times New Roman" w:eastAsia="Times New Roman" w:hint="default"/>
        </w:rPr>
        <w:t>2</w:t>
      </w:r>
      <w:r>
        <w:rPr/>
        <w:t>、监事 </w:t>
      </w:r>
      <w:r>
        <w:rPr>
          <w:rFonts w:ascii="宋体" w:hAnsi="宋体" w:cs="宋体" w:eastAsia="宋体" w:hint="default"/>
          <w:b/>
          <w:bCs/>
          <w:spacing w:val="-4"/>
        </w:rPr>
        <w:t>晏晓京女士</w:t>
      </w:r>
      <w:r>
        <w:rPr>
          <w:spacing w:val="-4"/>
        </w:rPr>
        <w:t>，公司监事会主席，中国国籍，无境外永久居住权。晏晓京女士出生于</w:t>
      </w:r>
      <w:r>
        <w:rPr>
          <w:rFonts w:ascii="Times New Roman" w:hAnsi="Times New Roman" w:cs="Times New Roman" w:eastAsia="Times New Roman" w:hint="default"/>
          <w:spacing w:val="-4"/>
        </w:rPr>
        <w:t>1965</w:t>
      </w:r>
      <w:r>
        <w:rPr>
          <w:spacing w:val="-4"/>
        </w:rPr>
        <w:t>年，拥有电子科技大学学士学位，</w:t>
      </w:r>
    </w:p>
    <w:p>
      <w:pPr>
        <w:pStyle w:val="BodyText"/>
        <w:spacing w:line="215" w:lineRule="exact"/>
        <w:ind w:left="272" w:right="0"/>
        <w:jc w:val="left"/>
      </w:pPr>
      <w:r>
        <w:rPr/>
        <w:t>高级工程师。晏晓京女士先后在电子部第十五研究所、北京百拓立克科技发展有限责任公司、方舟科技（北京）有限公司任</w:t>
      </w:r>
    </w:p>
    <w:p>
      <w:pPr>
        <w:pStyle w:val="BodyText"/>
        <w:spacing w:line="300" w:lineRule="auto" w:before="76"/>
        <w:ind w:left="272" w:right="0"/>
        <w:jc w:val="left"/>
      </w:pPr>
      <w:r>
        <w:rPr>
          <w:spacing w:val="-2"/>
        </w:rPr>
        <w:t>职，</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2009</w:t>
      </w:r>
      <w:r>
        <w:rPr>
          <w:spacing w:val="-2"/>
        </w:rPr>
        <w:t>年任君正有限部门经理，现任公司监事会主席、部门经理。晏晓京女士对芯片的外围接口电路有丰富的经</w:t>
      </w:r>
      <w:r>
        <w:rPr>
          <w:spacing w:val="-59"/>
        </w:rPr>
        <w:t> </w:t>
      </w:r>
      <w:r>
        <w:rPr>
          <w:spacing w:val="-59"/>
        </w:rPr>
      </w:r>
      <w:r>
        <w:rPr/>
        <w:t>验，主持设计了闪存接口、</w:t>
      </w:r>
      <w:r>
        <w:rPr>
          <w:rFonts w:ascii="Times New Roman" w:hAnsi="Times New Roman" w:cs="Times New Roman" w:eastAsia="Times New Roman" w:hint="default"/>
        </w:rPr>
        <w:t>UART</w:t>
      </w:r>
      <w:r>
        <w:rPr/>
        <w:t>等多个模块，同时具体负责</w:t>
      </w:r>
      <w:r>
        <w:rPr>
          <w:rFonts w:ascii="Times New Roman" w:hAnsi="Times New Roman" w:cs="Times New Roman" w:eastAsia="Times New Roman" w:hint="default"/>
        </w:rPr>
        <w:t>SOC</w:t>
      </w:r>
      <w:r>
        <w:rPr/>
        <w:t>芯片从规格定义到量产的全过程。</w:t>
      </w:r>
    </w:p>
    <w:p>
      <w:pPr>
        <w:pStyle w:val="BodyText"/>
        <w:spacing w:line="240" w:lineRule="auto" w:before="53"/>
        <w:ind w:left="633" w:right="0"/>
        <w:jc w:val="left"/>
      </w:pPr>
      <w:r>
        <w:rPr>
          <w:rFonts w:ascii="宋体" w:hAnsi="宋体" w:cs="宋体" w:eastAsia="宋体" w:hint="default"/>
          <w:b/>
          <w:bCs/>
        </w:rPr>
        <w:t>许志鹏先生，</w:t>
      </w:r>
      <w:r>
        <w:rPr/>
        <w:t>公司监事，中国国籍，无境外永久居住权。许志鹏先生出生于</w:t>
      </w:r>
      <w:r>
        <w:rPr>
          <w:rFonts w:ascii="Times New Roman" w:hAnsi="Times New Roman" w:cs="Times New Roman" w:eastAsia="Times New Roman" w:hint="default"/>
        </w:rPr>
        <w:t>1973</w:t>
      </w:r>
      <w:r>
        <w:rPr/>
        <w:t>年，拥有西南石油学院学士学位。曾任</w:t>
      </w:r>
    </w:p>
    <w:p>
      <w:pPr>
        <w:spacing w:after="0" w:line="240" w:lineRule="auto"/>
        <w:jc w:val="left"/>
        <w:sectPr>
          <w:pgSz w:w="11910" w:h="16840"/>
          <w:pgMar w:header="877" w:footer="980" w:top="1100" w:bottom="1160" w:left="860" w:right="840"/>
        </w:sectPr>
      </w:pPr>
    </w:p>
    <w:p>
      <w:pPr>
        <w:spacing w:line="240" w:lineRule="auto" w:before="11"/>
        <w:rPr>
          <w:rFonts w:ascii="宋体" w:hAnsi="宋体" w:cs="宋体" w:eastAsia="宋体" w:hint="default"/>
          <w:sz w:val="21"/>
          <w:szCs w:val="21"/>
        </w:rPr>
      </w:pPr>
    </w:p>
    <w:p>
      <w:pPr>
        <w:pStyle w:val="BodyText"/>
        <w:spacing w:line="300" w:lineRule="auto" w:before="44"/>
        <w:ind w:right="253"/>
        <w:jc w:val="both"/>
      </w:pPr>
      <w:r>
        <w:rPr>
          <w:spacing w:val="-2"/>
        </w:rPr>
        <w:t>职于北京金远见电脑技术有限公司、北京百拓立克科技发展有限责任公司、方舟科技（北京）有限公司，</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2009</w:t>
      </w:r>
      <w:r>
        <w:rPr>
          <w:spacing w:val="-2"/>
        </w:rPr>
        <w:t>年任</w:t>
      </w:r>
      <w:r>
        <w:rPr>
          <w:spacing w:val="-61"/>
        </w:rPr>
        <w:t> </w:t>
      </w:r>
      <w:r>
        <w:rPr/>
        <w:t>君正有限部门经理，现任公司监事、第一事业部总监。许志鹏先生精通</w:t>
      </w:r>
      <w:r>
        <w:rPr>
          <w:rFonts w:ascii="Times New Roman" w:hAnsi="Times New Roman" w:cs="Times New Roman" w:eastAsia="Times New Roman" w:hint="default"/>
        </w:rPr>
        <w:t>Linux</w:t>
      </w:r>
      <w:r>
        <w:rPr/>
        <w:t>操作系统软件和多媒体软件，领导了公司操作 系统底层的研制和多媒体播放器软件的研制。</w:t>
      </w:r>
    </w:p>
    <w:p>
      <w:pPr>
        <w:pStyle w:val="BodyText"/>
        <w:spacing w:line="300" w:lineRule="auto" w:before="72"/>
        <w:ind w:right="0" w:firstLine="360"/>
        <w:jc w:val="left"/>
      </w:pPr>
      <w:r>
        <w:rPr>
          <w:rFonts w:ascii="宋体" w:hAnsi="宋体" w:cs="宋体" w:eastAsia="宋体" w:hint="default"/>
          <w:b/>
          <w:bCs/>
          <w:spacing w:val="-2"/>
        </w:rPr>
        <w:t>姜君先生</w:t>
      </w:r>
      <w:r>
        <w:rPr>
          <w:spacing w:val="-2"/>
        </w:rPr>
        <w:t>，公司职工代表监事，中国国籍，无境外永久居住权。姜君先生出生于</w:t>
      </w:r>
      <w:r>
        <w:rPr>
          <w:rFonts w:ascii="Times New Roman" w:hAnsi="Times New Roman" w:cs="Times New Roman" w:eastAsia="Times New Roman" w:hint="default"/>
          <w:spacing w:val="-2"/>
        </w:rPr>
        <w:t>1974</w:t>
      </w:r>
      <w:r>
        <w:rPr>
          <w:spacing w:val="-2"/>
        </w:rPr>
        <w:t>年，毕业于清华大学热能系动力工</w:t>
      </w:r>
      <w:r>
        <w:rPr/>
        <w:t> </w:t>
      </w:r>
      <w:r>
        <w:rPr>
          <w:spacing w:val="-2"/>
        </w:rPr>
        <w:t>程专业。姜君先生曾在北京百拓立克科技发展有限责任公司、方舟科技（北京）有限公司任职，</w:t>
      </w:r>
      <w:r>
        <w:rPr>
          <w:rFonts w:ascii="Times New Roman" w:hAnsi="Times New Roman" w:cs="Times New Roman" w:eastAsia="Times New Roman" w:hint="default"/>
          <w:spacing w:val="-2"/>
        </w:rPr>
        <w:t>2005</w:t>
      </w:r>
      <w:r>
        <w:rPr>
          <w:spacing w:val="-2"/>
        </w:rPr>
        <w:t>至</w:t>
      </w:r>
      <w:r>
        <w:rPr>
          <w:rFonts w:ascii="Times New Roman" w:hAnsi="Times New Roman" w:cs="Times New Roman" w:eastAsia="Times New Roman" w:hint="default"/>
          <w:spacing w:val="-2"/>
        </w:rPr>
        <w:t>2009</w:t>
      </w:r>
      <w:r>
        <w:rPr>
          <w:spacing w:val="-2"/>
        </w:rPr>
        <w:t>年任君正有限部</w:t>
      </w:r>
      <w:r>
        <w:rPr>
          <w:spacing w:val="-59"/>
        </w:rPr>
        <w:t> </w:t>
      </w:r>
      <w:r>
        <w:rPr>
          <w:spacing w:val="-59"/>
        </w:rPr>
      </w:r>
      <w:r>
        <w:rPr/>
        <w:t>门经理，现任公司职工代表监事、部门经理。姜君先生精通芯片的体系结构、微体系结构和逻辑电路，主持了公司的</w:t>
      </w:r>
      <w:r>
        <w:rPr>
          <w:rFonts w:ascii="Times New Roman" w:hAnsi="Times New Roman" w:cs="Times New Roman" w:eastAsia="Times New Roman" w:hint="default"/>
        </w:rPr>
        <w:t>CPU</w:t>
      </w:r>
      <w:r>
        <w:rPr>
          <w:rFonts w:ascii="Times New Roman" w:hAnsi="Times New Roman" w:cs="Times New Roman" w:eastAsia="Times New Roman" w:hint="default"/>
          <w:w w:val="99"/>
        </w:rPr>
        <w:t> </w:t>
      </w:r>
      <w:r>
        <w:rPr/>
        <w:t>内核技术的研发。</w:t>
      </w:r>
    </w:p>
    <w:p>
      <w:pPr>
        <w:pStyle w:val="BodyText"/>
        <w:spacing w:line="338" w:lineRule="auto" w:before="70"/>
        <w:ind w:left="513" w:right="2261"/>
        <w:jc w:val="left"/>
      </w:pPr>
      <w:r>
        <w:rPr>
          <w:rFonts w:ascii="Times New Roman" w:hAnsi="Times New Roman" w:cs="Times New Roman" w:eastAsia="Times New Roman" w:hint="default"/>
        </w:rPr>
        <w:t>3</w:t>
      </w:r>
      <w:r>
        <w:rPr/>
        <w:t>、高级管理人员 </w:t>
      </w:r>
      <w:r>
        <w:rPr>
          <w:rFonts w:ascii="宋体" w:hAnsi="宋体" w:cs="宋体" w:eastAsia="宋体" w:hint="default"/>
          <w:b/>
          <w:bCs/>
        </w:rPr>
        <w:t>刘强先生</w:t>
      </w:r>
      <w:r>
        <w:rPr/>
        <w:t>，公司董事长、总经理，其个人简历详见本节</w:t>
      </w:r>
      <w:r>
        <w:rPr>
          <w:rFonts w:ascii="Times New Roman" w:hAnsi="Times New Roman" w:cs="Times New Roman" w:eastAsia="Times New Roman" w:hint="default"/>
        </w:rPr>
        <w:t>“</w:t>
      </w:r>
      <w:r>
        <w:rPr/>
        <w:t>二、任职情况</w:t>
      </w:r>
      <w:r>
        <w:rPr>
          <w:rFonts w:ascii="Times New Roman" w:hAnsi="Times New Roman" w:cs="Times New Roman" w:eastAsia="Times New Roman" w:hint="default"/>
        </w:rPr>
        <w:t>”</w:t>
      </w:r>
      <w:r>
        <w:rPr/>
        <w:t>之</w:t>
      </w:r>
      <w:r>
        <w:rPr>
          <w:rFonts w:ascii="Times New Roman" w:hAnsi="Times New Roman" w:cs="Times New Roman" w:eastAsia="Times New Roman" w:hint="default"/>
        </w:rPr>
        <w:t>“1</w:t>
      </w:r>
      <w:r>
        <w:rPr/>
        <w:t>、董事</w:t>
      </w:r>
      <w:r>
        <w:rPr>
          <w:rFonts w:ascii="Times New Roman" w:hAnsi="Times New Roman" w:cs="Times New Roman" w:eastAsia="Times New Roman" w:hint="default"/>
        </w:rPr>
        <w:t>”</w:t>
      </w:r>
      <w:r>
        <w:rPr/>
        <w:t>。 </w:t>
      </w:r>
      <w:r>
        <w:rPr>
          <w:rFonts w:ascii="宋体" w:hAnsi="宋体" w:cs="宋体" w:eastAsia="宋体" w:hint="default"/>
          <w:b/>
          <w:bCs/>
        </w:rPr>
        <w:t>张紧先生</w:t>
      </w:r>
      <w:r>
        <w:rPr/>
        <w:t>，公司副总经理、技术总监，其个人简历详见本节之</w:t>
      </w:r>
      <w:r>
        <w:rPr>
          <w:rFonts w:ascii="Times New Roman" w:hAnsi="Times New Roman" w:cs="Times New Roman" w:eastAsia="Times New Roman" w:hint="default"/>
        </w:rPr>
        <w:t>“</w:t>
      </w:r>
      <w:r>
        <w:rPr/>
        <w:t>二、任职情况</w:t>
      </w:r>
      <w:r>
        <w:rPr>
          <w:rFonts w:ascii="Times New Roman" w:hAnsi="Times New Roman" w:cs="Times New Roman" w:eastAsia="Times New Roman" w:hint="default"/>
        </w:rPr>
        <w:t>”</w:t>
      </w:r>
      <w:r>
        <w:rPr/>
        <w:t>之</w:t>
      </w:r>
      <w:r>
        <w:rPr>
          <w:rFonts w:ascii="Times New Roman" w:hAnsi="Times New Roman" w:cs="Times New Roman" w:eastAsia="Times New Roman" w:hint="default"/>
        </w:rPr>
        <w:t>“1</w:t>
      </w:r>
      <w:r>
        <w:rPr/>
        <w:t>、董事</w:t>
      </w:r>
      <w:r>
        <w:rPr>
          <w:rFonts w:ascii="Times New Roman" w:hAnsi="Times New Roman" w:cs="Times New Roman" w:eastAsia="Times New Roman" w:hint="default"/>
        </w:rPr>
        <w:t>”</w:t>
      </w:r>
      <w:r>
        <w:rPr/>
        <w:t>。 </w:t>
      </w:r>
      <w:r>
        <w:rPr>
          <w:rFonts w:ascii="宋体" w:hAnsi="宋体" w:cs="宋体" w:eastAsia="宋体" w:hint="default"/>
          <w:b/>
          <w:bCs/>
        </w:rPr>
        <w:t>冼永辉先生</w:t>
      </w:r>
      <w:r>
        <w:rPr/>
        <w:t>，公司副总经理，其个人简历详见本节之</w:t>
      </w:r>
      <w:r>
        <w:rPr>
          <w:rFonts w:ascii="Times New Roman" w:hAnsi="Times New Roman" w:cs="Times New Roman" w:eastAsia="Times New Roman" w:hint="default"/>
        </w:rPr>
        <w:t>“</w:t>
      </w:r>
      <w:r>
        <w:rPr/>
        <w:t>二、任职情况</w:t>
      </w:r>
      <w:r>
        <w:rPr>
          <w:rFonts w:ascii="Times New Roman" w:hAnsi="Times New Roman" w:cs="Times New Roman" w:eastAsia="Times New Roman" w:hint="default"/>
        </w:rPr>
        <w:t>”</w:t>
      </w:r>
      <w:r>
        <w:rPr/>
        <w:t>之</w:t>
      </w:r>
      <w:r>
        <w:rPr>
          <w:rFonts w:ascii="Times New Roman" w:hAnsi="Times New Roman" w:cs="Times New Roman" w:eastAsia="Times New Roman" w:hint="default"/>
        </w:rPr>
        <w:t>“1</w:t>
      </w:r>
      <w:r>
        <w:rPr/>
        <w:t>、董事</w:t>
      </w:r>
      <w:r>
        <w:rPr>
          <w:rFonts w:ascii="Times New Roman" w:hAnsi="Times New Roman" w:cs="Times New Roman" w:eastAsia="Times New Roman" w:hint="default"/>
        </w:rPr>
        <w:t>”</w:t>
      </w:r>
      <w:r>
        <w:rPr/>
        <w:t>。</w:t>
      </w:r>
    </w:p>
    <w:p>
      <w:pPr>
        <w:pStyle w:val="BodyText"/>
        <w:spacing w:line="309" w:lineRule="auto" w:before="22"/>
        <w:ind w:right="162" w:firstLine="360"/>
        <w:jc w:val="both"/>
      </w:pPr>
      <w:r>
        <w:rPr>
          <w:rFonts w:ascii="宋体" w:hAnsi="宋体" w:cs="宋体" w:eastAsia="宋体" w:hint="default"/>
          <w:b/>
          <w:bCs/>
        </w:rPr>
        <w:t>张燕祥女士</w:t>
      </w:r>
      <w:r>
        <w:rPr/>
        <w:t>，公司副总经理、财务总监，中国国籍，无境外永久居住权。张燕祥女士出生于</w:t>
      </w:r>
      <w:r>
        <w:rPr>
          <w:rFonts w:ascii="Times New Roman" w:hAnsi="Times New Roman" w:cs="Times New Roman" w:eastAsia="Times New Roman" w:hint="default"/>
        </w:rPr>
        <w:t>1968</w:t>
      </w:r>
      <w:r>
        <w:rPr/>
        <w:t>年，管理学学士学位， 在读中央财经大学研究生。张燕祥女士先后在北京荣德玩具有限公司、北京亚之捷环境工程公司、北京万方源房地产公司、 秦人百年（北京）广告有限公司任职，</w:t>
      </w:r>
      <w:r>
        <w:rPr>
          <w:rFonts w:ascii="Times New Roman" w:hAnsi="Times New Roman" w:cs="Times New Roman" w:eastAsia="Times New Roman" w:hint="default"/>
        </w:rPr>
        <w:t>2006</w:t>
      </w:r>
      <w:r>
        <w:rPr/>
        <w:t>年至</w:t>
      </w:r>
      <w:r>
        <w:rPr>
          <w:rFonts w:ascii="Times New Roman" w:hAnsi="Times New Roman" w:cs="Times New Roman" w:eastAsia="Times New Roman" w:hint="default"/>
        </w:rPr>
        <w:t>2009</w:t>
      </w:r>
      <w:r>
        <w:rPr/>
        <w:t>年任君正有限财务总监，现任公司副总经理、财务总监。</w:t>
      </w:r>
    </w:p>
    <w:p>
      <w:pPr>
        <w:pStyle w:val="BodyText"/>
        <w:spacing w:line="307" w:lineRule="auto" w:before="46"/>
        <w:ind w:right="251" w:firstLine="360"/>
        <w:jc w:val="both"/>
      </w:pPr>
      <w:r>
        <w:rPr>
          <w:rFonts w:ascii="宋体" w:hAnsi="宋体" w:cs="宋体" w:eastAsia="宋体" w:hint="default"/>
          <w:b/>
          <w:bCs/>
          <w:spacing w:val="-5"/>
        </w:rPr>
        <w:t>张敏女士</w:t>
      </w:r>
      <w:r>
        <w:rPr>
          <w:spacing w:val="-5"/>
        </w:rPr>
        <w:t>，公司副总经理、董事会秘书、商务总监、君正时代监事，中国国籍，无境外永久居住权。张敏女士出生于</w:t>
      </w:r>
      <w:r>
        <w:rPr>
          <w:rFonts w:ascii="Times New Roman" w:hAnsi="Times New Roman" w:cs="Times New Roman" w:eastAsia="Times New Roman" w:hint="default"/>
          <w:spacing w:val="-5"/>
        </w:rPr>
        <w:t>1973</w:t>
      </w:r>
      <w:r>
        <w:rPr>
          <w:rFonts w:ascii="Times New Roman" w:hAnsi="Times New Roman" w:cs="Times New Roman" w:eastAsia="Times New Roman" w:hint="default"/>
        </w:rPr>
        <w:t> </w:t>
      </w:r>
      <w:r>
        <w:rPr>
          <w:spacing w:val="-2"/>
        </w:rPr>
        <w:t>年，拥有四川大学化学纤维专业硕士学位、清华大学工商管理硕士学位。张敏女士先后在深圳市金罗湖商业城有限公司、方</w:t>
      </w:r>
      <w:r>
        <w:rPr>
          <w:spacing w:val="-64"/>
        </w:rPr>
        <w:t> </w:t>
      </w:r>
      <w:r>
        <w:rPr>
          <w:spacing w:val="-64"/>
        </w:rPr>
      </w:r>
      <w:r>
        <w:rPr>
          <w:spacing w:val="-2"/>
        </w:rPr>
        <w:t>舟科技（北京）有限公司任职，</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2009</w:t>
      </w:r>
      <w:r>
        <w:rPr>
          <w:spacing w:val="-2"/>
        </w:rPr>
        <w:t>年任君正有限商务总监，现任公司副总经理、董事会秘书，商务总监、君正时</w:t>
      </w:r>
      <w:r>
        <w:rPr>
          <w:spacing w:val="-67"/>
        </w:rPr>
        <w:t> </w:t>
      </w:r>
      <w:r>
        <w:rPr>
          <w:spacing w:val="-67"/>
        </w:rPr>
      </w:r>
      <w:r>
        <w:rPr/>
        <w:t>代监事。</w:t>
      </w:r>
    </w:p>
    <w:p>
      <w:pPr>
        <w:pStyle w:val="BodyText"/>
        <w:spacing w:line="300" w:lineRule="auto" w:before="64"/>
        <w:ind w:right="249" w:firstLine="360"/>
        <w:jc w:val="both"/>
      </w:pPr>
      <w:r>
        <w:rPr>
          <w:rFonts w:ascii="宋体" w:hAnsi="宋体" w:cs="宋体" w:eastAsia="宋体" w:hint="default"/>
          <w:b/>
          <w:bCs/>
          <w:spacing w:val="-2"/>
        </w:rPr>
        <w:t>周生雷先生</w:t>
      </w:r>
      <w:r>
        <w:rPr>
          <w:spacing w:val="-2"/>
        </w:rPr>
        <w:t>，公司副总经理，中国国籍，无境外永久居住权。周生雷先生出生于</w:t>
      </w:r>
      <w:r>
        <w:rPr>
          <w:rFonts w:ascii="Times New Roman" w:hAnsi="Times New Roman" w:cs="Times New Roman" w:eastAsia="Times New Roman" w:hint="default"/>
          <w:spacing w:val="-2"/>
        </w:rPr>
        <w:t>1975</w:t>
      </w:r>
      <w:r>
        <w:rPr>
          <w:spacing w:val="-2"/>
        </w:rPr>
        <w:t>年，拥有西安电子科技大学工学硕</w:t>
      </w:r>
      <w:r>
        <w:rPr/>
        <w:t> </w:t>
      </w:r>
      <w:r>
        <w:rPr>
          <w:spacing w:val="-1"/>
        </w:rPr>
        <w:t>士学位。周生雷先生先后在</w:t>
      </w:r>
      <w:r>
        <w:rPr>
          <w:rFonts w:ascii="Times New Roman" w:hAnsi="Times New Roman" w:cs="Times New Roman" w:eastAsia="Times New Roman" w:hint="default"/>
          <w:spacing w:val="-1"/>
        </w:rPr>
        <w:t>Philips</w:t>
      </w:r>
      <w:r>
        <w:rPr>
          <w:spacing w:val="-1"/>
        </w:rPr>
        <w:t>半导体设计中心、益登科技股份有限公司任职，</w:t>
      </w:r>
      <w:r>
        <w:rPr>
          <w:rFonts w:ascii="Times New Roman" w:hAnsi="Times New Roman" w:cs="Times New Roman" w:eastAsia="Times New Roman" w:hint="default"/>
          <w:spacing w:val="-1"/>
        </w:rPr>
        <w:t>2008</w:t>
      </w:r>
      <w:r>
        <w:rPr>
          <w:spacing w:val="-1"/>
        </w:rPr>
        <w:t>年至</w:t>
      </w:r>
      <w:r>
        <w:rPr>
          <w:rFonts w:ascii="Times New Roman" w:hAnsi="Times New Roman" w:cs="Times New Roman" w:eastAsia="Times New Roman" w:hint="default"/>
          <w:spacing w:val="-1"/>
        </w:rPr>
        <w:t>2009</w:t>
      </w:r>
      <w:r>
        <w:rPr>
          <w:spacing w:val="-1"/>
        </w:rPr>
        <w:t>年任君正有限市场总监，现</w:t>
      </w:r>
      <w:r>
        <w:rPr>
          <w:spacing w:val="-77"/>
        </w:rPr>
        <w:t> </w:t>
      </w:r>
      <w:r>
        <w:rPr>
          <w:spacing w:val="-77"/>
        </w:rPr>
      </w:r>
      <w:r>
        <w:rPr/>
        <w:t>任公司副总经理。</w:t>
      </w:r>
    </w:p>
    <w:p>
      <w:pPr>
        <w:pStyle w:val="BodyText"/>
        <w:spacing w:line="240" w:lineRule="auto" w:before="72"/>
        <w:ind w:right="0"/>
        <w:jc w:val="both"/>
      </w:pPr>
      <w:r>
        <w:rPr/>
        <w:t>在股东单位任职情况</w:t>
      </w:r>
    </w:p>
    <w:p>
      <w:pPr>
        <w:pStyle w:val="BodyText"/>
        <w:spacing w:line="338" w:lineRule="auto" w:before="117"/>
        <w:ind w:right="8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3"/>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2345"/>
        <w:gridCol w:w="1418"/>
        <w:gridCol w:w="1700"/>
        <w:gridCol w:w="1702"/>
        <w:gridCol w:w="1416"/>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4" w:right="72"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63" w:right="71"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王芹生</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北京华大信安科技有限公司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傅代国</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西南财经大学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会计学院副院长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5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5"/>
        <w:gridCol w:w="5975"/>
      </w:tblGrid>
      <w:tr>
        <w:trPr>
          <w:trHeight w:val="1339"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1"/>
                <w:sz w:val="18"/>
                <w:szCs w:val="18"/>
              </w:rPr>
              <w:t>独立董事津贴由董事会提名与薪酬委员会提出方案，董事会审议通过后，提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交股东大会审议；公司董事和监事不领取董事、监事津贴，只领取在公司担</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任其他职务的职务薪酬；高级管理人员薪酬由董事会提名与薪酬委员会提出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方案，董事会审议。</w:t>
            </w:r>
          </w:p>
        </w:tc>
      </w:tr>
      <w:tr>
        <w:trPr>
          <w:trHeight w:val="71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公司董事、监事及高级管理人员薪酬根据公司《董事、监事、高级管理人员 薪酬及绩效考核管理制度》确定，由董事会提名与薪酬委员会组织并考核。</w:t>
            </w:r>
          </w:p>
        </w:tc>
      </w:tr>
      <w:tr>
        <w:trPr>
          <w:trHeight w:val="36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董事、监事和高级管理人员报酬的实际支付情</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
                <w:sz w:val="18"/>
                <w:szCs w:val="18"/>
              </w:rPr>
              <w:t>独立董事津贴按季度发放；董事、监事和高级管理人员薪酬按月发放，奖金</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880"/>
        </w:sectPr>
      </w:pPr>
    </w:p>
    <w:p>
      <w:pPr>
        <w:spacing w:line="240" w:lineRule="auto" w:before="11"/>
        <w:rPr>
          <w:rFonts w:ascii="宋体" w:hAnsi="宋体" w:cs="宋体" w:eastAsia="宋体" w:hint="default"/>
          <w:b/>
          <w:bCs/>
          <w:sz w:val="2"/>
          <w:szCs w:val="2"/>
        </w:rPr>
      </w:pPr>
    </w:p>
    <w:tbl>
      <w:tblPr>
        <w:tblW w:w="0" w:type="auto"/>
        <w:jc w:val="left"/>
        <w:tblInd w:w="109" w:type="dxa"/>
        <w:tblLayout w:type="fixed"/>
        <w:tblCellMar>
          <w:top w:w="0" w:type="dxa"/>
          <w:left w:w="0" w:type="dxa"/>
          <w:bottom w:w="0" w:type="dxa"/>
          <w:right w:w="0" w:type="dxa"/>
        </w:tblCellMar>
        <w:tblLook w:val="01E0"/>
      </w:tblPr>
      <w:tblGrid>
        <w:gridCol w:w="3595"/>
        <w:gridCol w:w="5975"/>
      </w:tblGrid>
      <w:tr>
        <w:trPr>
          <w:trHeight w:val="334" w:hRule="exact"/>
        </w:trPr>
        <w:tc>
          <w:tcPr>
            <w:tcW w:w="3595" w:type="dxa"/>
            <w:tcBorders>
              <w:top w:val="single" w:sz="6" w:space="0" w:color="000000"/>
              <w:left w:val="nil" w:sz="6" w:space="0" w:color="auto"/>
              <w:bottom w:val="single" w:sz="4" w:space="0" w:color="000000"/>
              <w:right w:val="nil" w:sz="6" w:space="0" w:color="auto"/>
            </w:tcBorders>
          </w:tcPr>
          <w:p>
            <w:pPr/>
          </w:p>
        </w:tc>
        <w:tc>
          <w:tcPr>
            <w:tcW w:w="5975" w:type="dxa"/>
            <w:tcBorders>
              <w:top w:val="single" w:sz="6" w:space="0" w:color="000000"/>
              <w:left w:val="nil" w:sz="6" w:space="0" w:color="auto"/>
              <w:bottom w:val="single" w:sz="4" w:space="0" w:color="000000"/>
              <w:right w:val="nil" w:sz="6" w:space="0" w:color="auto"/>
            </w:tcBorders>
          </w:tcPr>
          <w:p>
            <w:pPr/>
          </w:p>
        </w:tc>
      </w:tr>
      <w:tr>
        <w:trPr>
          <w:trHeight w:val="36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年度发放。</w:t>
            </w:r>
          </w:p>
        </w:tc>
      </w:tr>
    </w:tbl>
    <w:p>
      <w:pPr>
        <w:pStyle w:val="BodyText"/>
        <w:spacing w:line="240" w:lineRule="auto" w:before="49"/>
        <w:ind w:left="112" w:right="0"/>
        <w:jc w:val="left"/>
      </w:pPr>
      <w:r>
        <w:rPr/>
        <w:t>公司报告期内董事、监事和高级管理人员报酬情况</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198"/>
        <w:gridCol w:w="2065"/>
        <w:gridCol w:w="850"/>
        <w:gridCol w:w="708"/>
        <w:gridCol w:w="1162"/>
        <w:gridCol w:w="1195"/>
        <w:gridCol w:w="1196"/>
        <w:gridCol w:w="1198"/>
      </w:tblGrid>
      <w:tr>
        <w:trPr>
          <w:trHeight w:val="715"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姓名</w:t>
            </w:r>
          </w:p>
        </w:tc>
        <w:tc>
          <w:tcPr>
            <w:tcW w:w="2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 </w:t>
            </w:r>
            <w:r>
              <w:rPr>
                <w:rFonts w:ascii="宋体" w:hAnsi="宋体" w:cs="宋体" w:eastAsia="宋体" w:hint="default"/>
                <w:spacing w:val="2"/>
                <w:sz w:val="18"/>
                <w:szCs w:val="18"/>
              </w:rPr>
              <w:t> </w:t>
            </w:r>
            <w:r>
              <w:rPr>
                <w:rFonts w:ascii="宋体" w:hAnsi="宋体" w:cs="宋体" w:eastAsia="宋体" w:hint="default"/>
                <w:sz w:val="18"/>
                <w:szCs w:val="18"/>
              </w:rPr>
              <w:t>强</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375,000.00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杰</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紧</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冼永辉</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王芹生</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傅代国</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晏晓京</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262,500.00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262,500.00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许志鹏</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262,500.00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262,500.00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 </w:t>
            </w:r>
            <w:r>
              <w:rPr>
                <w:rFonts w:ascii="宋体" w:hAnsi="宋体" w:cs="宋体" w:eastAsia="宋体" w:hint="default"/>
                <w:spacing w:val="2"/>
                <w:sz w:val="18"/>
                <w:szCs w:val="18"/>
              </w:rPr>
              <w:t> </w:t>
            </w:r>
            <w:r>
              <w:rPr>
                <w:rFonts w:ascii="宋体" w:hAnsi="宋体" w:cs="宋体" w:eastAsia="宋体" w:hint="default"/>
                <w:sz w:val="18"/>
                <w:szCs w:val="18"/>
              </w:rPr>
              <w:t>君</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262,500.00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262,500.00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张燕祥</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副总经理、财务总监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262,500.00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262,500.00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敏</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262,500.00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262,500.00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周生雷</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262,500.00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262,500.00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3"/>
              <w:jc w:val="right"/>
              <w:rPr>
                <w:rFonts w:ascii="宋体" w:hAnsi="宋体" w:cs="宋体" w:eastAsia="宋体" w:hint="default"/>
                <w:sz w:val="18"/>
                <w:szCs w:val="18"/>
              </w:rPr>
            </w:pPr>
            <w:r>
              <w:rPr>
                <w:rFonts w:ascii="宋体" w:hAnsi="宋体" w:cs="宋体" w:eastAsia="宋体" w:hint="default"/>
                <w:sz w:val="18"/>
                <w:szCs w:val="18"/>
              </w:rPr>
              <w:t>合计</w:t>
            </w:r>
          </w:p>
        </w:tc>
        <w:tc>
          <w:tcPr>
            <w:tcW w:w="2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2,650,000.00</w:t>
            </w:r>
          </w:p>
        </w:tc>
      </w:tr>
    </w:tbl>
    <w:p>
      <w:pPr>
        <w:pStyle w:val="BodyText"/>
        <w:spacing w:line="240" w:lineRule="auto" w:before="49"/>
        <w:ind w:left="112" w:right="0"/>
        <w:jc w:val="left"/>
      </w:pPr>
      <w:r>
        <w:rPr/>
        <w:t>公司董事、监事、高级管理人员报告期内被授予的股权激励情况</w:t>
      </w:r>
    </w:p>
    <w:p>
      <w:pPr>
        <w:pStyle w:val="BodyText"/>
        <w:spacing w:line="240" w:lineRule="auto" w:before="117"/>
        <w:ind w:left="1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left="112" w:right="0"/>
        <w:jc w:val="left"/>
        <w:rPr>
          <w:b w:val="0"/>
          <w:bCs w:val="0"/>
        </w:rPr>
      </w:pPr>
      <w:r>
        <w:rPr/>
        <w:t>四、公司董事、监事、高级管理人员变动情况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419"/>
        <w:gridCol w:w="1558"/>
        <w:gridCol w:w="1560"/>
        <w:gridCol w:w="2127"/>
        <w:gridCol w:w="2977"/>
      </w:tblGrid>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变动情形</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变动日期</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刘维锦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换届</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葛 </w:t>
            </w:r>
            <w:r>
              <w:rPr>
                <w:rFonts w:ascii="宋体" w:hAnsi="宋体" w:cs="宋体" w:eastAsia="宋体" w:hint="default"/>
                <w:spacing w:val="2"/>
                <w:sz w:val="18"/>
                <w:szCs w:val="18"/>
              </w:rPr>
              <w:t> </w:t>
            </w:r>
            <w:r>
              <w:rPr>
                <w:rFonts w:ascii="宋体" w:hAnsi="宋体" w:cs="宋体" w:eastAsia="宋体" w:hint="default"/>
                <w:sz w:val="18"/>
                <w:szCs w:val="18"/>
              </w:rPr>
              <w:t>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换届</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赖亚明</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岗位调整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换届</w:t>
            </w:r>
          </w:p>
        </w:tc>
      </w:tr>
    </w:tbl>
    <w:p>
      <w:pPr>
        <w:spacing w:line="240" w:lineRule="auto" w:before="1"/>
        <w:rPr>
          <w:rFonts w:ascii="宋体" w:hAnsi="宋体" w:cs="宋体" w:eastAsia="宋体" w:hint="default"/>
          <w:b/>
          <w:bCs/>
          <w:sz w:val="18"/>
          <w:szCs w:val="18"/>
        </w:rPr>
      </w:pPr>
    </w:p>
    <w:p>
      <w:pPr>
        <w:pStyle w:val="Heading2"/>
        <w:spacing w:line="240" w:lineRule="auto" w:before="26"/>
        <w:ind w:left="112" w:right="0"/>
        <w:jc w:val="left"/>
        <w:rPr>
          <w:b w:val="0"/>
          <w:bCs w:val="0"/>
        </w:rPr>
      </w:pPr>
      <w:r>
        <w:rPr/>
        <w:t>五、报告期核心技术团队或关键技术人员变动情况（非董事、监事、高级管理人员）</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12" w:right="0"/>
        <w:jc w:val="left"/>
      </w:pPr>
      <w:r>
        <w:rPr/>
        <w:t>无变化。</w:t>
      </w:r>
    </w:p>
    <w:p>
      <w:pPr>
        <w:spacing w:line="240" w:lineRule="auto" w:before="3"/>
        <w:rPr>
          <w:rFonts w:ascii="宋体" w:hAnsi="宋体" w:cs="宋体" w:eastAsia="宋体" w:hint="default"/>
          <w:sz w:val="25"/>
          <w:szCs w:val="25"/>
        </w:rPr>
      </w:pPr>
    </w:p>
    <w:p>
      <w:pPr>
        <w:pStyle w:val="Heading2"/>
        <w:spacing w:line="240" w:lineRule="auto"/>
        <w:ind w:left="112" w:right="0"/>
        <w:jc w:val="left"/>
        <w:rPr>
          <w:b w:val="0"/>
          <w:bCs w:val="0"/>
        </w:rPr>
      </w:pPr>
      <w:r>
        <w:rPr/>
        <w:t>六、公司员工情况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73" w:right="0"/>
        <w:jc w:val="left"/>
      </w:pP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日，公司及全资子公司总人数为</w:t>
      </w:r>
      <w:r>
        <w:rPr>
          <w:rFonts w:ascii="Times New Roman" w:hAnsi="Times New Roman" w:cs="Times New Roman" w:eastAsia="Times New Roman" w:hint="default"/>
        </w:rPr>
        <w:t>254</w:t>
      </w:r>
      <w:r>
        <w:rPr/>
        <w:t>人，其中各类人员构成情况如下：</w:t>
      </w:r>
    </w:p>
    <w:p>
      <w:pPr>
        <w:pStyle w:val="BodyText"/>
        <w:spacing w:line="240" w:lineRule="auto" w:before="101"/>
        <w:ind w:left="473" w:right="0"/>
        <w:jc w:val="left"/>
      </w:pPr>
      <w:r>
        <w:rPr>
          <w:rFonts w:ascii="Times New Roman" w:hAnsi="Times New Roman" w:cs="Times New Roman" w:eastAsia="Times New Roman" w:hint="default"/>
        </w:rPr>
        <w:t>1</w:t>
      </w:r>
      <w:r>
        <w:rPr/>
        <w:t>、按专业结构划分</w:t>
      </w:r>
    </w:p>
    <w:p>
      <w:pPr>
        <w:spacing w:line="240" w:lineRule="auto" w:before="4"/>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3121"/>
        <w:gridCol w:w="3118"/>
        <w:gridCol w:w="3121"/>
      </w:tblGrid>
      <w:tr>
        <w:trPr>
          <w:trHeight w:val="348" w:hRule="exact"/>
        </w:trPr>
        <w:tc>
          <w:tcPr>
            <w:tcW w:w="31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专业</w:t>
            </w:r>
            <w:r>
              <w:rPr>
                <w:rFonts w:ascii="宋体" w:hAnsi="宋体" w:cs="宋体" w:eastAsia="宋体" w:hint="default"/>
                <w:sz w:val="18"/>
                <w:szCs w:val="18"/>
              </w:rPr>
            </w:r>
          </w:p>
        </w:tc>
        <w:tc>
          <w:tcPr>
            <w:tcW w:w="31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31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346" w:hRule="exact"/>
        </w:trPr>
        <w:tc>
          <w:tcPr>
            <w:tcW w:w="312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研发人员</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211</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83.07%</w:t>
            </w:r>
          </w:p>
        </w:tc>
      </w:tr>
      <w:tr>
        <w:trPr>
          <w:trHeight w:val="348"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9</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3.54%</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060" w:bottom="116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3121"/>
        <w:gridCol w:w="3118"/>
        <w:gridCol w:w="3121"/>
      </w:tblGrid>
      <w:tr>
        <w:trPr>
          <w:trHeight w:val="348"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13</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5.12%</w:t>
            </w:r>
          </w:p>
        </w:tc>
      </w:tr>
      <w:tr>
        <w:trPr>
          <w:trHeight w:val="346"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9</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3.54%</w:t>
            </w:r>
          </w:p>
        </w:tc>
      </w:tr>
      <w:tr>
        <w:trPr>
          <w:trHeight w:val="348"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其他人员</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12</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4.72%</w:t>
            </w:r>
          </w:p>
        </w:tc>
      </w:tr>
      <w:tr>
        <w:trPr>
          <w:trHeight w:val="348"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254</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49"/>
        <w:ind w:left="513" w:right="0"/>
        <w:jc w:val="left"/>
      </w:pPr>
      <w:r>
        <w:rPr>
          <w:rFonts w:ascii="Times New Roman" w:hAnsi="Times New Roman" w:cs="Times New Roman" w:eastAsia="Times New Roman" w:hint="default"/>
        </w:rPr>
        <w:t>2</w:t>
      </w:r>
      <w:r>
        <w:rPr/>
        <w:t>、按受教育程度划分</w:t>
      </w:r>
    </w:p>
    <w:p>
      <w:pPr>
        <w:spacing w:line="240" w:lineRule="auto" w:before="1"/>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3121"/>
        <w:gridCol w:w="3118"/>
        <w:gridCol w:w="3121"/>
      </w:tblGrid>
      <w:tr>
        <w:trPr>
          <w:trHeight w:val="329" w:hRule="exact"/>
        </w:trPr>
        <w:tc>
          <w:tcPr>
            <w:tcW w:w="31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学历</w:t>
            </w:r>
            <w:r>
              <w:rPr>
                <w:rFonts w:ascii="宋体" w:hAnsi="宋体" w:cs="宋体" w:eastAsia="宋体" w:hint="default"/>
                <w:sz w:val="18"/>
                <w:szCs w:val="18"/>
              </w:rPr>
            </w:r>
          </w:p>
        </w:tc>
        <w:tc>
          <w:tcPr>
            <w:tcW w:w="31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1366"/>
              <w:jc w:val="righ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31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365" w:hRule="exact"/>
        </w:trPr>
        <w:tc>
          <w:tcPr>
            <w:tcW w:w="312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研究生及以上</w:t>
            </w:r>
          </w:p>
        </w:tc>
        <w:tc>
          <w:tcPr>
            <w:tcW w:w="311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4"/>
              <w:ind w:right="1457"/>
              <w:jc w:val="right"/>
              <w:rPr>
                <w:rFonts w:ascii="Times New Roman" w:hAnsi="Times New Roman" w:cs="Times New Roman" w:eastAsia="Times New Roman" w:hint="default"/>
                <w:sz w:val="18"/>
                <w:szCs w:val="18"/>
              </w:rPr>
            </w:pPr>
            <w:r>
              <w:rPr>
                <w:rFonts w:ascii="Times New Roman"/>
                <w:sz w:val="18"/>
              </w:rPr>
              <w:t>48</w:t>
            </w:r>
          </w:p>
        </w:tc>
        <w:tc>
          <w:tcPr>
            <w:tcW w:w="312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sz w:val="18"/>
              </w:rPr>
              <w:t>18.90%</w:t>
            </w:r>
          </w:p>
        </w:tc>
      </w:tr>
      <w:tr>
        <w:trPr>
          <w:trHeight w:val="348"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13"/>
              <w:jc w:val="right"/>
              <w:rPr>
                <w:rFonts w:ascii="Times New Roman" w:hAnsi="Times New Roman" w:cs="Times New Roman" w:eastAsia="Times New Roman" w:hint="default"/>
                <w:sz w:val="18"/>
                <w:szCs w:val="18"/>
              </w:rPr>
            </w:pPr>
            <w:r>
              <w:rPr>
                <w:rFonts w:ascii="Times New Roman"/>
                <w:sz w:val="18"/>
              </w:rPr>
              <w:t>160</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62.99%</w:t>
            </w:r>
          </w:p>
        </w:tc>
      </w:tr>
      <w:tr>
        <w:trPr>
          <w:trHeight w:val="346"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57"/>
              <w:jc w:val="right"/>
              <w:rPr>
                <w:rFonts w:ascii="Times New Roman" w:hAnsi="Times New Roman" w:cs="Times New Roman" w:eastAsia="Times New Roman" w:hint="default"/>
                <w:sz w:val="18"/>
                <w:szCs w:val="18"/>
              </w:rPr>
            </w:pPr>
            <w:r>
              <w:rPr>
                <w:rFonts w:ascii="Times New Roman"/>
                <w:sz w:val="18"/>
              </w:rPr>
              <w:t>46</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18.11%</w:t>
            </w:r>
          </w:p>
        </w:tc>
      </w:tr>
      <w:tr>
        <w:trPr>
          <w:trHeight w:val="348"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13"/>
              <w:jc w:val="right"/>
              <w:rPr>
                <w:rFonts w:ascii="Times New Roman" w:hAnsi="Times New Roman" w:cs="Times New Roman" w:eastAsia="Times New Roman" w:hint="default"/>
                <w:sz w:val="18"/>
                <w:szCs w:val="18"/>
              </w:rPr>
            </w:pPr>
            <w:r>
              <w:rPr>
                <w:rFonts w:ascii="Times New Roman"/>
                <w:sz w:val="18"/>
              </w:rPr>
              <w:t>254</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49"/>
        <w:ind w:left="513" w:right="0"/>
        <w:jc w:val="left"/>
      </w:pPr>
      <w:r>
        <w:rPr>
          <w:rFonts w:ascii="Times New Roman" w:hAnsi="Times New Roman" w:cs="Times New Roman" w:eastAsia="Times New Roman" w:hint="default"/>
        </w:rPr>
        <w:t>3</w:t>
      </w:r>
      <w:r>
        <w:rPr/>
        <w:t>、按年龄划分</w:t>
      </w:r>
    </w:p>
    <w:p>
      <w:pPr>
        <w:spacing w:line="240" w:lineRule="auto" w:before="2"/>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3121"/>
        <w:gridCol w:w="3118"/>
        <w:gridCol w:w="3121"/>
      </w:tblGrid>
      <w:tr>
        <w:trPr>
          <w:trHeight w:val="331" w:hRule="exact"/>
        </w:trPr>
        <w:tc>
          <w:tcPr>
            <w:tcW w:w="31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年龄</w:t>
            </w:r>
            <w:r>
              <w:rPr>
                <w:rFonts w:ascii="宋体" w:hAnsi="宋体" w:cs="宋体" w:eastAsia="宋体" w:hint="default"/>
                <w:sz w:val="18"/>
                <w:szCs w:val="18"/>
              </w:rPr>
            </w:r>
          </w:p>
        </w:tc>
        <w:tc>
          <w:tcPr>
            <w:tcW w:w="31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366"/>
              <w:jc w:val="righ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31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365"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岁以下</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413"/>
              <w:jc w:val="right"/>
              <w:rPr>
                <w:rFonts w:ascii="Times New Roman" w:hAnsi="Times New Roman" w:cs="Times New Roman" w:eastAsia="Times New Roman" w:hint="default"/>
                <w:sz w:val="18"/>
                <w:szCs w:val="18"/>
              </w:rPr>
            </w:pPr>
            <w:r>
              <w:rPr>
                <w:rFonts w:ascii="Times New Roman"/>
                <w:sz w:val="18"/>
              </w:rPr>
              <w:t>189</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sz w:val="18"/>
              </w:rPr>
              <w:t>74.41%</w:t>
            </w:r>
          </w:p>
        </w:tc>
      </w:tr>
      <w:tr>
        <w:trPr>
          <w:trHeight w:val="346"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31-40</w:t>
            </w:r>
            <w:r>
              <w:rPr>
                <w:rFonts w:ascii="宋体" w:hAnsi="宋体" w:cs="宋体" w:eastAsia="宋体" w:hint="default"/>
                <w:sz w:val="18"/>
                <w:szCs w:val="18"/>
              </w:rPr>
              <w:t>岁</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57"/>
              <w:jc w:val="right"/>
              <w:rPr>
                <w:rFonts w:ascii="Times New Roman" w:hAnsi="Times New Roman" w:cs="Times New Roman" w:eastAsia="Times New Roman" w:hint="default"/>
                <w:sz w:val="18"/>
                <w:szCs w:val="18"/>
              </w:rPr>
            </w:pPr>
            <w:r>
              <w:rPr>
                <w:rFonts w:ascii="Times New Roman"/>
                <w:sz w:val="18"/>
              </w:rPr>
              <w:t>51</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20.08%</w:t>
            </w:r>
          </w:p>
        </w:tc>
      </w:tr>
      <w:tr>
        <w:trPr>
          <w:trHeight w:val="348"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41-50</w:t>
            </w:r>
            <w:r>
              <w:rPr>
                <w:rFonts w:ascii="宋体" w:hAnsi="宋体" w:cs="宋体" w:eastAsia="宋体" w:hint="default"/>
                <w:sz w:val="18"/>
                <w:szCs w:val="18"/>
              </w:rPr>
              <w:t>岁</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57"/>
              <w:jc w:val="right"/>
              <w:rPr>
                <w:rFonts w:ascii="Times New Roman" w:hAnsi="Times New Roman" w:cs="Times New Roman" w:eastAsia="Times New Roman" w:hint="default"/>
                <w:sz w:val="18"/>
                <w:szCs w:val="18"/>
              </w:rPr>
            </w:pPr>
            <w:r>
              <w:rPr>
                <w:rFonts w:ascii="Times New Roman"/>
                <w:sz w:val="18"/>
              </w:rPr>
              <w:t>14</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5.51%</w:t>
            </w:r>
          </w:p>
        </w:tc>
      </w:tr>
      <w:tr>
        <w:trPr>
          <w:trHeight w:val="348"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13"/>
              <w:jc w:val="right"/>
              <w:rPr>
                <w:rFonts w:ascii="Times New Roman" w:hAnsi="Times New Roman" w:cs="Times New Roman" w:eastAsia="Times New Roman" w:hint="default"/>
                <w:sz w:val="18"/>
                <w:szCs w:val="18"/>
              </w:rPr>
            </w:pPr>
            <w:r>
              <w:rPr>
                <w:rFonts w:ascii="Times New Roman"/>
                <w:sz w:val="18"/>
              </w:rPr>
              <w:t>254</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49"/>
        <w:ind w:left="513" w:right="0"/>
        <w:jc w:val="left"/>
      </w:pPr>
      <w:r>
        <w:rPr>
          <w:rFonts w:ascii="Times New Roman" w:hAnsi="Times New Roman" w:cs="Times New Roman" w:eastAsia="Times New Roman" w:hint="default"/>
        </w:rPr>
        <w:t>4</w:t>
      </w:r>
      <w:r>
        <w:rPr/>
        <w:t>、截止报告期末，公司没有需承担费用的离退休人员。</w:t>
      </w:r>
    </w:p>
    <w:p>
      <w:pPr>
        <w:spacing w:after="0" w:line="240" w:lineRule="auto"/>
        <w:jc w:val="left"/>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0" w:right="3626"/>
        <w:jc w:val="center"/>
        <w:rPr>
          <w:b w:val="0"/>
          <w:bCs w:val="0"/>
        </w:rPr>
      </w:pPr>
      <w:bookmarkStart w:name="_TOC_250002"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0"/>
        <w:jc w:val="left"/>
      </w:pPr>
      <w:r>
        <w:rPr>
          <w:spacing w:val="-4"/>
        </w:rPr>
        <w:t>报告期内，公司严格按照《公司法》、《证券法》、《上市公司治理准则》、《深圳证券交易所创业板股票上市规则》、</w:t>
      </w:r>
    </w:p>
    <w:p>
      <w:pPr>
        <w:pStyle w:val="BodyText"/>
        <w:spacing w:line="316" w:lineRule="auto" w:before="76"/>
        <w:ind w:right="191"/>
        <w:jc w:val="both"/>
      </w:pPr>
      <w:r>
        <w:rPr>
          <w:spacing w:val="-2"/>
        </w:rPr>
        <w:t>《深圳证券交易所创业板上市公司规范运作指引》等有关法律、法规的要求，不断完善法人治理结构，建立健全公司内部控</w:t>
      </w:r>
      <w:r>
        <w:rPr>
          <w:spacing w:val="-64"/>
        </w:rPr>
        <w:t> </w:t>
      </w:r>
      <w:r>
        <w:rPr>
          <w:spacing w:val="-64"/>
        </w:rPr>
      </w:r>
      <w:r>
        <w:rPr>
          <w:spacing w:val="-2"/>
        </w:rPr>
        <w:t>制制度，充分发挥董事会各专门委员会的职能和作用，更好的提升董事会专业化程度，进一步促进公司规范运作，提高公司</w:t>
      </w:r>
      <w:r>
        <w:rPr>
          <w:spacing w:val="-65"/>
        </w:rPr>
        <w:t> </w:t>
      </w:r>
      <w:r>
        <w:rPr>
          <w:spacing w:val="-65"/>
        </w:rPr>
      </w:r>
      <w:r>
        <w:rPr/>
        <w:t>整体治理水平。</w:t>
      </w:r>
    </w:p>
    <w:p>
      <w:pPr>
        <w:pStyle w:val="BodyText"/>
        <w:spacing w:line="312" w:lineRule="auto" w:before="19"/>
        <w:ind w:right="191" w:firstLine="360"/>
        <w:jc w:val="both"/>
      </w:pPr>
      <w:r>
        <w:rPr>
          <w:spacing w:val="-2"/>
        </w:rPr>
        <w:t>公司董事会对报告期内公司财务报告、信息披露、关联交易、对外担保等事务相关的内部控制制度的建立和实施情况进</w:t>
      </w:r>
      <w:r>
        <w:rPr/>
        <w:t> </w:t>
      </w:r>
      <w:r>
        <w:rPr>
          <w:spacing w:val="-2"/>
        </w:rPr>
        <w:t>行了审查，出具了《北京君正集成电路股份有限公司</w:t>
      </w:r>
      <w:r>
        <w:rPr>
          <w:rFonts w:ascii="Times New Roman" w:hAnsi="Times New Roman" w:cs="Times New Roman" w:eastAsia="Times New Roman" w:hint="default"/>
          <w:spacing w:val="-2"/>
        </w:rPr>
        <w:t>2012</w:t>
      </w:r>
      <w:r>
        <w:rPr>
          <w:spacing w:val="-2"/>
        </w:rPr>
        <w:t>年度内部控制自我评价报告》，并提交公司第二届董事会第二次会</w:t>
      </w:r>
      <w:r>
        <w:rPr>
          <w:spacing w:val="-64"/>
        </w:rPr>
        <w:t> </w:t>
      </w:r>
      <w:r>
        <w:rPr>
          <w:spacing w:val="-64"/>
        </w:rPr>
      </w:r>
      <w:r>
        <w:rPr>
          <w:spacing w:val="-2"/>
        </w:rPr>
        <w:t>议审议通过，公司独立董事、监事、保荐机构及会计师事务所对该报告发表了意见。公司董事会认为，公司建立了一套较为</w:t>
      </w:r>
      <w:r>
        <w:rPr>
          <w:spacing w:val="-67"/>
        </w:rPr>
        <w:t> </w:t>
      </w:r>
      <w:r>
        <w:rPr>
          <w:spacing w:val="-67"/>
        </w:rPr>
      </w:r>
      <w:r>
        <w:rPr>
          <w:spacing w:val="-2"/>
        </w:rPr>
        <w:t>健全、合理的内部控制制度，符合我国法律、法规和证券监管部门的要求和公司的行业特点，且基本得到了有效的贯彻和执</w:t>
      </w:r>
      <w:r>
        <w:rPr>
          <w:spacing w:val="-64"/>
        </w:rPr>
        <w:t> </w:t>
      </w:r>
      <w:r>
        <w:rPr>
          <w:spacing w:val="-64"/>
        </w:rPr>
      </w:r>
      <w:r>
        <w:rPr>
          <w:spacing w:val="-2"/>
        </w:rPr>
        <w:t>行，对公司各项业务的健康运行及公司经营风险的控制提供了良好的保证。</w:t>
      </w:r>
      <w:r>
        <w:rPr>
          <w:rFonts w:ascii="Times New Roman" w:hAnsi="Times New Roman" w:cs="Times New Roman" w:eastAsia="Times New Roman" w:hint="default"/>
          <w:spacing w:val="-2"/>
        </w:rPr>
        <w:t>2012</w:t>
      </w:r>
      <w:r>
        <w:rPr>
          <w:spacing w:val="-2"/>
        </w:rPr>
        <w:t>年度公司不存在内部控制设计和执行的重大</w:t>
      </w:r>
      <w:r>
        <w:rPr>
          <w:spacing w:val="-61"/>
        </w:rPr>
        <w:t> </w:t>
      </w:r>
      <w:r>
        <w:rPr>
          <w:spacing w:val="-61"/>
        </w:rPr>
      </w:r>
      <w:r>
        <w:rPr/>
        <w:t>缺陷。</w:t>
      </w:r>
    </w:p>
    <w:p>
      <w:pPr>
        <w:pStyle w:val="BodyText"/>
        <w:spacing w:line="316" w:lineRule="auto" w:before="22"/>
        <w:ind w:left="513" w:right="0"/>
        <w:jc w:val="left"/>
      </w:pPr>
      <w:r>
        <w:rPr/>
        <w:t>（一）关于股东与股东大会 </w:t>
      </w:r>
      <w:r>
        <w:rPr>
          <w:spacing w:val="-4"/>
        </w:rPr>
        <w:t>公司严格按照《上市公司股东大会规则》、《公司章程》、《股东大会议事规则》等规定和要求，召集、召开股东大会，</w:t>
      </w:r>
    </w:p>
    <w:p>
      <w:pPr>
        <w:pStyle w:val="BodyText"/>
        <w:spacing w:line="316" w:lineRule="auto" w:before="19"/>
        <w:ind w:right="190"/>
        <w:jc w:val="both"/>
      </w:pPr>
      <w:r>
        <w:rPr>
          <w:spacing w:val="-2"/>
        </w:rPr>
        <w:t>平等对待所有股东，并尽可能为股东能够参加股东大会提供便利，使其充分行使股东权利；通过聘请律师出席见证保证了会</w:t>
      </w:r>
      <w:r>
        <w:rPr>
          <w:spacing w:val="-63"/>
        </w:rPr>
        <w:t> </w:t>
      </w:r>
      <w:r>
        <w:rPr>
          <w:spacing w:val="-63"/>
        </w:rPr>
      </w:r>
      <w:r>
        <w:rPr/>
        <w:t>议的召集、召开和表决程序的合法性。</w:t>
      </w:r>
    </w:p>
    <w:p>
      <w:pPr>
        <w:pStyle w:val="BodyText"/>
        <w:spacing w:line="316" w:lineRule="auto" w:before="19"/>
        <w:ind w:left="513" w:right="0"/>
        <w:jc w:val="left"/>
      </w:pPr>
      <w:r>
        <w:rPr/>
        <w:t>（二）关于公司与控股股东 </w:t>
      </w:r>
      <w:r>
        <w:rPr>
          <w:spacing w:val="-2"/>
        </w:rPr>
        <w:t>公司控股股东严格规范自己的行为，依法行使权力和承担义务，没有超越股东大会直接或间接干预公司的决策和经营活</w:t>
      </w:r>
    </w:p>
    <w:p>
      <w:pPr>
        <w:pStyle w:val="BodyText"/>
        <w:spacing w:line="319" w:lineRule="auto" w:before="19"/>
        <w:ind w:right="196"/>
        <w:jc w:val="both"/>
      </w:pPr>
      <w:r>
        <w:rPr>
          <w:spacing w:val="-2"/>
        </w:rPr>
        <w:t>动。公司拥有独立完整的业务和自主经营能力，在资产、人员、机构、财务上均独立于控股股东，公司董事会、监事会和内</w:t>
      </w:r>
      <w:r>
        <w:rPr>
          <w:spacing w:val="-73"/>
        </w:rPr>
        <w:t> </w:t>
      </w:r>
      <w:r>
        <w:rPr>
          <w:spacing w:val="-73"/>
        </w:rPr>
      </w:r>
      <w:r>
        <w:rPr/>
        <w:t>部机构独立运作。</w:t>
      </w:r>
    </w:p>
    <w:p>
      <w:pPr>
        <w:pStyle w:val="BodyText"/>
        <w:spacing w:line="316" w:lineRule="auto" w:before="17"/>
        <w:ind w:left="513" w:right="0"/>
        <w:jc w:val="left"/>
      </w:pPr>
      <w:r>
        <w:rPr/>
        <w:t>（三）关于董事和董事会 </w:t>
      </w:r>
      <w:r>
        <w:rPr>
          <w:spacing w:val="-2"/>
        </w:rPr>
        <w:t>公司董事会设董事</w:t>
      </w:r>
      <w:r>
        <w:rPr>
          <w:rFonts w:ascii="Times New Roman" w:hAnsi="Times New Roman" w:cs="Times New Roman" w:eastAsia="Times New Roman" w:hint="default"/>
          <w:spacing w:val="-2"/>
        </w:rPr>
        <w:t>6</w:t>
      </w:r>
      <w:r>
        <w:rPr>
          <w:spacing w:val="-2"/>
        </w:rPr>
        <w:t>名，其中独立董事</w:t>
      </w:r>
      <w:r>
        <w:rPr>
          <w:rFonts w:ascii="Times New Roman" w:hAnsi="Times New Roman" w:cs="Times New Roman" w:eastAsia="Times New Roman" w:hint="default"/>
          <w:spacing w:val="-2"/>
        </w:rPr>
        <w:t>2</w:t>
      </w:r>
      <w:r>
        <w:rPr>
          <w:spacing w:val="-2"/>
        </w:rPr>
        <w:t>名，董事会的人数及人员构成符合法律、法规和《公司章程》的要求。各位董事</w:t>
      </w:r>
    </w:p>
    <w:p>
      <w:pPr>
        <w:pStyle w:val="BodyText"/>
        <w:spacing w:line="316" w:lineRule="auto"/>
        <w:ind w:right="195"/>
        <w:jc w:val="both"/>
      </w:pPr>
      <w:r>
        <w:rPr>
          <w:spacing w:val="-2"/>
        </w:rPr>
        <w:t>能够依据《董事会议事规则》、《独立董事工作制度》、《深圳证券交易所创业板上市公司规范运作指引》等开展工作，出</w:t>
      </w:r>
      <w:r>
        <w:rPr>
          <w:spacing w:val="-70"/>
        </w:rPr>
        <w:t> </w:t>
      </w:r>
      <w:r>
        <w:rPr>
          <w:spacing w:val="-70"/>
        </w:rPr>
      </w:r>
      <w:r>
        <w:rPr/>
        <w:t>席董事会和股东大会，勤勉尽责地履行职责和义务，同时积极参加相关培训，学习相关法律法规。</w:t>
      </w:r>
    </w:p>
    <w:p>
      <w:pPr>
        <w:pStyle w:val="BodyText"/>
        <w:spacing w:line="316" w:lineRule="auto" w:before="19"/>
        <w:ind w:left="513" w:right="0"/>
        <w:jc w:val="left"/>
      </w:pPr>
      <w:r>
        <w:rPr/>
        <w:t>（四）关于监事和监事会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名，监事会的人数和构成符合法律、法规的要求。各位监事能够按照《监事会议</w:t>
      </w:r>
    </w:p>
    <w:p>
      <w:pPr>
        <w:pStyle w:val="BodyText"/>
        <w:spacing w:line="316" w:lineRule="auto"/>
        <w:ind w:right="104"/>
        <w:jc w:val="both"/>
      </w:pPr>
      <w:r>
        <w:rPr>
          <w:spacing w:val="-4"/>
        </w:rPr>
        <w:t>事规则》的要求，认真履行自己的职责，对公司重大事项、关联交易、财务状况以及董事、高级管理人员履行职责的合法性、</w:t>
      </w:r>
      <w:r>
        <w:rPr>
          <w:spacing w:val="-44"/>
        </w:rPr>
        <w:t> </w:t>
      </w:r>
      <w:r>
        <w:rPr>
          <w:spacing w:val="-44"/>
        </w:rPr>
      </w:r>
      <w:r>
        <w:rPr/>
        <w:t>合规性进行监督。</w:t>
      </w:r>
    </w:p>
    <w:p>
      <w:pPr>
        <w:pStyle w:val="BodyText"/>
        <w:spacing w:line="316" w:lineRule="auto" w:before="19"/>
        <w:ind w:left="513" w:right="0"/>
        <w:jc w:val="left"/>
      </w:pPr>
      <w:r>
        <w:rPr/>
        <w:t>（五）关于绩效评价与激励约束机制 </w:t>
      </w:r>
      <w:r>
        <w:rPr>
          <w:spacing w:val="-2"/>
        </w:rPr>
        <w:t>公司逐步建立和完善企业绩效评价激励体系，高级管理人员的聘任公开、透明，符合法律、法规的规定。报告期内，本</w:t>
      </w:r>
    </w:p>
    <w:p>
      <w:pPr>
        <w:pStyle w:val="BodyText"/>
        <w:spacing w:line="240" w:lineRule="auto" w:before="19"/>
        <w:ind w:right="0"/>
        <w:jc w:val="both"/>
      </w:pPr>
      <w:r>
        <w:rPr/>
        <w:t>公司高级管理人员经考核，均认真履行了工作职责。</w:t>
      </w:r>
    </w:p>
    <w:p>
      <w:pPr>
        <w:pStyle w:val="BodyText"/>
        <w:spacing w:line="316" w:lineRule="auto" w:before="77"/>
        <w:ind w:left="513" w:right="0" w:firstLine="72"/>
        <w:jc w:val="left"/>
      </w:pPr>
      <w:r>
        <w:rPr/>
        <w:t>（六）关于信息披露与透明度 </w:t>
      </w:r>
      <w:r>
        <w:rPr>
          <w:spacing w:val="-2"/>
        </w:rPr>
        <w:t>公司严格按照有关法律法规以及《信息披露事务管理制度》等公司制度的要求，真实、准确、及时、公平、完整地披露</w:t>
      </w:r>
    </w:p>
    <w:p>
      <w:pPr>
        <w:pStyle w:val="BodyText"/>
        <w:spacing w:line="300" w:lineRule="auto" w:before="19"/>
        <w:ind w:right="194"/>
        <w:jc w:val="both"/>
      </w:pPr>
      <w:r>
        <w:rPr/>
        <w:t>有关信息，并指定《证券时报》和巨潮资讯网（</w:t>
      </w:r>
      <w:hyperlink r:id="rId10">
        <w:r>
          <w:rPr>
            <w:rFonts w:ascii="Times New Roman" w:hAnsi="Times New Roman" w:cs="Times New Roman" w:eastAsia="Times New Roman" w:hint="default"/>
          </w:rPr>
          <w:t>http://www.cninfo.com.cn</w:t>
        </w:r>
      </w:hyperlink>
      <w:r>
        <w:rPr/>
        <w:t>）为公司信息披露的指定报纸和网站，确保了所有 股东在获得公司信息方面享有的平等机会。</w:t>
      </w:r>
    </w:p>
    <w:p>
      <w:pPr>
        <w:pStyle w:val="BodyText"/>
        <w:spacing w:line="316" w:lineRule="auto" w:before="31"/>
        <w:ind w:left="513" w:right="0"/>
        <w:jc w:val="left"/>
      </w:pPr>
      <w:r>
        <w:rPr/>
        <w:t>（七）关于投资者关系管理 </w:t>
      </w:r>
      <w:r>
        <w:rPr>
          <w:spacing w:val="-2"/>
        </w:rPr>
        <w:t>公司上市以来，不断摸索、改进和充分的开展投资者关系管理工作，指定专人负责与投资者进行沟通和交流，协调公司</w:t>
      </w:r>
    </w:p>
    <w:p>
      <w:pPr>
        <w:pStyle w:val="BodyText"/>
        <w:spacing w:line="316" w:lineRule="auto" w:before="19"/>
        <w:ind w:right="111"/>
        <w:jc w:val="both"/>
      </w:pPr>
      <w:r>
        <w:rPr/>
        <w:t>与投资者的关系。同时，公司通过电话、邮箱、投资者互动平台等多种渠道，积极、全面的与投资者建立良好的互动关系， 保障了全体股东的合法权益。</w:t>
      </w:r>
    </w:p>
    <w:p>
      <w:pPr>
        <w:pStyle w:val="BodyText"/>
        <w:spacing w:line="240" w:lineRule="auto" w:before="19"/>
        <w:ind w:left="513" w:right="0"/>
        <w:jc w:val="left"/>
      </w:pPr>
      <w:r>
        <w:rPr/>
        <w:t>（八）关于相关利益者</w:t>
      </w:r>
    </w:p>
    <w:p>
      <w:pPr>
        <w:spacing w:after="0" w:line="240" w:lineRule="auto"/>
        <w:jc w:val="left"/>
        <w:sectPr>
          <w:pgSz w:w="11910" w:h="16840"/>
          <w:pgMar w:header="877"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0" w:firstLine="360"/>
        <w:jc w:val="left"/>
      </w:pPr>
      <w:r>
        <w:rPr>
          <w:spacing w:val="-2"/>
        </w:rPr>
        <w:t>公司充分尊重和维护相关利益者的合法权益，实现股东、员工、社会等各方利益的协调平衡，共同推动公司持续、健康</w:t>
      </w:r>
      <w:r>
        <w:rPr/>
        <w:t> 的发展。</w:t>
      </w:r>
    </w:p>
    <w:p>
      <w:pPr>
        <w:pStyle w:val="BodyText"/>
        <w:spacing w:line="240" w:lineRule="auto" w:before="58"/>
        <w:ind w:right="0"/>
        <w:jc w:val="left"/>
      </w:pPr>
      <w:r>
        <w:rPr/>
        <w:t>公司治理与《公司法》和中国证监会相关规定的要求是否存在差异</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1861"/>
        <w:gridCol w:w="3260"/>
        <w:gridCol w:w="2045"/>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2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45" w:right="17" w:hanging="810"/>
              <w:jc w:val="left"/>
              <w:rPr>
                <w:rFonts w:ascii="宋体" w:hAnsi="宋体" w:cs="宋体" w:eastAsia="宋体" w:hint="default"/>
                <w:sz w:val="18"/>
                <w:szCs w:val="18"/>
              </w:rPr>
            </w:pPr>
            <w:r>
              <w:rPr>
                <w:rFonts w:ascii="宋体" w:hAnsi="宋体" w:cs="宋体" w:eastAsia="宋体" w:hint="default"/>
                <w:sz w:val="18"/>
                <w:szCs w:val="18"/>
              </w:rPr>
              <w:t>会议决议刊登的信息披露 日期</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年年度股东大会</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5"/>
                <w:sz w:val="18"/>
                <w:szCs w:val="18"/>
              </w:rPr>
              <w:t> </w:t>
            </w:r>
            <w:hyperlink r:id="rId10">
              <w:r>
                <w:rPr>
                  <w:rFonts w:ascii="Times New Roman" w:hAnsi="Times New Roman" w:cs="Times New Roman" w:eastAsia="Times New Roman" w:hint="default"/>
                  <w:sz w:val="18"/>
                  <w:szCs w:val="18"/>
                </w:rPr>
                <w:t>www.cninfo.com.cn</w:t>
              </w:r>
            </w:hyperlink>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1861"/>
        <w:gridCol w:w="3260"/>
        <w:gridCol w:w="2057"/>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5" w:right="29" w:hanging="810"/>
              <w:jc w:val="left"/>
              <w:rPr>
                <w:rFonts w:ascii="宋体" w:hAnsi="宋体" w:cs="宋体" w:eastAsia="宋体" w:hint="default"/>
                <w:sz w:val="18"/>
                <w:szCs w:val="18"/>
              </w:rPr>
            </w:pPr>
            <w:r>
              <w:rPr>
                <w:rFonts w:ascii="宋体" w:hAnsi="宋体" w:cs="宋体" w:eastAsia="宋体" w:hint="default"/>
                <w:sz w:val="18"/>
                <w:szCs w:val="18"/>
              </w:rPr>
              <w:t>会议决议刊登的信息披露 日期</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5"/>
                <w:sz w:val="18"/>
                <w:szCs w:val="18"/>
              </w:rPr>
              <w:t> </w:t>
            </w:r>
            <w:hyperlink r:id="rId10">
              <w:r>
                <w:rPr>
                  <w:rFonts w:ascii="Times New Roman" w:hAnsi="Times New Roman" w:cs="Times New Roman" w:eastAsia="Times New Roman" w:hint="default"/>
                  <w:sz w:val="18"/>
                  <w:szCs w:val="18"/>
                </w:rPr>
                <w:t>www.cninfo.com.cn</w:t>
              </w:r>
            </w:hyperlink>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5"/>
                <w:sz w:val="18"/>
                <w:szCs w:val="18"/>
              </w:rPr>
              <w:t> </w:t>
            </w:r>
            <w:hyperlink r:id="rId10">
              <w:r>
                <w:rPr>
                  <w:rFonts w:ascii="Times New Roman" w:hAnsi="Times New Roman" w:cs="Times New Roman" w:eastAsia="Times New Roman" w:hint="default"/>
                  <w:sz w:val="18"/>
                  <w:szCs w:val="18"/>
                </w:rPr>
                <w:t>www.cninfo.com.cn</w:t>
              </w:r>
            </w:hyperlink>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5"/>
                <w:sz w:val="18"/>
                <w:szCs w:val="18"/>
              </w:rPr>
              <w:t> </w:t>
            </w:r>
            <w:hyperlink r:id="rId10">
              <w:r>
                <w:rPr>
                  <w:rFonts w:ascii="Times New Roman" w:hAnsi="Times New Roman" w:cs="Times New Roman" w:eastAsia="Times New Roman" w:hint="default"/>
                  <w:sz w:val="18"/>
                  <w:szCs w:val="18"/>
                </w:rPr>
                <w:t>www.cninfo.com.cn</w:t>
              </w:r>
            </w:hyperlink>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三、报告期董事会召开情况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1861"/>
        <w:gridCol w:w="3260"/>
        <w:gridCol w:w="2057"/>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5" w:right="29" w:hanging="810"/>
              <w:jc w:val="left"/>
              <w:rPr>
                <w:rFonts w:ascii="宋体" w:hAnsi="宋体" w:cs="宋体" w:eastAsia="宋体" w:hint="default"/>
                <w:sz w:val="18"/>
                <w:szCs w:val="18"/>
              </w:rPr>
            </w:pPr>
            <w:r>
              <w:rPr>
                <w:rFonts w:ascii="宋体" w:hAnsi="宋体" w:cs="宋体" w:eastAsia="宋体" w:hint="default"/>
                <w:sz w:val="18"/>
                <w:szCs w:val="18"/>
              </w:rPr>
              <w:t>会议决议刊登的信息披露 日期</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第一届董事会第十四次会议</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5"/>
                <w:sz w:val="18"/>
                <w:szCs w:val="18"/>
              </w:rPr>
              <w:t> </w:t>
            </w:r>
            <w:hyperlink r:id="rId10">
              <w:r>
                <w:rPr>
                  <w:rFonts w:ascii="Times New Roman" w:hAnsi="Times New Roman" w:cs="Times New Roman" w:eastAsia="Times New Roman" w:hint="default"/>
                  <w:sz w:val="18"/>
                  <w:szCs w:val="18"/>
                </w:rPr>
                <w:t>www.cninfo.com.cn</w:t>
              </w:r>
            </w:hyperlink>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第一届董事会第十五次会议</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5"/>
                <w:sz w:val="18"/>
                <w:szCs w:val="18"/>
              </w:rPr>
              <w:t> </w:t>
            </w:r>
            <w:hyperlink r:id="rId10">
              <w:r>
                <w:rPr>
                  <w:rFonts w:ascii="Times New Roman" w:hAnsi="Times New Roman" w:cs="Times New Roman" w:eastAsia="Times New Roman" w:hint="default"/>
                  <w:sz w:val="18"/>
                  <w:szCs w:val="18"/>
                </w:rPr>
                <w:t>www.cninfo.com.cn</w:t>
              </w:r>
            </w:hyperlink>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第一届董事会第十六次会议</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5"/>
                <w:sz w:val="18"/>
                <w:szCs w:val="18"/>
              </w:rPr>
              <w:t> </w:t>
            </w:r>
            <w:hyperlink r:id="rId10">
              <w:r>
                <w:rPr>
                  <w:rFonts w:ascii="Times New Roman" w:hAnsi="Times New Roman" w:cs="Times New Roman" w:eastAsia="Times New Roman" w:hint="default"/>
                  <w:sz w:val="18"/>
                  <w:szCs w:val="18"/>
                </w:rPr>
                <w:t>www.cninfo.com.cn</w:t>
              </w:r>
            </w:hyperlink>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第一届董事会第十七次会议</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5"/>
                <w:sz w:val="18"/>
                <w:szCs w:val="18"/>
              </w:rPr>
              <w:t> </w:t>
            </w:r>
            <w:hyperlink r:id="rId10">
              <w:r>
                <w:rPr>
                  <w:rFonts w:ascii="Times New Roman" w:hAnsi="Times New Roman" w:cs="Times New Roman" w:eastAsia="Times New Roman" w:hint="default"/>
                  <w:sz w:val="18"/>
                  <w:szCs w:val="18"/>
                </w:rPr>
                <w:t>www.cninfo.com.cn</w:t>
              </w:r>
            </w:hyperlink>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第一届董事会第十八次会议</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5"/>
                <w:sz w:val="18"/>
                <w:szCs w:val="18"/>
              </w:rPr>
              <w:t> </w:t>
            </w:r>
            <w:hyperlink r:id="rId10">
              <w:r>
                <w:rPr>
                  <w:rFonts w:ascii="Times New Roman" w:hAnsi="Times New Roman" w:cs="Times New Roman" w:eastAsia="Times New Roman" w:hint="default"/>
                  <w:sz w:val="18"/>
                  <w:szCs w:val="18"/>
                </w:rPr>
                <w:t>www.cninfo.com.cn</w:t>
              </w:r>
            </w:hyperlink>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第一届董事会第十九次会议</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5"/>
                <w:sz w:val="18"/>
                <w:szCs w:val="18"/>
              </w:rPr>
              <w:t> </w:t>
            </w:r>
            <w:hyperlink r:id="rId10">
              <w:r>
                <w:rPr>
                  <w:rFonts w:ascii="Times New Roman" w:hAnsi="Times New Roman" w:cs="Times New Roman" w:eastAsia="Times New Roman" w:hint="default"/>
                  <w:sz w:val="18"/>
                  <w:szCs w:val="18"/>
                </w:rPr>
                <w:t>www.cninfo.com.cn</w:t>
              </w:r>
            </w:hyperlink>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第一届董事会第二十次会议</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5"/>
                <w:sz w:val="18"/>
                <w:szCs w:val="18"/>
              </w:rPr>
              <w:t> </w:t>
            </w:r>
            <w:hyperlink r:id="rId10">
              <w:r>
                <w:rPr>
                  <w:rFonts w:ascii="Times New Roman" w:hAnsi="Times New Roman" w:cs="Times New Roman" w:eastAsia="Times New Roman" w:hint="default"/>
                  <w:sz w:val="18"/>
                  <w:szCs w:val="18"/>
                </w:rPr>
                <w:t>www.cninfo.com.cn</w:t>
              </w:r>
            </w:hyperlink>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第二届董事会第一次会议</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5"/>
                <w:sz w:val="18"/>
                <w:szCs w:val="18"/>
              </w:rPr>
              <w:t> </w:t>
            </w:r>
            <w:hyperlink r:id="rId10">
              <w:r>
                <w:rPr>
                  <w:rFonts w:ascii="Times New Roman" w:hAnsi="Times New Roman" w:cs="Times New Roman" w:eastAsia="Times New Roman" w:hint="default"/>
                  <w:sz w:val="18"/>
                  <w:szCs w:val="18"/>
                </w:rPr>
                <w:t>www.cninfo.com.cn</w:t>
              </w:r>
            </w:hyperlink>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四、年度报告重大差错责任追究制度的建立与执行情况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51" w:firstLine="360"/>
        <w:jc w:val="both"/>
      </w:pPr>
      <w:r>
        <w:rPr>
          <w:spacing w:val="-2"/>
        </w:rPr>
        <w:t>为了进一步完善信息披露管理制度，强化信息披露责任意识，建立内部责任追究机制，促进董事、监事和高级管理人员</w:t>
      </w:r>
      <w:r>
        <w:rPr/>
        <w:t> </w:t>
      </w:r>
      <w:r>
        <w:rPr>
          <w:spacing w:val="-2"/>
        </w:rPr>
        <w:t>勤勉尽责，公司第一届董事会第十一次会议审议通过了《北京君正集成电路股份有限公司年报信息披露重大差错责任追究制</w:t>
      </w:r>
      <w:r>
        <w:rPr>
          <w:spacing w:val="-63"/>
        </w:rPr>
        <w:t> </w:t>
      </w:r>
      <w:r>
        <w:rPr>
          <w:spacing w:val="-63"/>
        </w:rPr>
      </w:r>
      <w:r>
        <w:rPr>
          <w:spacing w:val="-3"/>
        </w:rPr>
        <w:t>度》。报告期内公司未发生重大会计差错更正、重大遗漏信息补充以及业绩预告修正等情况。</w:t>
      </w:r>
    </w:p>
    <w:p>
      <w:pPr>
        <w:spacing w:after="0" w:line="316" w:lineRule="auto"/>
        <w:jc w:val="both"/>
        <w:sectPr>
          <w:pgSz w:w="11910" w:h="16840"/>
          <w:pgMar w:header="877"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监事会在报告期内的监督活动是否发现公司存在风险</w:t>
      </w:r>
    </w:p>
    <w:p>
      <w:pPr>
        <w:pStyle w:val="BodyText"/>
        <w:spacing w:line="340" w:lineRule="auto" w:before="115"/>
        <w:ind w:right="63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after="0" w:line="340" w:lineRule="auto"/>
        <w:jc w:val="left"/>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90" w:right="3626"/>
        <w:jc w:val="center"/>
        <w:rPr>
          <w:b w:val="0"/>
          <w:bCs w:val="0"/>
        </w:rPr>
      </w:pPr>
      <w:bookmarkStart w:name="_TOC_250001" w:id="9"/>
      <w:r>
        <w:rPr/>
        <w:t>第九节</w:t>
      </w:r>
      <w:r>
        <w:rPr>
          <w:spacing w:val="-2"/>
        </w:rPr>
        <w:t> </w:t>
      </w:r>
      <w:r>
        <w:rPr/>
        <w:t>财务报告</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北京兴华会计师事务所有限责任公司</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京会兴审字第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01011196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bl>
    <w:p>
      <w:pPr>
        <w:spacing w:line="240" w:lineRule="auto" w:before="5"/>
        <w:rPr>
          <w:rFonts w:ascii="宋体" w:hAnsi="宋体" w:cs="宋体" w:eastAsia="宋体" w:hint="default"/>
          <w:b/>
          <w:bCs/>
          <w:sz w:val="27"/>
          <w:szCs w:val="27"/>
        </w:rPr>
      </w:pPr>
    </w:p>
    <w:p>
      <w:pPr>
        <w:pStyle w:val="BodyText"/>
        <w:spacing w:line="240" w:lineRule="auto" w:before="44"/>
        <w:ind w:left="4432" w:right="0"/>
        <w:jc w:val="left"/>
      </w:pPr>
      <w:r>
        <w:rPr/>
        <w:t>审计报告正文</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spacing w:line="316" w:lineRule="auto" w:before="0"/>
        <w:ind w:left="506" w:right="177" w:hanging="354"/>
        <w:jc w:val="left"/>
        <w:rPr>
          <w:rFonts w:ascii="宋体" w:hAnsi="宋体" w:cs="宋体" w:eastAsia="宋体" w:hint="default"/>
          <w:sz w:val="18"/>
          <w:szCs w:val="18"/>
        </w:rPr>
      </w:pPr>
      <w:r>
        <w:rPr>
          <w:rFonts w:ascii="宋体" w:hAnsi="宋体" w:cs="宋体" w:eastAsia="宋体" w:hint="default"/>
          <w:b/>
          <w:bCs/>
          <w:sz w:val="18"/>
          <w:szCs w:val="18"/>
        </w:rPr>
        <w:t>北京君正集成电路股份有限公司全体股东：</w:t>
      </w:r>
      <w:r>
        <w:rPr>
          <w:rFonts w:ascii="宋体" w:hAnsi="宋体" w:cs="宋体" w:eastAsia="宋体" w:hint="default"/>
          <w:b/>
          <w:bCs/>
          <w:w w:val="99"/>
          <w:sz w:val="18"/>
          <w:szCs w:val="18"/>
        </w:rPr>
        <w:t> </w:t>
      </w:r>
      <w:r>
        <w:rPr>
          <w:rFonts w:ascii="宋体" w:hAnsi="宋体" w:cs="宋体" w:eastAsia="宋体" w:hint="default"/>
          <w:spacing w:val="-1"/>
          <w:sz w:val="18"/>
          <w:szCs w:val="18"/>
        </w:rPr>
        <w:t>我们审计了后附北京君正集成电路股份有限公司（以下简称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贵公司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）的财务报表，包括</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日的合并及母公</w:t>
      </w:r>
    </w:p>
    <w:p>
      <w:pPr>
        <w:pStyle w:val="BodyText"/>
        <w:spacing w:line="300" w:lineRule="auto"/>
        <w:ind w:right="0"/>
        <w:jc w:val="left"/>
      </w:pPr>
      <w:r>
        <w:rPr>
          <w:spacing w:val="-2"/>
        </w:rPr>
        <w:t>司资产负债表，</w:t>
      </w:r>
      <w:r>
        <w:rPr>
          <w:rFonts w:ascii="Times New Roman" w:hAnsi="Times New Roman" w:cs="Times New Roman" w:eastAsia="Times New Roman" w:hint="default"/>
          <w:spacing w:val="-2"/>
        </w:rPr>
        <w:t>2012</w:t>
      </w:r>
      <w:r>
        <w:rPr>
          <w:spacing w:val="-2"/>
        </w:rPr>
        <w:t>年度的合并及母公司利润表、合并及母公司现金流量表、合并及母公司股东权益变动表，以及财务报表</w:t>
      </w:r>
      <w:r>
        <w:rPr>
          <w:spacing w:val="-62"/>
        </w:rPr>
        <w:t> </w:t>
      </w:r>
      <w:r>
        <w:rPr>
          <w:spacing w:val="-62"/>
        </w:rPr>
      </w:r>
      <w:r>
        <w:rPr/>
        <w:t>附注。</w:t>
      </w:r>
    </w:p>
    <w:p>
      <w:pPr>
        <w:spacing w:line="316" w:lineRule="auto" w:before="31"/>
        <w:ind w:left="506" w:right="190" w:firstLine="7"/>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编制和公允列报财务报表是管理层的责任，这种责任包括：（</w:t>
      </w:r>
      <w:r>
        <w:rPr>
          <w:rFonts w:ascii="Times New Roman" w:hAnsi="Times New Roman" w:cs="Times New Roman" w:eastAsia="Times New Roman" w:hint="default"/>
          <w:sz w:val="18"/>
          <w:szCs w:val="18"/>
        </w:rPr>
        <w:t>1</w:t>
      </w:r>
      <w:r>
        <w:rPr>
          <w:rFonts w:ascii="宋体" w:hAnsi="宋体" w:cs="宋体" w:eastAsia="宋体" w:hint="default"/>
          <w:sz w:val="18"/>
          <w:szCs w:val="18"/>
        </w:rPr>
        <w:t>）在所有重大方面按照企业会计准则的规定编制财务报</w:t>
      </w:r>
    </w:p>
    <w:p>
      <w:pPr>
        <w:pStyle w:val="BodyText"/>
        <w:spacing w:line="309" w:lineRule="auto"/>
        <w:ind w:left="506" w:right="0" w:hanging="354"/>
        <w:jc w:val="left"/>
      </w:pPr>
      <w:r>
        <w:rPr>
          <w:spacing w:val="-2"/>
        </w:rPr>
        <w:t>表，并使其实现公允反映；（</w:t>
      </w:r>
      <w:r>
        <w:rPr>
          <w:rFonts w:ascii="Times New Roman" w:hAnsi="Times New Roman" w:cs="Times New Roman" w:eastAsia="Times New Roman" w:hint="default"/>
          <w:spacing w:val="-2"/>
        </w:rPr>
        <w:t>2</w:t>
      </w:r>
      <w:r>
        <w:rPr>
          <w:spacing w:val="-2"/>
        </w:rPr>
        <w:t>）设计、执行和维护必要的内部控制，以使财务报表不存在由于舞弊或错误导致的重大错报。</w:t>
      </w:r>
      <w:r>
        <w:rPr>
          <w:spacing w:val="-66"/>
        </w:rPr>
        <w:t> </w:t>
      </w:r>
      <w:r>
        <w:rPr>
          <w:spacing w:val="-66"/>
        </w:rPr>
      </w: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316" w:lineRule="auto" w:before="24"/>
        <w:ind w:right="0"/>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9"/>
        <w:ind w:right="101" w:firstLine="353"/>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2"/>
        </w:rPr>
        <w:t> </w:t>
      </w:r>
      <w:r>
        <w:rPr>
          <w:spacing w:val="-62"/>
        </w:rPr>
      </w:r>
      <w:r>
        <w:rPr/>
        <w:t>计政策的恰当性和作出会计估计的合理性，以及评价财务报表的总体列报。</w:t>
      </w:r>
    </w:p>
    <w:p>
      <w:pPr>
        <w:pStyle w:val="BodyText"/>
        <w:spacing w:line="316" w:lineRule="auto" w:before="19"/>
        <w:ind w:left="513" w:right="3161" w:hanging="8"/>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00" w:lineRule="auto" w:before="19"/>
        <w:ind w:right="0" w:firstLine="353"/>
        <w:jc w:val="left"/>
      </w:pPr>
      <w:r>
        <w:rPr>
          <w:spacing w:val="-2"/>
        </w:rPr>
        <w:t>我们认为，贵公司财务报表在所有重大方面按照企业会计准则的规定编制，公允反映了贵公司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w:t>
      </w:r>
      <w:r>
        <w:rPr/>
        <w:t> 母公司财务状况以及</w:t>
      </w:r>
      <w:r>
        <w:rPr>
          <w:rFonts w:ascii="Times New Roman" w:hAnsi="Times New Roman" w:cs="Times New Roman" w:eastAsia="Times New Roman" w:hint="default"/>
        </w:rPr>
        <w:t>2012</w:t>
      </w:r>
      <w:r>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tbl>
      <w:tblPr>
        <w:tblW w:w="0" w:type="auto"/>
        <w:jc w:val="left"/>
        <w:tblInd w:w="704" w:type="dxa"/>
        <w:tblLayout w:type="fixed"/>
        <w:tblCellMar>
          <w:top w:w="0" w:type="dxa"/>
          <w:left w:w="0" w:type="dxa"/>
          <w:bottom w:w="0" w:type="dxa"/>
          <w:right w:w="0" w:type="dxa"/>
        </w:tblCellMar>
        <w:tblLook w:val="01E0"/>
      </w:tblPr>
      <w:tblGrid>
        <w:gridCol w:w="4064"/>
        <w:gridCol w:w="3263"/>
      </w:tblGrid>
      <w:tr>
        <w:trPr>
          <w:trHeight w:val="413" w:hRule="exact"/>
        </w:trPr>
        <w:tc>
          <w:tcPr>
            <w:tcW w:w="4064" w:type="dxa"/>
            <w:tcBorders>
              <w:top w:val="nil" w:sz="6" w:space="0" w:color="auto"/>
              <w:left w:val="nil" w:sz="6" w:space="0" w:color="auto"/>
              <w:bottom w:val="nil" w:sz="6" w:space="0" w:color="auto"/>
              <w:right w:val="nil" w:sz="6" w:space="0" w:color="auto"/>
            </w:tcBorders>
          </w:tcPr>
          <w:p>
            <w:pPr>
              <w:pStyle w:val="TableParagraph"/>
              <w:spacing w:line="161" w:lineRule="exact"/>
              <w:ind w:right="1092"/>
              <w:jc w:val="center"/>
              <w:rPr>
                <w:rFonts w:ascii="宋体" w:hAnsi="宋体" w:cs="宋体" w:eastAsia="宋体" w:hint="default"/>
                <w:sz w:val="16"/>
                <w:szCs w:val="16"/>
              </w:rPr>
            </w:pPr>
            <w:r>
              <w:rPr>
                <w:rFonts w:ascii="宋体" w:hAnsi="宋体" w:cs="宋体" w:eastAsia="宋体" w:hint="default"/>
                <w:b/>
                <w:bCs/>
                <w:sz w:val="16"/>
                <w:szCs w:val="16"/>
              </w:rPr>
              <w:t>北京兴华会计师事务所有限责任公司</w:t>
            </w:r>
            <w:r>
              <w:rPr>
                <w:rFonts w:ascii="宋体" w:hAnsi="宋体" w:cs="宋体" w:eastAsia="宋体" w:hint="default"/>
                <w:sz w:val="16"/>
                <w:szCs w:val="16"/>
              </w:rPr>
            </w:r>
          </w:p>
        </w:tc>
        <w:tc>
          <w:tcPr>
            <w:tcW w:w="3263" w:type="dxa"/>
            <w:tcBorders>
              <w:top w:val="nil" w:sz="6" w:space="0" w:color="auto"/>
              <w:left w:val="nil" w:sz="6" w:space="0" w:color="auto"/>
              <w:bottom w:val="nil" w:sz="6" w:space="0" w:color="auto"/>
              <w:right w:val="nil" w:sz="6" w:space="0" w:color="auto"/>
            </w:tcBorders>
          </w:tcPr>
          <w:p>
            <w:pPr>
              <w:pStyle w:val="TableParagraph"/>
              <w:spacing w:line="161" w:lineRule="exact"/>
              <w:ind w:right="198"/>
              <w:jc w:val="right"/>
              <w:rPr>
                <w:rFonts w:ascii="宋体" w:hAnsi="宋体" w:cs="宋体" w:eastAsia="宋体" w:hint="default"/>
                <w:sz w:val="16"/>
                <w:szCs w:val="16"/>
              </w:rPr>
            </w:pPr>
            <w:r>
              <w:rPr>
                <w:rFonts w:ascii="宋体" w:hAnsi="宋体" w:cs="宋体" w:eastAsia="宋体" w:hint="default"/>
                <w:b/>
                <w:bCs/>
                <w:sz w:val="16"/>
                <w:szCs w:val="16"/>
              </w:rPr>
              <w:t>中国注册会计师：陈胜华</w:t>
            </w:r>
            <w:r>
              <w:rPr>
                <w:rFonts w:ascii="宋体" w:hAnsi="宋体" w:cs="宋体" w:eastAsia="宋体" w:hint="default"/>
                <w:sz w:val="16"/>
                <w:szCs w:val="16"/>
              </w:rPr>
            </w:r>
          </w:p>
        </w:tc>
      </w:tr>
      <w:tr>
        <w:trPr>
          <w:trHeight w:val="664" w:hRule="exact"/>
        </w:trPr>
        <w:tc>
          <w:tcPr>
            <w:tcW w:w="4064" w:type="dxa"/>
            <w:tcBorders>
              <w:top w:val="nil" w:sz="6" w:space="0" w:color="auto"/>
              <w:left w:val="nil" w:sz="6" w:space="0" w:color="auto"/>
              <w:bottom w:val="nil" w:sz="6" w:space="0" w:color="auto"/>
              <w:right w:val="nil" w:sz="6" w:space="0" w:color="auto"/>
            </w:tcBorders>
          </w:tcPr>
          <w:p>
            <w:pPr/>
          </w:p>
        </w:tc>
        <w:tc>
          <w:tcPr>
            <w:tcW w:w="32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8"/>
              <w:jc w:val="right"/>
              <w:rPr>
                <w:rFonts w:ascii="宋体" w:hAnsi="宋体" w:cs="宋体" w:eastAsia="宋体" w:hint="default"/>
                <w:sz w:val="16"/>
                <w:szCs w:val="16"/>
              </w:rPr>
            </w:pPr>
            <w:r>
              <w:rPr>
                <w:rFonts w:ascii="宋体" w:hAnsi="宋体" w:cs="宋体" w:eastAsia="宋体" w:hint="default"/>
                <w:b/>
                <w:bCs/>
                <w:sz w:val="16"/>
                <w:szCs w:val="16"/>
              </w:rPr>
              <w:t>中国注册会计师：时彦禄</w:t>
            </w:r>
            <w:r>
              <w:rPr>
                <w:rFonts w:ascii="宋体" w:hAnsi="宋体" w:cs="宋体" w:eastAsia="宋体" w:hint="default"/>
                <w:sz w:val="16"/>
                <w:szCs w:val="16"/>
              </w:rPr>
            </w:r>
          </w:p>
        </w:tc>
      </w:tr>
      <w:tr>
        <w:trPr>
          <w:trHeight w:val="420" w:hRule="exact"/>
        </w:trPr>
        <w:tc>
          <w:tcPr>
            <w:tcW w:w="40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89"/>
              <w:jc w:val="center"/>
              <w:rPr>
                <w:rFonts w:ascii="宋体" w:hAnsi="宋体" w:cs="宋体" w:eastAsia="宋体" w:hint="default"/>
                <w:sz w:val="16"/>
                <w:szCs w:val="16"/>
              </w:rPr>
            </w:pPr>
            <w:r>
              <w:rPr>
                <w:rFonts w:ascii="宋体" w:hAnsi="宋体" w:cs="宋体" w:eastAsia="宋体" w:hint="default"/>
                <w:b/>
                <w:bCs/>
                <w:spacing w:val="-3"/>
                <w:sz w:val="16"/>
                <w:szCs w:val="16"/>
              </w:rPr>
              <w:t>中国</w:t>
            </w:r>
            <w:r>
              <w:rPr>
                <w:rFonts w:ascii="Times New Roman" w:hAnsi="Times New Roman" w:cs="Times New Roman" w:eastAsia="Times New Roman" w:hint="default"/>
                <w:b/>
                <w:bCs/>
                <w:spacing w:val="-3"/>
                <w:sz w:val="16"/>
                <w:szCs w:val="16"/>
              </w:rPr>
              <w:t>·</w:t>
            </w:r>
            <w:r>
              <w:rPr>
                <w:rFonts w:ascii="宋体" w:hAnsi="宋体" w:cs="宋体" w:eastAsia="宋体" w:hint="default"/>
                <w:b/>
                <w:bCs/>
                <w:spacing w:val="-3"/>
                <w:sz w:val="16"/>
                <w:szCs w:val="16"/>
              </w:rPr>
              <w:t>北京市</w:t>
            </w:r>
            <w:r>
              <w:rPr>
                <w:rFonts w:ascii="宋体" w:hAnsi="宋体" w:cs="宋体" w:eastAsia="宋体" w:hint="default"/>
                <w:spacing w:val="-3"/>
                <w:sz w:val="16"/>
                <w:szCs w:val="16"/>
              </w:rPr>
            </w:r>
          </w:p>
        </w:tc>
        <w:tc>
          <w:tcPr>
            <w:tcW w:w="32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8"/>
              <w:jc w:val="right"/>
              <w:rPr>
                <w:rFonts w:ascii="宋体" w:hAnsi="宋体" w:cs="宋体" w:eastAsia="宋体" w:hint="default"/>
                <w:sz w:val="16"/>
                <w:szCs w:val="16"/>
              </w:rPr>
            </w:pPr>
            <w:r>
              <w:rPr>
                <w:rFonts w:ascii="宋体" w:hAnsi="宋体" w:cs="宋体" w:eastAsia="宋体" w:hint="default"/>
                <w:b/>
                <w:bCs/>
                <w:sz w:val="16"/>
                <w:szCs w:val="16"/>
              </w:rPr>
              <w:t>二〇一三年三月二十一日</w:t>
            </w:r>
            <w:r>
              <w:rPr>
                <w:rFonts w:ascii="宋体" w:hAnsi="宋体" w:cs="宋体" w:eastAsia="宋体" w:hint="default"/>
                <w:sz w:val="16"/>
                <w:szCs w:val="16"/>
              </w:rPr>
            </w:r>
          </w:p>
        </w:tc>
      </w:tr>
    </w:tbl>
    <w:p>
      <w:pPr>
        <w:spacing w:after="0" w:line="240" w:lineRule="auto"/>
        <w:jc w:val="right"/>
        <w:rPr>
          <w:rFonts w:ascii="宋体" w:hAnsi="宋体" w:cs="宋体" w:eastAsia="宋体" w:hint="default"/>
          <w:sz w:val="16"/>
          <w:szCs w:val="16"/>
        </w:rPr>
        <w:sectPr>
          <w:pgSz w:w="11910" w:h="16840"/>
          <w:pgMar w:header="877" w:footer="980"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编制单位：北京君正集成电路股份有限公司</w:t>
      </w:r>
    </w:p>
    <w:p>
      <w:pPr>
        <w:pStyle w:val="BodyText"/>
        <w:spacing w:line="240" w:lineRule="auto" w:before="117"/>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929,782,178.74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984,635,710.87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16,509,595.68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32,169,439.91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17,313,859.02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12,432,069.11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21,520,518.52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8,987,580.46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688,135.47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714,762.19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50,162,343.57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36,215,720.25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1,035,976,631.00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1,075,155,282.79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4,579,145.59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2,345,290.56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31,075,806.64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32,162,882.14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32,660,995.78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4,507,264.89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6,009,686.49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3,082,620.03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3,963,505.55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75,407,719.29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44,979,478.38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1,111,384,350.29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1,120,134,761.17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7,125,535.29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9,073,350.77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2"/>
                <w:sz w:val="18"/>
              </w:rPr>
              <w:t>312,322.11</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16,725.18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4,859,610.98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3,756,942.78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545,312.92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-23,126.26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355,095.71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286,434.71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13,197,877.01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13,110,327.18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14,596,000.00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23,309,000.00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14,596,000.00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23,309,000.00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27,793,877.01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36,419,327.18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795,817,178.85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819,817,178.85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23,458,906.67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17,923,145.21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161,203,577.58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166,863,724.26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-889,189.82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-888,614.33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1,083,590,473.28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1,083,715,433.99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1,083,590,473.28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1,083,715,433.99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1,111,384,350.29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1,120,134,761.17</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901" w:val="left" w:leader="none"/>
        </w:tabs>
        <w:spacing w:line="240" w:lineRule="auto" w:before="44"/>
        <w:ind w:right="0"/>
        <w:jc w:val="left"/>
      </w:pPr>
      <w:r>
        <w:rPr/>
        <w:t>法定代表人：刘强</w:t>
        <w:tab/>
      </w:r>
      <w:r>
        <w:rPr>
          <w:spacing w:val="-1"/>
        </w:rPr>
        <w:t>主管会计工作负责人：张燕祥</w:t>
        <w:tab/>
      </w:r>
      <w:r>
        <w:rPr/>
        <w:t>会计机构负责人：叶飞</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编制单位：北京君正集成电路股份有限公司</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5"/>
        <w:gridCol w:w="3302"/>
        <w:gridCol w:w="3290"/>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38" w:right="0"/>
              <w:jc w:val="left"/>
              <w:rPr>
                <w:rFonts w:ascii="Times New Roman" w:hAnsi="Times New Roman" w:cs="Times New Roman" w:eastAsia="Times New Roman" w:hint="default"/>
                <w:sz w:val="18"/>
                <w:szCs w:val="18"/>
              </w:rPr>
            </w:pPr>
            <w:r>
              <w:rPr>
                <w:rFonts w:ascii="Times New Roman"/>
                <w:sz w:val="18"/>
              </w:rPr>
              <w:t>925,415,521.55</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982,232,358.30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17,269,748.15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30,169,095.40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17,313,359.02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12,432,069.11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21,520,518.52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8,987,580.46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17,766,247.15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9,711,274.61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45,704,817.18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34,532,053.09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1,044,990,211.57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1,078,064,430.97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15,700,871.41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15,700,871.41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4,136,993.65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1,887,418.66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31,075,806.64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32,162,882.14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32,660,995.78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4,507,264.89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6,009,686.49</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3,035,518.98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4,015,771.56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90,619,337.71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60,274,743.90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1,135,609,549.28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1,138,339,174.87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5,799,806.84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8,954,111.41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312,322.11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12,725.18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4,059,610.98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2,955,992.78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595,757.83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287,569.57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18,149,211.95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18,080,550.95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28,916,709.71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30,290,949.89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14,596,000.00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23,309,000.00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14,596,000.00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23,309,000.00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43,512,709.71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53,599,949.89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801,507,772.86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825,507,772.86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23,458,906.67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17,923,145.21</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163,130,160.04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161,308,306.91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1,092,096,839.57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1,084,739,224.98</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1,135,609,549.28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1,138,339,174.87</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901" w:val="left" w:leader="none"/>
        </w:tabs>
        <w:spacing w:line="240" w:lineRule="auto" w:before="44"/>
        <w:ind w:right="0"/>
        <w:jc w:val="left"/>
      </w:pPr>
      <w:r>
        <w:rPr/>
        <w:t>法定代表人：刘强</w:t>
        <w:tab/>
      </w:r>
      <w:r>
        <w:rPr>
          <w:spacing w:val="-1"/>
        </w:rPr>
        <w:t>主管会计工作负责人：张燕祥</w:t>
        <w:tab/>
      </w:r>
      <w:r>
        <w:rPr/>
        <w:t>会计机构负责人：叶飞</w:t>
      </w:r>
    </w:p>
    <w:p>
      <w:pPr>
        <w:spacing w:after="0" w:line="240" w:lineRule="auto"/>
        <w:jc w:val="left"/>
        <w:sectPr>
          <w:pgSz w:w="11910" w:h="16840"/>
          <w:pgMar w:header="877"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编制单位：北京君正集成电路股份有限公司</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106,933,127.74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168,232,374.76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106,933,127.74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168,232,374.76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102,698,524.41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122,029,510.96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55,867,695.52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73,594,924.81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1,056,071.44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1,758,778.75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3,811,459.58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4,535,176.84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71,285,818.84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55,440,232.95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-29,755,725.64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-13,517,106.03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433,204.67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217,503.64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4,234,603.33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46,202,863.80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48,578,297.06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20,820,250.48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2,271.03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20,186.98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52,810,629.36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67,002,927.30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4,935,014.58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2,737,824.32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47,875,614.78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64,265,102.98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47,875,614.78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64,265,102.98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0.4603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0.6898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0.4603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0.6898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-456,214.78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47,875,039.29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63,808,888.20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47,875,039.29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63,808,888.20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pStyle w:val="BodyText"/>
        <w:tabs>
          <w:tab w:pos="3578" w:val="left" w:leader="none"/>
          <w:tab w:pos="7901" w:val="left" w:leader="none"/>
        </w:tabs>
        <w:spacing w:line="240" w:lineRule="auto" w:before="141"/>
        <w:ind w:right="0"/>
        <w:jc w:val="left"/>
      </w:pPr>
      <w:r>
        <w:rPr/>
        <w:t>法定代表人：刘强</w:t>
        <w:tab/>
      </w:r>
      <w:r>
        <w:rPr>
          <w:spacing w:val="-1"/>
        </w:rPr>
        <w:t>主管会计工作负责人：张燕祥</w:t>
        <w:tab/>
      </w:r>
      <w:r>
        <w:rPr/>
        <w:t>会计机构负责人：叶飞</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编制单位：北京君正集成电路股份有限公司</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105,984,835.29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168,719,211.34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54,543,903.05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74,393,512.81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1,049,976.81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1,758,778.75</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4,127,563.49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4,453,626.98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62,879,772.14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48,203,001.60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-29,752,541.81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-13,515,988.42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1,321,391.41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679,868.69</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9,219,970.00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11,814,770.20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61,966,380.93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48,578,297.06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20,820,250.48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1,071.03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20,186.98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60,391,996.23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82,766,444.43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5,034,381.64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2,685,558.31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55,357,614.59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80,080,886.12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55,357,614.59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80,080,886.12</w:t>
            </w:r>
          </w:p>
        </w:tc>
      </w:tr>
    </w:tbl>
    <w:p>
      <w:pPr>
        <w:spacing w:line="240" w:lineRule="auto" w:before="2"/>
        <w:rPr>
          <w:rFonts w:ascii="宋体" w:hAnsi="宋体" w:cs="宋体" w:eastAsia="宋体" w:hint="default"/>
          <w:sz w:val="20"/>
          <w:szCs w:val="20"/>
        </w:rPr>
      </w:pPr>
    </w:p>
    <w:p>
      <w:pPr>
        <w:pStyle w:val="BodyText"/>
        <w:tabs>
          <w:tab w:pos="3578" w:val="left" w:leader="none"/>
          <w:tab w:pos="7901" w:val="left" w:leader="none"/>
        </w:tabs>
        <w:spacing w:line="240" w:lineRule="auto" w:before="44"/>
        <w:ind w:right="0"/>
        <w:jc w:val="left"/>
      </w:pPr>
      <w:r>
        <w:rPr/>
        <w:t>法定代表人：刘强</w:t>
        <w:tab/>
      </w:r>
      <w:r>
        <w:rPr>
          <w:spacing w:val="-1"/>
        </w:rPr>
        <w:t>主管会计工作负责人：张燕祥</w:t>
        <w:tab/>
      </w:r>
      <w:r>
        <w:rPr/>
        <w:t>会计机构负责人：叶飞</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编制单位：北京君正集成电路股份有限公司</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140,246,329.63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193,986,387.17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4,044,444.23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7,904,100.48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55,937,333.29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25,571,174.55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200,228,107.15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227,461,662.20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81,580,179.71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103,555,922.40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36,216,840.25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26,468,449.13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13,180,387.50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28,099,218.23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34,193,141.41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28,279,735.42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165,170,548.87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186,403,325.18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35,057,558.28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41,058,337.02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38,853,899.83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25,665,944.51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41,853,899.83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25,665,944.51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-41,853,899.83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-25,665,944.51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834,904,000.00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834,904,000.00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56,683.38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8,437,020.00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48,056,683.38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8,437,020.00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-48,056,683.38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826,466,980.00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-378,602.47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-54,853,532.13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841,480,770.04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984,635,710.87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143,154,940.83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929,782,178.74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984,635,710.87</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901" w:val="left" w:leader="none"/>
        </w:tabs>
        <w:spacing w:line="240" w:lineRule="auto" w:before="44"/>
        <w:ind w:right="0"/>
        <w:jc w:val="left"/>
      </w:pPr>
      <w:r>
        <w:rPr/>
        <w:t>法定代表人：刘强</w:t>
        <w:tab/>
      </w:r>
      <w:r>
        <w:rPr>
          <w:spacing w:val="-1"/>
        </w:rPr>
        <w:t>主管会计工作负责人：张燕祥</w:t>
        <w:tab/>
      </w:r>
      <w:r>
        <w:rPr/>
        <w:t>会计机构负责人：叶飞</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编制单位：北京君正集成电路股份有限公司</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136,488,994.11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196,557,258.47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3,970,434.23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7,904,100.48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55,926,451.54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25,553,842.58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196,385,879.88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230,015,201.53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78,852,661.12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102,327,316.50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28,975,845.94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21,200,089.99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13,070,784.51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28,098,798.23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42,511,015.57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44,310,268.47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163,410,307.14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195,936,473.19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32,975,572.74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34,078,728.34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9,219,970.00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pacing w:val="-1"/>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9,219,970.00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38,735,713.83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25,421,949.51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41,735,713.83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25,421,949.51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-41,735,713.83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-16,201,979.51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834,904,000.00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834,904,000.00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56,683.38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8,437,020.00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48,056,683.38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8,437,020.00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-48,056,683.38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826,466,980.00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-29,907.00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-56,816,836.75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844,313,821.83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982,232,358.30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137,918,536.47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925,415,521.55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982,232,358.30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980"/>
        </w:sectPr>
      </w:pPr>
    </w:p>
    <w:p>
      <w:pPr>
        <w:spacing w:line="240" w:lineRule="auto" w:before="3"/>
        <w:rPr>
          <w:rFonts w:ascii="Times New Roman" w:hAnsi="Times New Roman" w:cs="Times New Roman" w:eastAsia="Times New Roman" w:hint="default"/>
          <w:sz w:val="29"/>
          <w:szCs w:val="29"/>
        </w:rPr>
      </w:pPr>
    </w:p>
    <w:p>
      <w:pPr>
        <w:pStyle w:val="BodyText"/>
        <w:tabs>
          <w:tab w:pos="3578" w:val="left" w:leader="none"/>
          <w:tab w:pos="7901" w:val="left" w:leader="none"/>
        </w:tabs>
        <w:spacing w:line="240" w:lineRule="auto" w:before="44"/>
        <w:ind w:right="0"/>
        <w:jc w:val="left"/>
      </w:pPr>
      <w:r>
        <w:rPr/>
        <w:t>法定代表人：刘强</w:t>
        <w:tab/>
      </w:r>
      <w:r>
        <w:rPr>
          <w:spacing w:val="-1"/>
        </w:rPr>
        <w:t>主管会计工作负责人：张燕祥</w:t>
        <w:tab/>
      </w:r>
      <w:r>
        <w:rPr/>
        <w:t>会计机构负责人：叶飞</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980"/>
        </w:sectPr>
      </w:pPr>
    </w:p>
    <w:p>
      <w:pPr>
        <w:pStyle w:val="BodyText"/>
        <w:spacing w:line="357" w:lineRule="auto" w:before="44"/>
        <w:ind w:right="-20"/>
        <w:jc w:val="left"/>
      </w:pPr>
      <w:r>
        <w:rPr/>
        <w:t>编制单位：北京君正集成电路股份有限公司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880" w:bottom="280" w:left="980" w:right="980"/>
          <w:cols w:num="2" w:equalWidth="0">
            <w:col w:w="3573" w:space="5347"/>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819,817,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178.85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17,923,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145.21</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166,863,</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724.26</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-888,61</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4.33</w:t>
            </w: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1,083,715,</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433.99</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819,817,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178.85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17,923,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145.21</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166,863,</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724.26</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-888,61</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4.33</w:t>
            </w: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1,083,715,</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433.99</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2"/>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5,535,7</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61.46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-5,660,1</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46.68</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-575.49</w:t>
            </w: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-124,960.7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47,875,6</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14.78</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47,875,614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.78</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-575.49</w:t>
            </w: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Times New Roman" w:hAnsi="Times New Roman" w:cs="Times New Roman" w:eastAsia="Times New Roman" w:hint="default"/>
                <w:sz w:val="18"/>
                <w:szCs w:val="18"/>
              </w:rPr>
            </w:pPr>
            <w:r>
              <w:rPr>
                <w:rFonts w:ascii="Times New Roman"/>
                <w:sz w:val="18"/>
              </w:rPr>
              <w:t>-575.49</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47,875,6</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14.78</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-575.49</w:t>
            </w: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47,875,039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.29</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5,535,7</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61.46</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-53,535,</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761.46</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-48,000,00</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5,535,7</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61.46</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-5,535,7</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61.46</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-48,000,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-48,000,00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880" w:bottom="2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center"/>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104,000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795,817,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178.85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23,458,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906.67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161,203,</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577.58</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-889,18</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9.82</w:t>
            </w: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1,083,590,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473.28</w:t>
            </w:r>
          </w:p>
        </w:tc>
      </w:tr>
    </w:tbl>
    <w:p>
      <w:pPr>
        <w:pStyle w:val="BodyText"/>
        <w:spacing w:line="240" w:lineRule="auto" w:before="49"/>
        <w:ind w:right="0"/>
        <w:jc w:val="left"/>
      </w:pPr>
      <w:r>
        <w:rPr/>
        <w:t>上年金额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2"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14,156,1</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78.85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9,915,0</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56.60</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110,606,</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709.89</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-432,39</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9.55</w:t>
            </w: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194,245,54</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5.79</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2"/>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14,156,1</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78.85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9,915,0</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56.60</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110,606,</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709.89</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-432,39</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9.55</w:t>
            </w: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194,245,54</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5.79</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805,661,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8,008,0</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88.61</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56,257,0</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14.37</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-456,21</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4.78</w:t>
            </w: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889,469,88</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8.20</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64,265,1</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02.98</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64,265,102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.98</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-456,21</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4.78</w:t>
            </w: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-456,214.7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64,265,1</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02.98</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-456,21</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4.78</w:t>
            </w: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63,808,888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805,661,</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825,661,00</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805,661,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825,661,00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8,008,0</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88.61</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-8,008,0</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88.61</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8,008,0</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88.61</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-8,008,0</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88.61</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819,817,</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178.85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3" w:right="0"/>
              <w:jc w:val="left"/>
              <w:rPr>
                <w:rFonts w:ascii="Times New Roman" w:hAnsi="Times New Roman" w:cs="Times New Roman" w:eastAsia="Times New Roman" w:hint="default"/>
                <w:sz w:val="18"/>
                <w:szCs w:val="18"/>
              </w:rPr>
            </w:pPr>
            <w:r>
              <w:rPr>
                <w:rFonts w:ascii="Times New Roman"/>
                <w:sz w:val="18"/>
              </w:rPr>
              <w:t>17,923,</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145.21</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166,863,</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724.26</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-888,61</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4.33</w:t>
            </w: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1,083,715,</w:t>
            </w:r>
          </w:p>
          <w:p>
            <w:pPr>
              <w:pStyle w:val="TableParagraph"/>
              <w:spacing w:line="240" w:lineRule="auto" w:before="102"/>
              <w:ind w:left="367" w:right="0"/>
              <w:jc w:val="left"/>
              <w:rPr>
                <w:rFonts w:ascii="Times New Roman" w:hAnsi="Times New Roman" w:cs="Times New Roman" w:eastAsia="Times New Roman" w:hint="default"/>
                <w:sz w:val="18"/>
                <w:szCs w:val="18"/>
              </w:rPr>
            </w:pPr>
            <w:r>
              <w:rPr>
                <w:rFonts w:ascii="Times New Roman"/>
                <w:sz w:val="18"/>
              </w:rPr>
              <w:t>433.99</w:t>
            </w:r>
          </w:p>
        </w:tc>
      </w:tr>
    </w:tbl>
    <w:p>
      <w:pPr>
        <w:spacing w:line="240" w:lineRule="auto" w:before="2"/>
        <w:rPr>
          <w:rFonts w:ascii="宋体" w:hAnsi="宋体" w:cs="宋体" w:eastAsia="宋体" w:hint="default"/>
          <w:sz w:val="20"/>
          <w:szCs w:val="20"/>
        </w:rPr>
      </w:pPr>
    </w:p>
    <w:p>
      <w:pPr>
        <w:pStyle w:val="BodyText"/>
        <w:tabs>
          <w:tab w:pos="3578" w:val="left" w:leader="none"/>
          <w:tab w:pos="7901" w:val="left" w:leader="none"/>
        </w:tabs>
        <w:spacing w:line="240" w:lineRule="auto" w:before="44"/>
        <w:ind w:right="0"/>
        <w:jc w:val="left"/>
      </w:pPr>
      <w:r>
        <w:rPr/>
        <w:t>法定代表人：刘强</w:t>
        <w:tab/>
      </w:r>
      <w:r>
        <w:rPr>
          <w:spacing w:val="-1"/>
        </w:rPr>
        <w:t>主管会计工作负责人：张燕祥</w:t>
        <w:tab/>
      </w:r>
      <w:r>
        <w:rPr/>
        <w:t>会计机构负责人：叶飞</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980"/>
        </w:sectPr>
      </w:pPr>
    </w:p>
    <w:p>
      <w:pPr>
        <w:pStyle w:val="BodyText"/>
        <w:spacing w:line="357" w:lineRule="auto" w:before="44"/>
        <w:ind w:right="-20"/>
        <w:jc w:val="left"/>
      </w:pPr>
      <w:r>
        <w:rPr/>
        <w:t>编制单位：北京君正集成电路股份有限公司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880" w:bottom="280" w:left="980" w:right="980"/>
          <w:cols w:num="2" w:equalWidth="0">
            <w:col w:w="3573" w:space="5347"/>
            <w:col w:w="1030"/>
          </w:cols>
        </w:sectPr>
      </w:pPr>
    </w:p>
    <w:p>
      <w:pPr>
        <w:spacing w:line="240" w:lineRule="auto" w:before="0"/>
        <w:rPr>
          <w:rFonts w:ascii="Times New Roman" w:hAnsi="Times New Roman" w:cs="Times New Roman" w:eastAsia="Times New Roman" w:hint="default"/>
          <w:sz w:val="20"/>
          <w:szCs w:val="20"/>
        </w:rPr>
      </w:pPr>
      <w:r>
        <w:rPr/>
        <w:pict>
          <v:shape style="position:absolute;margin-left:138.600006pt;margin-top:679.365601pt;width:84.8pt;height:22.15pt;mso-position-horizontal-relative:page;mso-position-vertical-relative:page;z-index:-649528" type="#_x0000_t202" filled="false" stroked="false">
            <v:textbox inset="0,0,0,0">
              <w:txbxContent>
                <w:p>
                  <w:pPr>
                    <w:pStyle w:val="BodyText"/>
                    <w:spacing w:line="180" w:lineRule="exact"/>
                    <w:ind w:left="0" w:right="0"/>
                    <w:jc w:val="left"/>
                  </w:pPr>
                  <w:r>
                    <w:rPr/>
                    <w:t>（或股本）</w:t>
                  </w:r>
                </w:p>
              </w:txbxContent>
            </v:textbox>
            <w10:wrap type="none"/>
          </v:shape>
        </w:pict>
      </w:r>
      <w:r>
        <w:rPr/>
        <w:pict>
          <v:shape style="position:absolute;margin-left:138.600006pt;margin-top:701.97998pt;width:84.8pt;height:19.6pt;mso-position-horizontal-relative:page;mso-position-vertical-relative:page;z-index:-649504"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group style="position:absolute;margin-left:180.740005pt;margin-top:666.339966pt;width:42.65pt;height:55.8pt;mso-position-horizontal-relative:page;mso-position-vertical-relative:page;z-index:-649480" coordorigin="3615,13327" coordsize="853,1116">
            <v:group style="position:absolute;left:3639;top:13327;width:829;height:351" coordorigin="3639,13327" coordsize="829,351">
              <v:shape style="position:absolute;left:3639;top:13327;width:829;height:351" coordorigin="3639,13327" coordsize="829,351" path="m3639,13677l4467,13677,4467,13327,3639,13327,3639,13677xe" filled="true" fillcolor="#ffffff" stroked="false">
                <v:path arrowok="t"/>
                <v:fill type="solid"/>
              </v:shape>
            </v:group>
            <v:group style="position:absolute;left:3639;top:13677;width:829;height:353" coordorigin="3639,13677" coordsize="829,353">
              <v:shape style="position:absolute;left:3639;top:13677;width:829;height:353" coordorigin="3639,13677" coordsize="829,353" path="m3639,14030l4467,14030,4467,13677,3639,13677,3639,14030xe" filled="true" fillcolor="#ffffff" stroked="false">
                <v:path arrowok="t"/>
                <v:fill type="solid"/>
              </v:shape>
            </v:group>
            <v:group style="position:absolute;left:3627;top:14040;width:2;height:392" coordorigin="3627,14040" coordsize="2,392">
              <v:shape style="position:absolute;left:3627;top:14040;width:2;height:392" coordorigin="3627,14040" coordsize="0,392" path="m3627,14040l3627,14431e" filled="false" stroked="true" strokeweight="1.2pt" strokecolor="#ffffff">
                <v:path arrowok="t"/>
              </v:shape>
            </v:group>
            <v:group style="position:absolute;left:3639;top:14040;width:829;height:392" coordorigin="3639,14040" coordsize="829,392">
              <v:shape style="position:absolute;left:3639;top:14040;width:829;height:392" coordorigin="3639,14040" coordsize="829,392" path="m3639,14431l4467,14431,4467,14040,3639,14040,3639,1443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453"/>
        <w:gridCol w:w="896"/>
        <w:gridCol w:w="886"/>
        <w:gridCol w:w="886"/>
        <w:gridCol w:w="886"/>
        <w:gridCol w:w="886"/>
        <w:gridCol w:w="886"/>
        <w:gridCol w:w="888"/>
        <w:gridCol w:w="890"/>
      </w:tblGrid>
      <w:tr>
        <w:trPr>
          <w:trHeight w:val="402"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2"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59"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5" w:lineRule="exact" w:before="49"/>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8"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202" w:hRule="exact"/>
        </w:trPr>
        <w:tc>
          <w:tcPr>
            <w:tcW w:w="2453"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61" w:hRule="exact"/>
        </w:trPr>
        <w:tc>
          <w:tcPr>
            <w:tcW w:w="2453"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825,507,77</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2.86</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17,923,145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.21</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161,308,30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6.91</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1,084,739,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224.98</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825,507,77</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2.86</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17,923,145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.21</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161,308,30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6.91</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1,084,739,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224.98</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6"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4"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5,535,761.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1,821,853.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7,357,614.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59</w:t>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55,357,614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.59</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55,357,614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.59</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55,357,614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.59</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55,357,614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.59</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7"/>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5,535,761.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46</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-53,535,76</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1.46</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-48,000,00</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5,535,761.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-5,535,761.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c>
          <w:tcPr>
            <w:tcW w:w="890" w:type="dxa"/>
            <w:vMerge w:val="restart"/>
            <w:tcBorders>
              <w:top w:val="single" w:sz="4" w:space="0" w:color="000000"/>
              <w:left w:val="single" w:sz="4" w:space="0" w:color="000000"/>
              <w:right w:val="single" w:sz="4" w:space="0" w:color="000000"/>
            </w:tcBorders>
          </w:tcPr>
          <w:p>
            <w:pP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-48,000,00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0.00</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-48,000,00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4"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3"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96" w:type="dxa"/>
            <w:tcBorders>
              <w:top w:val="nil" w:sz="6" w:space="0" w:color="auto"/>
              <w:left w:val="single" w:sz="13" w:space="0" w:color="D2D2D2"/>
              <w:bottom w:val="nil" w:sz="6" w:space="0" w:color="auto"/>
              <w:right w:val="single" w:sz="4" w:space="0" w:color="000000"/>
            </w:tcBorders>
          </w:tcPr>
          <w:p>
            <w:pPr>
              <w:pStyle w:val="TableParagraph"/>
              <w:spacing w:line="142" w:lineRule="exact"/>
              <w:ind w:right="19"/>
              <w:jc w:val="right"/>
              <w:rPr>
                <w:rFonts w:ascii="Times New Roman" w:hAnsi="Times New Roman" w:cs="Times New Roman" w:eastAsia="Times New Roman" w:hint="default"/>
                <w:sz w:val="18"/>
                <w:szCs w:val="18"/>
              </w:rPr>
            </w:pPr>
            <w:r>
              <w:rPr>
                <w:rFonts w:ascii="Times New Roman"/>
                <w:spacing w:val="-1"/>
                <w:sz w:val="18"/>
              </w:rPr>
              <w:t>24,000,000</w:t>
            </w:r>
          </w:p>
          <w:p>
            <w:pPr>
              <w:pStyle w:val="TableParagraph"/>
              <w:spacing w:line="186" w:lineRule="exact"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104,000,00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801,507,77</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2.86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23,458,906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.67</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163,130,16</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0.04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1,092,096,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839.57</w:t>
            </w:r>
          </w:p>
        </w:tc>
      </w:tr>
    </w:tbl>
    <w:p>
      <w:pPr>
        <w:pStyle w:val="BodyText"/>
        <w:spacing w:line="240" w:lineRule="auto" w:before="49"/>
        <w:ind w:right="0"/>
        <w:jc w:val="left"/>
      </w:pPr>
      <w:r>
        <w:rPr/>
        <w:t>上年金额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896"/>
        <w:gridCol w:w="886"/>
        <w:gridCol w:w="886"/>
        <w:gridCol w:w="884"/>
        <w:gridCol w:w="886"/>
        <w:gridCol w:w="884"/>
        <w:gridCol w:w="883"/>
        <w:gridCol w:w="883"/>
      </w:tblGrid>
      <w:tr>
        <w:trPr>
          <w:trHeight w:val="396"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7"/>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56"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9"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202" w:hRule="exact"/>
        </w:trPr>
        <w:tc>
          <w:tcPr>
            <w:tcW w:w="2472"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72"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19,846,772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.86</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9,915,056.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60</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89,235,509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178,997,33</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8.86</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19,846,772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.86</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9,915,056.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60</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89,235,509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178,997,33</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8.86</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6"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805,661,00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8,008,088.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72,072,797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905,741,88</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6.12</w:t>
            </w: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80,080,886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.12</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80,080,886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.12</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80,080,886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.12</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80,080,886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.12</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805,661,00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825,661,00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805,661,00</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825,661,00</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6"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8,008,088.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-8,008,088.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61</w:t>
            </w:r>
          </w:p>
        </w:tc>
        <w:tc>
          <w:tcPr>
            <w:tcW w:w="883" w:type="dxa"/>
            <w:vMerge w:val="restart"/>
            <w:tcBorders>
              <w:top w:val="single" w:sz="4" w:space="0" w:color="000000"/>
              <w:left w:val="single" w:sz="4" w:space="0" w:color="000000"/>
              <w:right w:val="single" w:sz="4" w:space="0" w:color="000000"/>
            </w:tcBorders>
          </w:tcPr>
          <w:p>
            <w:pP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8,008,088.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61</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-8,008,088.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61</w:t>
            </w:r>
          </w:p>
        </w:tc>
        <w:tc>
          <w:tcPr>
            <w:tcW w:w="883" w:type="dxa"/>
            <w:vMerge w:val="restart"/>
            <w:tcBorders>
              <w:top w:val="single" w:sz="4" w:space="0" w:color="000000"/>
              <w:left w:val="single" w:sz="4" w:space="0" w:color="000000"/>
              <w:right w:val="single" w:sz="4" w:space="0" w:color="000000"/>
            </w:tcBorders>
          </w:tcPr>
          <w:p>
            <w:pP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6"/>
        <w:rPr>
          <w:rFonts w:ascii="宋体" w:hAnsi="宋体" w:cs="宋体" w:eastAsia="宋体" w:hint="default"/>
          <w:sz w:val="28"/>
          <w:szCs w:val="28"/>
        </w:rPr>
      </w:pPr>
      <w:r>
        <w:rPr/>
        <w:pict>
          <v:shape style="position:absolute;margin-left:139.554001pt;margin-top:132.859985pt;width:84.8pt;height:19.6pt;mso-position-horizontal-relative:page;mso-position-vertical-relative:page;z-index:-649456"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shape style="position:absolute;margin-left:139.554001pt;margin-top:152.899979pt;width:84.8pt;height:19.6pt;mso-position-horizontal-relative:page;mso-position-vertical-relative:page;z-index:-649432"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group style="position:absolute;margin-left:182.899994pt;margin-top:132.859985pt;width:41.45pt;height:39.6pt;mso-position-horizontal-relative:page;mso-position-vertical-relative:page;z-index:-649408" coordorigin="3658,2657" coordsize="829,792">
            <v:group style="position:absolute;left:3658;top:2657;width:829;height:392" coordorigin="3658,2657" coordsize="829,392">
              <v:shape style="position:absolute;left:3658;top:2657;width:829;height:392" coordorigin="3658,2657" coordsize="829,392" path="m3658,3048l4486,3048,4486,2657,3658,2657,3658,3048xe" filled="true" fillcolor="#ffffff" stroked="false">
                <v:path arrowok="t"/>
                <v:fill type="solid"/>
              </v:shape>
            </v:group>
            <v:group style="position:absolute;left:3658;top:3058;width:829;height:392" coordorigin="3658,3058" coordsize="829,392">
              <v:shape style="position:absolute;left:3658;top:3058;width:829;height:392" coordorigin="3658,3058" coordsize="829,392" path="m3658,3449l4486,3449,4486,3058,3658,3058,3658,3449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w:t>
            </w: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825,507,77</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2.86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17,923,145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.21</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161,308,30</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6.91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1,084,739,</w:t>
            </w:r>
          </w:p>
          <w:p>
            <w:pPr>
              <w:pStyle w:val="TableParagraph"/>
              <w:spacing w:line="240" w:lineRule="auto" w:before="102"/>
              <w:ind w:left="355" w:right="0"/>
              <w:jc w:val="left"/>
              <w:rPr>
                <w:rFonts w:ascii="Times New Roman" w:hAnsi="Times New Roman" w:cs="Times New Roman" w:eastAsia="Times New Roman" w:hint="default"/>
                <w:sz w:val="18"/>
                <w:szCs w:val="18"/>
              </w:rPr>
            </w:pPr>
            <w:r>
              <w:rPr>
                <w:rFonts w:ascii="Times New Roman"/>
                <w:sz w:val="18"/>
              </w:rPr>
              <w:t>224.98</w:t>
            </w:r>
          </w:p>
        </w:tc>
      </w:tr>
    </w:tbl>
    <w:p>
      <w:pPr>
        <w:spacing w:line="240" w:lineRule="auto" w:before="2"/>
        <w:rPr>
          <w:rFonts w:ascii="宋体" w:hAnsi="宋体" w:cs="宋体" w:eastAsia="宋体" w:hint="default"/>
          <w:sz w:val="20"/>
          <w:szCs w:val="20"/>
        </w:rPr>
      </w:pPr>
    </w:p>
    <w:p>
      <w:pPr>
        <w:pStyle w:val="BodyText"/>
        <w:tabs>
          <w:tab w:pos="3578" w:val="left" w:leader="none"/>
          <w:tab w:pos="7901" w:val="left" w:leader="none"/>
        </w:tabs>
        <w:spacing w:line="240" w:lineRule="auto" w:before="44"/>
        <w:ind w:right="0"/>
        <w:jc w:val="left"/>
      </w:pPr>
      <w:r>
        <w:rPr/>
        <w:t>法定代表人：刘强</w:t>
        <w:tab/>
      </w:r>
      <w:r>
        <w:rPr>
          <w:spacing w:val="-1"/>
        </w:rPr>
        <w:t>主管会计工作负责人：张燕祥</w:t>
        <w:tab/>
      </w:r>
      <w:r>
        <w:rPr/>
        <w:t>会计机构负责人：叶飞</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90" w:firstLine="360"/>
        <w:jc w:val="both"/>
      </w:pPr>
      <w:r>
        <w:rPr>
          <w:spacing w:val="-1"/>
        </w:rPr>
        <w:t>北京君正集成电路股份有限公司（以下简称为</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）系由北京君正集成电路有限公司整体变更设立的股份</w:t>
      </w:r>
      <w:r>
        <w:rPr/>
        <w:t> 有限公司。公司于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日领取了北京市工商行政管理局颁发的</w:t>
      </w:r>
      <w:r>
        <w:rPr>
          <w:rFonts w:ascii="Times New Roman" w:hAnsi="Times New Roman" w:cs="Times New Roman" w:eastAsia="Times New Roman" w:hint="default"/>
        </w:rPr>
        <w:t>110108008639445</w:t>
      </w:r>
      <w:r>
        <w:rPr/>
        <w:t>号营业执照，注册资本为</w:t>
      </w:r>
      <w:r>
        <w:rPr>
          <w:rFonts w:ascii="Times New Roman" w:hAnsi="Times New Roman" w:cs="Times New Roman" w:eastAsia="Times New Roman" w:hint="default"/>
        </w:rPr>
        <w:t>6,000.00</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t>万元，公司法定代表人为刘强。</w:t>
      </w:r>
    </w:p>
    <w:p>
      <w:pPr>
        <w:pStyle w:val="BodyText"/>
        <w:spacing w:line="300" w:lineRule="auto" w:before="70"/>
        <w:ind w:right="192" w:firstLine="360"/>
        <w:jc w:val="both"/>
      </w:pPr>
      <w:r>
        <w:rPr/>
        <w:t>公司</w:t>
      </w:r>
      <w:r>
        <w:rPr>
          <w:rFonts w:ascii="Times New Roman" w:hAnsi="Times New Roman" w:cs="Times New Roman" w:eastAsia="Times New Roman" w:hint="default"/>
        </w:rPr>
        <w:t>2010</w:t>
      </w:r>
      <w:r>
        <w:rPr/>
        <w:t>年度股东大会决议，并经中国证券监督管理委员会证监许可</w:t>
      </w:r>
      <w:r>
        <w:rPr>
          <w:rFonts w:ascii="Times New Roman" w:hAnsi="Times New Roman" w:cs="Times New Roman" w:eastAsia="Times New Roman" w:hint="default"/>
        </w:rPr>
        <w:t>[2011]691</w:t>
      </w:r>
      <w:r>
        <w:rPr/>
        <w:t>号文《关于核准北京君正集成电路股份 有限公司首次公开发行股票并在创业板上市的批复》核准，公司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2,000</w:t>
      </w:r>
      <w:r>
        <w:rPr/>
        <w:t>万股并</w:t>
      </w:r>
      <w:r>
        <w:rPr>
          <w:spacing w:val="-84"/>
        </w:rPr>
        <w:t> </w:t>
      </w:r>
      <w:r>
        <w:rPr>
          <w:spacing w:val="-84"/>
        </w:rPr>
      </w:r>
      <w:r>
        <w:rPr/>
        <w:t>在深圳创业板上市交易。公司注册资本变更为</w:t>
      </w:r>
      <w:r>
        <w:rPr>
          <w:rFonts w:ascii="Times New Roman" w:hAnsi="Times New Roman" w:cs="Times New Roman" w:eastAsia="Times New Roman" w:hint="default"/>
        </w:rPr>
        <w:t>8,000</w:t>
      </w:r>
      <w:r>
        <w:rPr>
          <w:rFonts w:ascii="Times New Roman" w:hAnsi="Times New Roman" w:cs="Times New Roman" w:eastAsia="Times New Roman" w:hint="default"/>
          <w:spacing w:val="3"/>
        </w:rPr>
        <w:t> </w:t>
      </w:r>
      <w:r>
        <w:rPr/>
        <w:t>万元。</w:t>
      </w:r>
    </w:p>
    <w:p>
      <w:pPr>
        <w:pStyle w:val="BodyText"/>
        <w:spacing w:line="300" w:lineRule="auto" w:before="53"/>
        <w:ind w:right="188" w:firstLine="360"/>
        <w:jc w:val="both"/>
      </w:pPr>
      <w:r>
        <w:rPr>
          <w:spacing w:val="-1"/>
        </w:rPr>
        <w:t>根据</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27</w:t>
      </w:r>
      <w:r>
        <w:rPr>
          <w:spacing w:val="-1"/>
        </w:rPr>
        <w:t>日召开的</w:t>
      </w:r>
      <w:r>
        <w:rPr>
          <w:rFonts w:ascii="Times New Roman" w:hAnsi="Times New Roman" w:cs="Times New Roman" w:eastAsia="Times New Roman" w:hint="default"/>
          <w:spacing w:val="-1"/>
        </w:rPr>
        <w:t>2011</w:t>
      </w:r>
      <w:r>
        <w:rPr>
          <w:spacing w:val="-1"/>
        </w:rPr>
        <w:t>年年度股东大会会议决议，本公司申请增加注册资本人民币</w:t>
      </w:r>
      <w:r>
        <w:rPr>
          <w:rFonts w:ascii="Times New Roman" w:hAnsi="Times New Roman" w:cs="Times New Roman" w:eastAsia="Times New Roman" w:hint="default"/>
          <w:spacing w:val="-1"/>
        </w:rPr>
        <w:t>2,400</w:t>
      </w:r>
      <w:r>
        <w:rPr>
          <w:spacing w:val="-1"/>
        </w:rPr>
        <w:t>万元，由资本公积转增</w:t>
      </w:r>
      <w:r>
        <w:rPr/>
        <w:t> </w:t>
      </w:r>
      <w:r>
        <w:rPr>
          <w:spacing w:val="-1"/>
        </w:rPr>
        <w:t>股本，转增基准日期为</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日，变更后的股本为人民币</w:t>
      </w:r>
      <w:r>
        <w:rPr>
          <w:rFonts w:ascii="Times New Roman" w:hAnsi="Times New Roman" w:cs="Times New Roman" w:eastAsia="Times New Roman" w:hint="default"/>
          <w:spacing w:val="-1"/>
        </w:rPr>
        <w:t>10,400</w:t>
      </w:r>
      <w:r>
        <w:rPr>
          <w:spacing w:val="-1"/>
        </w:rPr>
        <w:t>万元。上述出资经北京兴华会计师事务所有限责任公</w:t>
      </w:r>
      <w:r>
        <w:rPr>
          <w:spacing w:val="-78"/>
        </w:rPr>
        <w:t> </w:t>
      </w:r>
      <w:r>
        <w:rPr>
          <w:spacing w:val="-78"/>
        </w:rPr>
      </w:r>
      <w:r>
        <w:rPr/>
        <w:t>司出具的</w:t>
      </w:r>
      <w:r>
        <w:rPr>
          <w:rFonts w:ascii="Times New Roman" w:hAnsi="Times New Roman" w:cs="Times New Roman" w:eastAsia="Times New Roman" w:hint="default"/>
        </w:rPr>
        <w:t>“[2012]</w:t>
      </w:r>
      <w:r>
        <w:rPr/>
        <w:t>京会兴验字第</w:t>
      </w:r>
      <w:r>
        <w:rPr>
          <w:rFonts w:ascii="Times New Roman" w:hAnsi="Times New Roman" w:cs="Times New Roman" w:eastAsia="Times New Roman" w:hint="default"/>
        </w:rPr>
        <w:t>01010117</w:t>
      </w:r>
      <w:r>
        <w:rPr/>
        <w:t>号验资报告</w:t>
      </w:r>
      <w:r>
        <w:rPr>
          <w:rFonts w:ascii="Times New Roman" w:hAnsi="Times New Roman" w:cs="Times New Roman" w:eastAsia="Times New Roman" w:hint="default"/>
        </w:rPr>
        <w:t>”</w:t>
      </w:r>
      <w:r>
        <w:rPr/>
        <w:t>验证。</w:t>
      </w:r>
    </w:p>
    <w:p>
      <w:pPr>
        <w:pStyle w:val="BodyText"/>
        <w:spacing w:line="316" w:lineRule="auto" w:before="53"/>
        <w:ind w:right="94" w:firstLine="360"/>
        <w:jc w:val="left"/>
      </w:pPr>
      <w:r>
        <w:rPr>
          <w:spacing w:val="-2"/>
        </w:rPr>
        <w:t>公司经营范围：研发、设计、委托加工、销售半导体集成电路芯片；计算机软硬件及计算机网络软硬件产品的设计、开</w:t>
      </w:r>
      <w:r>
        <w:rPr/>
        <w:t> 发；销售计算机软、硬件及其辅助设备、电子元器件、通讯设备；技术开发、技术转让、技术咨询、技术服务、技术培训； 专业技术检测服务；货物进出口、技术进出口、代理进出口；物业管理。</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r>
        <w:rPr/>
        <w:t>四、公司主要会计政策、会计估计和前期差错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88" w:firstLine="360"/>
        <w:jc w:val="both"/>
      </w:pPr>
      <w:r>
        <w:rPr/>
        <w:t>本公司以持续经营为前提，以权责发生制为基础，根据实际发生的交易和事项，按照财政部</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日颁布《企业 </w:t>
      </w:r>
      <w:r>
        <w:rPr>
          <w:spacing w:val="-2"/>
        </w:rPr>
        <w:t>会计准则</w:t>
      </w:r>
      <w:r>
        <w:rPr>
          <w:rFonts w:ascii="Times New Roman" w:hAnsi="Times New Roman" w:cs="Times New Roman" w:eastAsia="Times New Roman" w:hint="default"/>
          <w:spacing w:val="-2"/>
        </w:rPr>
        <w:t>——</w:t>
      </w:r>
      <w:r>
        <w:rPr>
          <w:spacing w:val="-2"/>
        </w:rPr>
        <w:t>基本准则》和</w:t>
      </w:r>
      <w:r>
        <w:rPr>
          <w:rFonts w:ascii="Times New Roman" w:hAnsi="Times New Roman" w:cs="Times New Roman" w:eastAsia="Times New Roman" w:hint="default"/>
          <w:spacing w:val="-2"/>
        </w:rPr>
        <w:t>38</w:t>
      </w:r>
      <w:r>
        <w:rPr>
          <w:spacing w:val="-2"/>
        </w:rPr>
        <w:t>项具体会计准则、以及其后颁布的企业会计准则应用指南、企业会计准则解释及其他相关规定</w:t>
      </w:r>
    </w:p>
    <w:p>
      <w:pPr>
        <w:pStyle w:val="BodyText"/>
        <w:spacing w:line="240" w:lineRule="auto" w:before="13"/>
        <w:ind w:right="0"/>
        <w:jc w:val="left"/>
      </w:pPr>
      <w:r>
        <w:rPr/>
        <w:t>（以下简称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）进行确认和计量，在此基础上编制财务报表。</w:t>
      </w:r>
    </w:p>
    <w:p>
      <w:pPr>
        <w:spacing w:after="0" w:line="240" w:lineRule="auto"/>
        <w:jc w:val="left"/>
        <w:sectPr>
          <w:pgSz w:w="11910" w:h="16840"/>
          <w:pgMar w:header="877" w:footer="980"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52" w:firstLine="360"/>
        <w:jc w:val="both"/>
      </w:pPr>
      <w:r>
        <w:rPr>
          <w:spacing w:val="-2"/>
        </w:rPr>
        <w:t>本公司所编制的财务报表符合企业会计准则的要求，真实、完整地反映了企业的财务状况、经营成果和现金流量等有关</w:t>
      </w:r>
      <w:r>
        <w:rPr/>
        <w:t> 信息。</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本公司以公历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日为一个会计年度。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本公司以人民币为记账本位币，本公司控股子公司北京君正集成电路（香港）集团有限公司以美元为记账本位币。</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2" w:firstLine="360"/>
        <w:jc w:val="both"/>
      </w:pPr>
      <w:r>
        <w:rPr>
          <w:spacing w:val="-2"/>
        </w:rPr>
        <w:t>参与合并的企业在合并前后均受同一方或相同的多方最终控制且该控制并非暂时性的，为同一控制下的企业合并。合并</w:t>
      </w:r>
      <w:r>
        <w:rPr/>
        <w:t> </w:t>
      </w:r>
      <w:r>
        <w:rPr>
          <w:spacing w:val="-2"/>
        </w:rPr>
        <w:t>方在企业合并中取得的资产和负债，应当按照合并日在被合并方的账面价值计量。合并方取得的净资产账面价值与支付的合</w:t>
      </w:r>
      <w:r>
        <w:rPr>
          <w:spacing w:val="-64"/>
        </w:rPr>
        <w:t> </w:t>
      </w:r>
      <w:r>
        <w:rPr>
          <w:spacing w:val="-64"/>
        </w:rPr>
      </w:r>
      <w:r>
        <w:rPr/>
        <w:t>并对价账面价值（或发行股份面值总额）的差额，应当调整资本公积；资本公积不足冲减的，调整留存收益。</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52" w:firstLine="360"/>
        <w:jc w:val="both"/>
      </w:pPr>
      <w:r>
        <w:rPr>
          <w:spacing w:val="-2"/>
        </w:rPr>
        <w:t>参与合并的各方在合并前后不受同一方或相同的多方最终控制的，为非同一控制下的企业合并。购买方的合并成本为购</w:t>
      </w:r>
      <w:r>
        <w:rPr/>
        <w:t> 买方在购买日为取得对被购买方的控制权而付出的资产、发生或承担的负债以及发行的权益性证券的公允价值。</w:t>
      </w:r>
    </w:p>
    <w:p>
      <w:pPr>
        <w:pStyle w:val="BodyText"/>
        <w:spacing w:line="316" w:lineRule="auto" w:before="17"/>
        <w:ind w:right="152" w:firstLine="360"/>
        <w:jc w:val="both"/>
      </w:pPr>
      <w:r>
        <w:rPr>
          <w:spacing w:val="-2"/>
        </w:rPr>
        <w:t>购买方对合并成本大于合并中取得的被购买方可辨认净资产公允价值份额的差额，确认为商誉。购买方对合并成本小于</w:t>
      </w:r>
      <w:r>
        <w:rPr/>
        <w:t> 合并中取得的被购买方可辨认净资产公允价值份额的差额，计入当期损益。</w:t>
      </w:r>
    </w:p>
    <w:p>
      <w:pPr>
        <w:pStyle w:val="BodyText"/>
        <w:spacing w:line="316" w:lineRule="auto" w:before="19"/>
        <w:ind w:right="152" w:firstLine="360"/>
        <w:jc w:val="both"/>
      </w:pPr>
      <w:r>
        <w:rPr>
          <w:spacing w:val="-2"/>
        </w:rPr>
        <w:t>购买方在购买日对作为企业合并对价付出的资产、发生或承担的负债应当按照公允价值计量，公允价值与其账面价值的</w:t>
      </w:r>
      <w:r>
        <w:rPr/>
        <w:t> 差额，计入当期损益。</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49" w:firstLine="360"/>
        <w:jc w:val="both"/>
      </w:pPr>
      <w:r>
        <w:rPr>
          <w:spacing w:val="-1"/>
        </w:rPr>
        <w:t>合并财务报表按照</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2</w:t>
      </w:r>
      <w:r>
        <w:rPr>
          <w:spacing w:val="-1"/>
        </w:rPr>
        <w:t>月颁布的《企业会计准则第</w:t>
      </w:r>
      <w:r>
        <w:rPr>
          <w:rFonts w:ascii="Times New Roman" w:hAnsi="Times New Roman" w:cs="Times New Roman" w:eastAsia="Times New Roman" w:hint="default"/>
          <w:spacing w:val="-1"/>
        </w:rPr>
        <w:t>33</w:t>
      </w:r>
      <w:r>
        <w:rPr>
          <w:rFonts w:ascii="Times New Roman" w:hAnsi="Times New Roman" w:cs="Times New Roman" w:eastAsia="Times New Roman" w:hint="default"/>
          <w:spacing w:val="39"/>
        </w:rPr>
        <w:t> </w:t>
      </w:r>
      <w:r>
        <w:rPr>
          <w:spacing w:val="-2"/>
        </w:rPr>
        <w:t>号</w:t>
      </w:r>
      <w:r>
        <w:rPr>
          <w:rFonts w:ascii="Times New Roman" w:hAnsi="Times New Roman" w:cs="Times New Roman" w:eastAsia="Times New Roman" w:hint="default"/>
          <w:spacing w:val="-2"/>
        </w:rPr>
        <w:t>—</w:t>
      </w:r>
      <w:r>
        <w:rPr>
          <w:spacing w:val="-2"/>
        </w:rPr>
        <w:t>合并财务报表》执行。即以合并期间母公司和纳入合并范</w:t>
      </w:r>
      <w:r>
        <w:rPr/>
        <w:t> </w:t>
      </w:r>
      <w:r>
        <w:rPr>
          <w:spacing w:val="-2"/>
        </w:rPr>
        <w:t>围的控股子公司的个别财务报表为基础，根据其他有关资料，按照权益法调整对子公司的长期股权投资后，由母公司进行编</w:t>
      </w:r>
      <w:r>
        <w:rPr>
          <w:spacing w:val="-62"/>
        </w:rPr>
        <w:t> </w:t>
      </w:r>
      <w:r>
        <w:rPr>
          <w:spacing w:val="-62"/>
        </w:rPr>
      </w:r>
      <w:r>
        <w:rPr/>
        <w:t>制。</w:t>
      </w:r>
    </w:p>
    <w:p>
      <w:pPr>
        <w:pStyle w:val="BodyText"/>
        <w:spacing w:line="316" w:lineRule="auto" w:before="24"/>
        <w:ind w:right="153" w:firstLine="360"/>
        <w:jc w:val="both"/>
      </w:pPr>
      <w:r>
        <w:rPr>
          <w:spacing w:val="-2"/>
        </w:rPr>
        <w:t>在编制合并财务报表时将母、子公司之间的投资、集团内部所有重大往来余额、交易及未实现利润予以抵销，并计算少</w:t>
      </w:r>
      <w:r>
        <w:rPr/>
        <w:t> </w:t>
      </w:r>
      <w:r>
        <w:rPr>
          <w:spacing w:val="-2"/>
        </w:rPr>
        <w:t>数所有者权益（损益）。子公司的股东权益中不属于母公司所拥有的部分作为少数股东权益在合并财务报表中股东权益项下</w:t>
      </w:r>
      <w:r>
        <w:rPr>
          <w:spacing w:val="-66"/>
        </w:rPr>
        <w:t> </w:t>
      </w:r>
      <w:r>
        <w:rPr>
          <w:spacing w:val="-66"/>
        </w:rPr>
      </w:r>
      <w:r>
        <w:rPr/>
        <w:t>单独列示。</w:t>
      </w:r>
    </w:p>
    <w:p>
      <w:pPr>
        <w:pStyle w:val="BodyText"/>
        <w:spacing w:line="316" w:lineRule="auto" w:before="19"/>
        <w:ind w:right="152" w:firstLine="360"/>
        <w:jc w:val="both"/>
      </w:pPr>
      <w:r>
        <w:rPr>
          <w:spacing w:val="-2"/>
        </w:rPr>
        <w:t>子公司与母公司采用的会计政策或会计期间不一致的，在编制合并财务报表时，按照母公司的会计政策或会计期间对子</w:t>
      </w:r>
      <w:r>
        <w:rPr/>
        <w:t> 公司财务报表进行必要的调整。</w:t>
      </w:r>
    </w:p>
    <w:p>
      <w:pPr>
        <w:pStyle w:val="BodyText"/>
        <w:spacing w:line="316" w:lineRule="auto" w:before="19"/>
        <w:ind w:right="151" w:firstLine="360"/>
        <w:jc w:val="both"/>
      </w:pPr>
      <w:r>
        <w:rPr>
          <w:spacing w:val="-2"/>
        </w:rPr>
        <w:t>对于因非同一控制下企业合并取得的子公司，在编制合并财务报表时，以购买日可辨认净资产公允价值为基础对其个别</w:t>
      </w:r>
      <w:r>
        <w:rPr/>
        <w:t> </w:t>
      </w:r>
      <w:r>
        <w:rPr>
          <w:spacing w:val="-2"/>
        </w:rPr>
        <w:t>财务报表进行调整；对于因同一控制下企业合并取得的子公司，在编制合并财务报表时，视同该企业合并于报告期最早期间</w:t>
      </w:r>
      <w:r>
        <w:rPr>
          <w:spacing w:val="-65"/>
        </w:rPr>
        <w:t> </w:t>
      </w:r>
      <w:r>
        <w:rPr>
          <w:spacing w:val="-65"/>
        </w:rPr>
      </w:r>
      <w:r>
        <w:rPr>
          <w:spacing w:val="-2"/>
        </w:rPr>
        <w:t>的期初已经发生，从报告期最早期间的期初起将其资产、负债、经营成果和现金流量纳入合并财务报表，且其合并日前实现</w:t>
      </w:r>
    </w:p>
    <w:p>
      <w:pPr>
        <w:spacing w:after="0" w:line="316" w:lineRule="auto"/>
        <w:jc w:val="both"/>
        <w:sectPr>
          <w:pgSz w:w="11910" w:h="16840"/>
          <w:pgMar w:header="877"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的净利润在合并利润表中单列项目反映。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0"/>
        <w:jc w:val="left"/>
      </w:pPr>
      <w:r>
        <w:rPr>
          <w:spacing w:val="-2"/>
        </w:rPr>
        <w:t>编制现金流量表时，现金是指库存现金及可随时用于支付的存款；现金等价物是指持有的期限短、流动性强、易于转换</w:t>
      </w:r>
      <w:r>
        <w:rPr/>
        <w:t> 为已知金额现金及价值变动风险很小的投资。</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2613"/>
        <w:jc w:val="left"/>
      </w:pPr>
      <w:r>
        <w:rPr/>
        <w:t>发生外币业务，按交易发生日的即期汇率折合成记账本位币记账； 在资产负债表日，按照下列规定对外币货币性项目和外币非货币性项目分别进行处理：</w:t>
      </w:r>
    </w:p>
    <w:p>
      <w:pPr>
        <w:pStyle w:val="BodyText"/>
        <w:spacing w:line="316" w:lineRule="auto" w:before="19"/>
        <w:ind w:right="0" w:firstLine="360"/>
        <w:jc w:val="left"/>
      </w:pPr>
      <w:r>
        <w:rPr>
          <w:spacing w:val="-4"/>
        </w:rPr>
        <w:t>①对于外币货币性项目，采用资产负债表日即期汇率折算，因结算或采用资产负债表日即期汇率折算而产生的汇兑差额，</w:t>
      </w:r>
      <w:r>
        <w:rPr/>
        <w:t> 计入当期损益，同时调增或调减外币货币性项目的记账本位币金额；</w:t>
      </w:r>
    </w:p>
    <w:p>
      <w:pPr>
        <w:pStyle w:val="BodyText"/>
        <w:spacing w:line="240" w:lineRule="auto" w:before="19"/>
        <w:ind w:left="513" w:right="0"/>
        <w:jc w:val="left"/>
      </w:pPr>
      <w:r>
        <w:rPr/>
        <w:t>②以历史成本计量的外币非货币性项目，仍采用交易发生日的即期汇率折算，不改变其记账本位币金额，不产生汇兑差</w:t>
      </w:r>
    </w:p>
    <w:p>
      <w:pPr>
        <w:pStyle w:val="BodyText"/>
        <w:spacing w:line="240" w:lineRule="auto" w:before="76"/>
        <w:ind w:right="0"/>
        <w:jc w:val="left"/>
      </w:pPr>
      <w:r>
        <w:rPr/>
        <w:t>额；</w:t>
      </w:r>
    </w:p>
    <w:p>
      <w:pPr>
        <w:pStyle w:val="BodyText"/>
        <w:spacing w:line="240" w:lineRule="auto" w:before="76"/>
        <w:ind w:left="513" w:right="0"/>
        <w:jc w:val="left"/>
      </w:pPr>
      <w:r>
        <w:rPr/>
        <w:t>③以公允价值计量的外币非货币性项目，采用公允价值确定日的即期汇率折算，折算后的记账本位币金额与原记账本位</w:t>
      </w:r>
    </w:p>
    <w:p>
      <w:pPr>
        <w:pStyle w:val="BodyText"/>
        <w:spacing w:line="240" w:lineRule="auto" w:before="76"/>
        <w:ind w:right="0"/>
        <w:jc w:val="left"/>
      </w:pPr>
      <w:r>
        <w:rPr/>
        <w:t>币金额的差额，作为公允价值变动（含汇率变动）处理，计入当期损益。</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90" w:firstLine="360"/>
        <w:jc w:val="both"/>
      </w:pPr>
      <w:r>
        <w:rPr>
          <w:spacing w:val="-2"/>
        </w:rPr>
        <w:t>对境外经营的财务报表进行折算时，资产负债表中的资产和负债项目，采用资产负债表日的即期汇率折算，所有者权益</w:t>
      </w:r>
      <w:r>
        <w:rPr/>
        <w:t> </w:t>
      </w:r>
      <w:r>
        <w:rPr>
          <w:spacing w:val="-2"/>
        </w:rPr>
        <w:t>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项目外，其他项目采用发生时的即期汇率折算。利润表中的收入和费用项目，采用外币交易发生时的即</w:t>
      </w:r>
      <w:r>
        <w:rPr>
          <w:spacing w:val="-46"/>
        </w:rPr>
        <w:t> </w:t>
      </w:r>
      <w:r>
        <w:rPr>
          <w:spacing w:val="-46"/>
        </w:rPr>
      </w:r>
      <w:r>
        <w:rPr/>
        <w:t>期汇率进行折算。</w:t>
      </w:r>
    </w:p>
    <w:p>
      <w:pPr>
        <w:pStyle w:val="BodyText"/>
        <w:spacing w:line="240" w:lineRule="auto" w:before="24"/>
        <w:ind w:left="513" w:right="0"/>
        <w:jc w:val="left"/>
      </w:pPr>
      <w:r>
        <w:rPr/>
        <w:t>按照上述折算产生的外币财务报表折算差额，在资产负债表中所有者权益项目下单独列示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项目反</w:t>
      </w:r>
    </w:p>
    <w:p>
      <w:pPr>
        <w:pStyle w:val="BodyText"/>
        <w:spacing w:line="240" w:lineRule="auto" w:before="63"/>
        <w:ind w:right="0"/>
        <w:jc w:val="left"/>
      </w:pPr>
      <w:r>
        <w:rPr/>
        <w:t>映。</w:t>
      </w:r>
    </w:p>
    <w:p>
      <w:pPr>
        <w:pStyle w:val="BodyText"/>
        <w:spacing w:line="240" w:lineRule="auto" w:before="76"/>
        <w:ind w:left="513" w:right="0"/>
        <w:jc w:val="left"/>
      </w:pPr>
      <w:r>
        <w:rPr/>
        <w:t>以外币表示的现金流量表采用现金流量发生日的即期汇率折算。汇率变动对现金的影响额作为调节项目，在现金流量表</w:t>
      </w:r>
    </w:p>
    <w:p>
      <w:pPr>
        <w:pStyle w:val="BodyText"/>
        <w:spacing w:line="240" w:lineRule="auto" w:before="76"/>
        <w:ind w:right="0"/>
        <w:jc w:val="left"/>
      </w:pPr>
      <w:r>
        <w:rPr/>
        <w:t>的</w:t>
      </w:r>
      <w:r>
        <w:rPr>
          <w:rFonts w:ascii="Times New Roman" w:hAnsi="Times New Roman" w:cs="Times New Roman" w:eastAsia="Times New Roman" w:hint="default"/>
        </w:rPr>
        <w:t>“</w:t>
      </w:r>
      <w:r>
        <w:rPr/>
        <w:t>汇率变动对现金及现金等价物的影响</w:t>
      </w:r>
      <w:r>
        <w:rPr>
          <w:rFonts w:ascii="Times New Roman" w:hAnsi="Times New Roman" w:cs="Times New Roman" w:eastAsia="Times New Roman" w:hint="default"/>
        </w:rPr>
        <w:t>”</w:t>
      </w:r>
      <w:r>
        <w:rPr/>
        <w:t>项目中单独列报。</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41" w:right="0"/>
        <w:jc w:val="left"/>
      </w:pPr>
      <w:r>
        <w:rPr>
          <w:color w:val="363636"/>
        </w:rPr>
        <w:t>金融工具，是指形成一个企业的金融资产，并形成其他单位的金融负债或权益工具的合同。</w:t>
      </w:r>
      <w:r>
        <w:rPr/>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2253"/>
        <w:jc w:val="left"/>
      </w:pPr>
      <w:r>
        <w:rPr/>
        <w:t>金融工具分为金融资产和金融负债。 本公司根据自身业务的特点和风险管理的要求，将金融资产在初始确认时划分为下列四类：</w:t>
      </w:r>
    </w:p>
    <w:p>
      <w:pPr>
        <w:pStyle w:val="BodyText"/>
        <w:spacing w:line="316" w:lineRule="auto" w:before="19"/>
        <w:ind w:right="0" w:firstLine="360"/>
        <w:jc w:val="left"/>
      </w:pPr>
      <w:r>
        <w:rPr>
          <w:spacing w:val="-2"/>
        </w:rPr>
        <w:t>①以公允价值计量且其变动计入当期损益的金融资产，包括交易性金融资产和指定为以公允价值计量且其变动计入当期</w:t>
      </w:r>
      <w:r>
        <w:rPr/>
        <w:t> 损益的金融资产；</w:t>
      </w:r>
    </w:p>
    <w:p>
      <w:pPr>
        <w:pStyle w:val="BodyText"/>
        <w:spacing w:line="240" w:lineRule="auto" w:before="19"/>
        <w:ind w:left="513" w:right="0"/>
        <w:jc w:val="left"/>
      </w:pPr>
      <w:r>
        <w:rPr/>
        <w:t>②持有至到期投资；</w:t>
      </w:r>
    </w:p>
    <w:p>
      <w:pPr>
        <w:spacing w:after="0" w:line="240" w:lineRule="auto"/>
        <w:jc w:val="left"/>
        <w:sectPr>
          <w:pgSz w:w="11910" w:h="16840"/>
          <w:pgMar w:header="877"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513" w:right="0"/>
        <w:jc w:val="left"/>
      </w:pPr>
      <w:r>
        <w:rPr/>
        <w:t>③贷款和应收款项；</w:t>
      </w:r>
    </w:p>
    <w:p>
      <w:pPr>
        <w:pStyle w:val="BodyText"/>
        <w:spacing w:line="316" w:lineRule="auto" w:before="77"/>
        <w:ind w:left="513" w:right="6173"/>
        <w:jc w:val="left"/>
      </w:pPr>
      <w:r>
        <w:rPr/>
        <w:t>④可供出售金融资产。 金融负债在初始确认时划分为下列两类：</w:t>
      </w:r>
    </w:p>
    <w:p>
      <w:pPr>
        <w:pStyle w:val="BodyText"/>
        <w:spacing w:line="316" w:lineRule="auto" w:before="19"/>
        <w:ind w:right="152" w:firstLine="360"/>
        <w:jc w:val="both"/>
      </w:pPr>
      <w:r>
        <w:rPr>
          <w:spacing w:val="-2"/>
        </w:rPr>
        <w:t>①以公允价值计量且其变动计入当期损益的金融负债，包括交易性金融负债和指定为以公允价值计量且其变动计入当期</w:t>
      </w:r>
      <w:r>
        <w:rPr/>
        <w:t> 损益的金融负债；</w:t>
      </w:r>
    </w:p>
    <w:p>
      <w:pPr>
        <w:pStyle w:val="BodyText"/>
        <w:spacing w:line="240" w:lineRule="auto" w:before="19"/>
        <w:ind w:left="513" w:right="0"/>
        <w:jc w:val="left"/>
      </w:pPr>
      <w:r>
        <w:rPr/>
        <w:t>②其他金融负债。</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0"/>
        <w:jc w:val="left"/>
      </w:pPr>
      <w:r>
        <w:rPr/>
        <w:t>①金融工具的确认依据 </w:t>
      </w:r>
      <w:r>
        <w:rPr>
          <w:spacing w:val="-2"/>
        </w:rPr>
        <w:t>本公司在成为金融工具合同的一方时，确认一项金融资产或金融负债。金融资产满足下列条件之一时，本公司对其终止</w:t>
      </w:r>
    </w:p>
    <w:p>
      <w:pPr>
        <w:pStyle w:val="BodyText"/>
        <w:spacing w:line="240" w:lineRule="auto" w:before="19"/>
        <w:ind w:right="0"/>
        <w:jc w:val="left"/>
      </w:pPr>
      <w:r>
        <w:rPr/>
        <w:t>确认：</w:t>
      </w:r>
    </w:p>
    <w:p>
      <w:pPr>
        <w:pStyle w:val="BodyText"/>
        <w:spacing w:line="240" w:lineRule="auto" w:before="77"/>
        <w:ind w:left="513" w:right="0"/>
        <w:jc w:val="left"/>
      </w:pPr>
      <w:r>
        <w:rPr>
          <w:rFonts w:ascii="Times New Roman" w:hAnsi="Times New Roman" w:cs="Times New Roman" w:eastAsia="Times New Roman" w:hint="default"/>
        </w:rPr>
        <w:t>A</w:t>
      </w:r>
      <w:r>
        <w:rPr/>
        <w:t>、收取该金融资产现金流量的合同权利终止；</w:t>
      </w:r>
    </w:p>
    <w:p>
      <w:pPr>
        <w:pStyle w:val="BodyText"/>
        <w:spacing w:line="300" w:lineRule="auto" w:before="63"/>
        <w:ind w:right="152" w:firstLine="360"/>
        <w:jc w:val="both"/>
      </w:pPr>
      <w:r>
        <w:rPr>
          <w:rFonts w:ascii="Times New Roman" w:hAnsi="Times New Roman" w:cs="Times New Roman" w:eastAsia="Times New Roman" w:hint="default"/>
        </w:rPr>
        <w:t>B</w:t>
      </w:r>
      <w:r>
        <w:rPr/>
        <w:t>、该金融资产已转移，且符合《企业会计准则第 </w:t>
      </w:r>
      <w:r>
        <w:rPr>
          <w:rFonts w:ascii="Times New Roman" w:hAnsi="Times New Roman" w:cs="Times New Roman" w:eastAsia="Times New Roman" w:hint="default"/>
        </w:rPr>
        <w:t>23</w:t>
      </w:r>
      <w:r>
        <w:rPr>
          <w:rFonts w:ascii="Times New Roman" w:hAnsi="Times New Roman" w:cs="Times New Roman" w:eastAsia="Times New Roman" w:hint="default"/>
          <w:spacing w:val="20"/>
        </w:rPr>
        <w:t> </w:t>
      </w:r>
      <w:r>
        <w:rPr/>
        <w:t>号</w:t>
      </w:r>
      <w:r>
        <w:rPr>
          <w:rFonts w:ascii="Times New Roman" w:hAnsi="Times New Roman" w:cs="Times New Roman" w:eastAsia="Times New Roman" w:hint="default"/>
        </w:rPr>
        <w:t>—</w:t>
      </w:r>
      <w:r>
        <w:rPr/>
        <w:t>金融资产转移》规定的金融资产终止确认条件。金融负债的 现时义务全部或部分已经解除时，本公司终止确认该金融负债或其一部分。</w:t>
      </w:r>
    </w:p>
    <w:p>
      <w:pPr>
        <w:pStyle w:val="BodyText"/>
        <w:spacing w:line="240" w:lineRule="auto" w:before="31"/>
        <w:ind w:left="513" w:right="0"/>
        <w:jc w:val="left"/>
      </w:pPr>
      <w:r>
        <w:rPr/>
        <w:t>②金融工具的计量方法</w:t>
      </w:r>
    </w:p>
    <w:p>
      <w:pPr>
        <w:pStyle w:val="BodyText"/>
        <w:spacing w:line="309" w:lineRule="auto" w:before="76"/>
        <w:ind w:right="150" w:firstLine="360"/>
        <w:jc w:val="both"/>
      </w:pPr>
      <w:r>
        <w:rPr>
          <w:rFonts w:ascii="Times New Roman" w:hAnsi="Times New Roman" w:cs="Times New Roman" w:eastAsia="Times New Roman" w:hint="default"/>
          <w:spacing w:val="-1"/>
        </w:rPr>
        <w:t>A</w:t>
      </w:r>
      <w:r>
        <w:rPr>
          <w:spacing w:val="-1"/>
        </w:rPr>
        <w:t>、本公司初始确认金融资产或金融负债，按照公允价值计量（对外销售商品或提供劳务形成的债权通常按从购买方应</w:t>
      </w:r>
      <w:r>
        <w:rPr/>
        <w:t> </w:t>
      </w:r>
      <w:r>
        <w:rPr>
          <w:spacing w:val="-2"/>
        </w:rPr>
        <w:t>收的合同或协议价款进行计量）。对于以公允价值计量且其变动计入当期损益的金融资产或金融负债，相关交易费用直接计</w:t>
      </w:r>
      <w:r>
        <w:rPr>
          <w:spacing w:val="-66"/>
        </w:rPr>
        <w:t> </w:t>
      </w:r>
      <w:r>
        <w:rPr>
          <w:spacing w:val="-66"/>
        </w:rPr>
      </w:r>
      <w:r>
        <w:rPr/>
        <w:t>入当期损益；对于其他类别的金融资产或金融负债，相关交易费用计入初始确认金额；</w:t>
      </w:r>
    </w:p>
    <w:p>
      <w:pPr>
        <w:pStyle w:val="BodyText"/>
        <w:spacing w:line="302" w:lineRule="auto" w:before="24"/>
        <w:ind w:right="151" w:firstLine="360"/>
        <w:jc w:val="both"/>
      </w:pPr>
      <w:r>
        <w:rPr>
          <w:rFonts w:ascii="Times New Roman" w:hAnsi="Times New Roman" w:cs="Times New Roman" w:eastAsia="Times New Roman" w:hint="default"/>
          <w:spacing w:val="-1"/>
        </w:rPr>
        <w:t>B</w:t>
      </w:r>
      <w:r>
        <w:rPr>
          <w:spacing w:val="-1"/>
        </w:rPr>
        <w:t>、除下列情况外，本公司按照公允价值对金融资产进行后续计量，且不扣除将来处置该金融资产时可能发生的交易费</w:t>
      </w:r>
      <w:r>
        <w:rPr/>
        <w:t> </w:t>
      </w:r>
      <w:r>
        <w:rPr>
          <w:spacing w:val="-2"/>
        </w:rPr>
        <w:t>用：</w:t>
      </w:r>
      <w:r>
        <w:rPr>
          <w:rFonts w:ascii="Times New Roman" w:hAnsi="Times New Roman" w:cs="Times New Roman" w:eastAsia="Times New Roman" w:hint="default"/>
          <w:spacing w:val="-2"/>
        </w:rPr>
        <w:t>a</w:t>
      </w:r>
      <w:r>
        <w:rPr>
          <w:spacing w:val="-2"/>
        </w:rPr>
        <w:t>、持有至到期投资，按摊余成本计量；</w:t>
      </w:r>
      <w:r>
        <w:rPr>
          <w:rFonts w:ascii="Times New Roman" w:hAnsi="Times New Roman" w:cs="Times New Roman" w:eastAsia="Times New Roman" w:hint="default"/>
          <w:spacing w:val="-2"/>
        </w:rPr>
        <w:t>b</w:t>
      </w:r>
      <w:r>
        <w:rPr>
          <w:spacing w:val="-2"/>
        </w:rPr>
        <w:t>、在活跃市场中没有报价且其公允价值不能可靠计量的权益工具投资，以及与</w:t>
      </w:r>
      <w:r>
        <w:rPr>
          <w:spacing w:val="-56"/>
        </w:rPr>
        <w:t> </w:t>
      </w:r>
      <w:r>
        <w:rPr>
          <w:spacing w:val="-56"/>
        </w:rPr>
      </w:r>
      <w:r>
        <w:rPr>
          <w:spacing w:val="-2"/>
        </w:rPr>
        <w:t>该权益工具挂钩并须通过交付该权益工具结算的衍生金融资产，按成本计量；除下列情况外，本公司采用实际利率法，按摊</w:t>
      </w:r>
      <w:r>
        <w:rPr>
          <w:spacing w:val="-66"/>
        </w:rPr>
        <w:t> </w:t>
      </w:r>
      <w:r>
        <w:rPr>
          <w:spacing w:val="-66"/>
        </w:rPr>
      </w:r>
      <w:r>
        <w:rPr/>
        <w:t>余成本对金融负债进行后续计量：</w:t>
      </w:r>
      <w:r>
        <w:rPr>
          <w:rFonts w:ascii="Times New Roman" w:hAnsi="Times New Roman" w:cs="Times New Roman" w:eastAsia="Times New Roman" w:hint="default"/>
        </w:rPr>
        <w:t>a</w:t>
      </w:r>
      <w:r>
        <w:rPr/>
        <w:t>、以公允价值计量且其变动计入当期损益的金融负债，按公允价值计量，且不扣除将来</w:t>
      </w:r>
      <w:r>
        <w:rPr>
          <w:spacing w:val="-75"/>
        </w:rPr>
        <w:t> </w:t>
      </w:r>
      <w:r>
        <w:rPr>
          <w:spacing w:val="-75"/>
        </w:rPr>
      </w:r>
      <w:r>
        <w:rPr/>
        <w:t>结清金融负债时可能发生的交易费用；</w:t>
      </w:r>
      <w:r>
        <w:rPr>
          <w:rFonts w:ascii="Times New Roman" w:hAnsi="Times New Roman" w:cs="Times New Roman" w:eastAsia="Times New Roman" w:hint="default"/>
        </w:rPr>
        <w:t>b</w:t>
      </w:r>
      <w:r>
        <w:rPr/>
        <w:t>、与在活跃市场中没有报价、公允价值不能可靠计量的权益工具挂钩并须通过交付</w:t>
      </w:r>
      <w:r>
        <w:rPr>
          <w:spacing w:val="-83"/>
        </w:rPr>
        <w:t> </w:t>
      </w:r>
      <w:r>
        <w:rPr>
          <w:spacing w:val="-83"/>
        </w:rPr>
      </w:r>
      <w:r>
        <w:rPr/>
        <w:t>该权益工具结算的衍生金融负债，按照成本计量；</w:t>
      </w:r>
      <w:r>
        <w:rPr>
          <w:rFonts w:ascii="Times New Roman" w:hAnsi="Times New Roman" w:cs="Times New Roman" w:eastAsia="Times New Roman" w:hint="default"/>
        </w:rPr>
        <w:t>c</w:t>
      </w:r>
      <w:r>
        <w:rPr/>
        <w:t>、不属于指定为以公允价值计量且其变动计入当期损益的金融负债的财</w:t>
      </w:r>
      <w:r>
        <w:rPr>
          <w:spacing w:val="-75"/>
        </w:rPr>
        <w:t> </w:t>
      </w:r>
      <w:r>
        <w:rPr>
          <w:spacing w:val="-75"/>
        </w:rPr>
      </w:r>
      <w:r>
        <w:rPr/>
        <w:t>务担保合同，在初始确认后按照下列两项金额之中的较高者进行后续计量：</w:t>
      </w:r>
      <w:r>
        <w:rPr>
          <w:rFonts w:ascii="Times New Roman" w:hAnsi="Times New Roman" w:cs="Times New Roman" w:eastAsia="Times New Roman" w:hint="default"/>
        </w:rPr>
        <w:t>I</w:t>
      </w:r>
      <w:r>
        <w:rPr/>
        <w:t>、按照《企业会计准则第</w:t>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w:t>
      </w:r>
      <w:r>
        <w:rPr>
          <w:spacing w:val="-55"/>
        </w:rPr>
        <w:t> </w:t>
      </w:r>
      <w:r>
        <w:rPr>
          <w:spacing w:val="-55"/>
        </w:rPr>
      </w:r>
      <w:r>
        <w:rPr/>
        <w:t>确定的金额；</w:t>
      </w:r>
      <w:r>
        <w:rPr>
          <w:rFonts w:ascii="Times New Roman" w:hAnsi="Times New Roman" w:cs="Times New Roman" w:eastAsia="Times New Roman" w:hint="default"/>
        </w:rPr>
        <w:t>II</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收入》的原则确定的累计摊销额后的余额；</w:t>
      </w:r>
    </w:p>
    <w:p>
      <w:pPr>
        <w:pStyle w:val="BodyText"/>
        <w:spacing w:line="300" w:lineRule="auto" w:before="11"/>
        <w:ind w:right="148" w:firstLine="360"/>
        <w:jc w:val="both"/>
      </w:pPr>
      <w:r>
        <w:rPr>
          <w:rFonts w:ascii="Times New Roman" w:hAnsi="Times New Roman" w:cs="Times New Roman" w:eastAsia="Times New Roman" w:hint="default"/>
        </w:rPr>
        <w:t>C</w:t>
      </w:r>
      <w:r>
        <w:rPr/>
        <w:t>、金融工具公允价值变动形成的利得或损失的处理如下：</w:t>
      </w:r>
      <w:r>
        <w:rPr>
          <w:rFonts w:ascii="Times New Roman" w:hAnsi="Times New Roman" w:cs="Times New Roman" w:eastAsia="Times New Roman" w:hint="default"/>
        </w:rPr>
        <w:t>a</w:t>
      </w:r>
      <w:r>
        <w:rPr/>
        <w:t>、以公允价值计量且其变动计入当期损益的金融资产或金 融负债公允价值变动形成的利得或损失，计入当期损益；</w:t>
      </w:r>
      <w:r>
        <w:rPr>
          <w:rFonts w:ascii="Times New Roman" w:hAnsi="Times New Roman" w:cs="Times New Roman" w:eastAsia="Times New Roman" w:hint="default"/>
        </w:rPr>
        <w:t>b</w:t>
      </w:r>
      <w:r>
        <w:rPr/>
        <w:t>、可供出售金融资产公允价值变动形成的利得或损失，除减值损</w:t>
      </w:r>
      <w:r>
        <w:rPr>
          <w:spacing w:val="-83"/>
        </w:rPr>
        <w:t> </w:t>
      </w:r>
      <w:r>
        <w:rPr>
          <w:spacing w:val="-83"/>
        </w:rPr>
      </w:r>
      <w:r>
        <w:rPr/>
        <w:t>失和外币货币性金融资产形成的汇兑差额外，直接计入所有者权益，在该金融资产终止确认时转出，计入当期损益；</w:t>
      </w:r>
      <w:r>
        <w:rPr>
          <w:rFonts w:ascii="Times New Roman" w:hAnsi="Times New Roman" w:cs="Times New Roman" w:eastAsia="Times New Roman" w:hint="default"/>
        </w:rPr>
        <w:t>c</w:t>
      </w:r>
      <w:r>
        <w:rPr/>
        <w:t>、外</w:t>
      </w:r>
      <w:r>
        <w:rPr>
          <w:spacing w:val="-71"/>
        </w:rPr>
        <w:t> </w:t>
      </w:r>
      <w:r>
        <w:rPr/>
        <w:t>币货币性金融资产形成的汇兑差额，计入当期损益；</w:t>
      </w:r>
    </w:p>
    <w:p>
      <w:pPr>
        <w:pStyle w:val="BodyText"/>
        <w:spacing w:line="240" w:lineRule="auto" w:before="31"/>
        <w:ind w:left="513" w:right="0"/>
        <w:jc w:val="left"/>
      </w:pPr>
      <w:r>
        <w:rPr>
          <w:rFonts w:ascii="Times New Roman" w:hAnsi="Times New Roman" w:cs="Times New Roman" w:eastAsia="Times New Roman" w:hint="default"/>
        </w:rPr>
        <w:t>D</w:t>
      </w:r>
      <w:r>
        <w:rPr/>
        <w:t>、本公司对以摊余成本计量的金融资产或金融负债，在终止确认、发生减值或摊销时产生的利得或损失，计入当期损</w:t>
      </w:r>
    </w:p>
    <w:p>
      <w:pPr>
        <w:pStyle w:val="BodyText"/>
        <w:spacing w:line="240" w:lineRule="auto" w:before="63"/>
        <w:ind w:right="0"/>
        <w:jc w:val="left"/>
      </w:pPr>
      <w:r>
        <w:rPr/>
        <w:t>益；</w:t>
      </w:r>
    </w:p>
    <w:p>
      <w:pPr>
        <w:pStyle w:val="BodyText"/>
        <w:spacing w:line="240" w:lineRule="auto" w:before="76"/>
        <w:ind w:left="513" w:right="0"/>
        <w:jc w:val="left"/>
      </w:pPr>
      <w:r>
        <w:rPr>
          <w:rFonts w:ascii="Times New Roman" w:hAnsi="Times New Roman" w:cs="Times New Roman" w:eastAsia="Times New Roman" w:hint="default"/>
        </w:rPr>
        <w:t>E</w:t>
      </w:r>
      <w:r>
        <w:rPr/>
        <w:t>、本公司因持有意图或能力发生改变，使某项投资不再适合划分为持有至到期投资的，将其重分类为可供出售金融资</w:t>
      </w:r>
    </w:p>
    <w:p>
      <w:pPr>
        <w:pStyle w:val="BodyText"/>
        <w:spacing w:line="309" w:lineRule="auto" w:before="63"/>
        <w:ind w:right="151"/>
        <w:jc w:val="both"/>
      </w:pPr>
      <w:r>
        <w:rPr>
          <w:spacing w:val="-2"/>
        </w:rPr>
        <w:t>产，并以公允价值进行后续计量。重分类日，该投资的账面价值与其公允价值之间的差额计入所有者权益，在该可供出售金</w:t>
      </w:r>
      <w:r>
        <w:rPr>
          <w:spacing w:val="-64"/>
        </w:rPr>
        <w:t> </w:t>
      </w:r>
      <w:r>
        <w:rPr>
          <w:spacing w:val="-64"/>
        </w:rPr>
      </w:r>
      <w:r>
        <w:rPr>
          <w:spacing w:val="-2"/>
        </w:rPr>
        <w:t>融资产发生减值或终止确认时转出，计入当期损益；本公司将尚未到期的持有至到期投资金融资产重分类为可供出售金融资</w:t>
      </w:r>
      <w:r>
        <w:rPr>
          <w:spacing w:val="-63"/>
        </w:rPr>
        <w:t> </w:t>
      </w:r>
      <w:r>
        <w:rPr>
          <w:spacing w:val="-63"/>
        </w:rPr>
      </w:r>
      <w:r>
        <w:rPr>
          <w:spacing w:val="-2"/>
        </w:rPr>
        <w:t>产的依据如下：</w:t>
      </w:r>
      <w:r>
        <w:rPr>
          <w:rFonts w:ascii="Times New Roman" w:hAnsi="Times New Roman" w:cs="Times New Roman" w:eastAsia="Times New Roman" w:hint="default"/>
          <w:spacing w:val="-2"/>
        </w:rPr>
        <w:t>a</w:t>
      </w:r>
      <w:r>
        <w:rPr>
          <w:spacing w:val="-2"/>
        </w:rPr>
        <w:t>、持有该金融资产的期限不确定；</w:t>
      </w:r>
      <w:r>
        <w:rPr>
          <w:rFonts w:ascii="Times New Roman" w:hAnsi="Times New Roman" w:cs="Times New Roman" w:eastAsia="Times New Roman" w:hint="default"/>
          <w:spacing w:val="-2"/>
        </w:rPr>
        <w:t>b</w:t>
      </w:r>
      <w:r>
        <w:rPr>
          <w:spacing w:val="-2"/>
        </w:rPr>
        <w:t>、发生市场利率变化、流动性需要变化、替代投资机会及其投资收益率</w:t>
      </w:r>
      <w:r>
        <w:rPr>
          <w:spacing w:val="-56"/>
        </w:rPr>
        <w:t> </w:t>
      </w:r>
      <w:r>
        <w:rPr>
          <w:spacing w:val="-56"/>
        </w:rPr>
      </w:r>
      <w:r>
        <w:rPr>
          <w:spacing w:val="-2"/>
        </w:rPr>
        <w:t>变化、融资来源和条件变化、外汇风险变化等情况时，将出售该金融资产。但是，无法控制、预期不会重复发生且难以合理</w:t>
      </w:r>
      <w:r>
        <w:rPr>
          <w:spacing w:val="-68"/>
        </w:rPr>
        <w:t> </w:t>
      </w:r>
      <w:r>
        <w:rPr>
          <w:spacing w:val="-68"/>
        </w:rPr>
      </w:r>
      <w:r>
        <w:rPr>
          <w:spacing w:val="-2"/>
        </w:rPr>
        <w:t>预计的独立事项引起的金融资产出售除外；</w:t>
      </w:r>
      <w:r>
        <w:rPr>
          <w:rFonts w:ascii="Times New Roman" w:hAnsi="Times New Roman" w:cs="Times New Roman" w:eastAsia="Times New Roman" w:hint="default"/>
          <w:spacing w:val="-2"/>
        </w:rPr>
        <w:t>c</w:t>
      </w:r>
      <w:r>
        <w:rPr>
          <w:spacing w:val="-2"/>
        </w:rPr>
        <w:t>、该金融资产的发行方可以按照明显低于其摊余成本的金额清偿；</w:t>
      </w:r>
      <w:r>
        <w:rPr>
          <w:rFonts w:ascii="Times New Roman" w:hAnsi="Times New Roman" w:cs="Times New Roman" w:eastAsia="Times New Roman" w:hint="default"/>
          <w:spacing w:val="-2"/>
        </w:rPr>
        <w:t>d</w:t>
      </w:r>
      <w:r>
        <w:rPr>
          <w:spacing w:val="-2"/>
        </w:rPr>
        <w:t>、没有可利</w:t>
      </w:r>
      <w:r>
        <w:rPr>
          <w:spacing w:val="-52"/>
        </w:rPr>
        <w:t> </w:t>
      </w:r>
      <w:r>
        <w:rPr>
          <w:spacing w:val="-52"/>
        </w:rPr>
      </w:r>
      <w:r>
        <w:rPr/>
        <w:t>用的财务资源持续地为该金融资产投资提供资金支持，以使该金融资产投资持有至到期；</w:t>
      </w:r>
      <w:r>
        <w:rPr>
          <w:rFonts w:ascii="Times New Roman" w:hAnsi="Times New Roman" w:cs="Times New Roman" w:eastAsia="Times New Roman" w:hint="default"/>
        </w:rPr>
        <w:t>e</w:t>
      </w:r>
      <w:r>
        <w:rPr/>
        <w:t>、受法律、行政法规的限制，使</w:t>
      </w:r>
      <w:r>
        <w:rPr>
          <w:spacing w:val="-74"/>
        </w:rPr>
        <w:t> </w:t>
      </w:r>
      <w:r>
        <w:rPr>
          <w:spacing w:val="-74"/>
        </w:rPr>
      </w:r>
      <w:r>
        <w:rPr/>
        <w:t>公司难以将该金融资产投资持有至到期；</w:t>
      </w:r>
    </w:p>
    <w:p>
      <w:pPr>
        <w:pStyle w:val="BodyText"/>
        <w:spacing w:line="240" w:lineRule="auto" w:before="24"/>
        <w:ind w:left="513" w:right="0"/>
        <w:jc w:val="left"/>
      </w:pPr>
      <w:r>
        <w:rPr>
          <w:rFonts w:ascii="Times New Roman" w:hAnsi="Times New Roman" w:cs="Times New Roman" w:eastAsia="Times New Roman" w:hint="default"/>
        </w:rPr>
        <w:t>F</w:t>
      </w:r>
      <w:r>
        <w:rPr/>
        <w:t>、其他表明公司没有能力将尚未到期的金融资产投资持有至到期的情况。</w:t>
      </w:r>
    </w:p>
    <w:p>
      <w:pPr>
        <w:spacing w:after="0" w:line="240" w:lineRule="auto"/>
        <w:jc w:val="left"/>
        <w:sectPr>
          <w:pgSz w:w="11910" w:h="16840"/>
          <w:pgMar w:header="877"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both"/>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110"/>
        <w:jc w:val="left"/>
      </w:pPr>
      <w:r>
        <w:rPr/>
        <w:t>①金融资产转移的确认标准：</w:t>
      </w:r>
    </w:p>
    <w:p>
      <w:pPr>
        <w:pStyle w:val="BodyText"/>
        <w:spacing w:line="300" w:lineRule="auto" w:before="76"/>
        <w:ind w:left="513" w:right="110"/>
        <w:jc w:val="left"/>
      </w:pPr>
      <w:r>
        <w:rPr>
          <w:rFonts w:ascii="Times New Roman" w:hAnsi="Times New Roman" w:cs="Times New Roman" w:eastAsia="Times New Roman" w:hint="default"/>
        </w:rPr>
        <w:t>A</w:t>
      </w:r>
      <w:r>
        <w:rPr/>
        <w:t>、将收取金融资产现金流量的权利转移给另一方； </w:t>
      </w:r>
      <w:r>
        <w:rPr>
          <w:rFonts w:ascii="Times New Roman" w:hAnsi="Times New Roman" w:cs="Times New Roman" w:eastAsia="Times New Roman" w:hint="default"/>
          <w:spacing w:val="-1"/>
        </w:rPr>
        <w:t>B</w:t>
      </w:r>
      <w:r>
        <w:rPr>
          <w:spacing w:val="-1"/>
        </w:rPr>
        <w:t>、将金融资产转移给另一方，但保留收取金融资产现金流量的权利，并承担将收取的现金流量支付给最终收款方的义</w:t>
      </w:r>
    </w:p>
    <w:p>
      <w:pPr>
        <w:pStyle w:val="BodyText"/>
        <w:spacing w:line="304" w:lineRule="auto" w:before="13"/>
        <w:ind w:right="211"/>
        <w:jc w:val="both"/>
      </w:pPr>
      <w:r>
        <w:rPr/>
        <w:t>务，同时满足下列条件：</w:t>
      </w:r>
      <w:r>
        <w:rPr>
          <w:rFonts w:ascii="Times New Roman" w:hAnsi="Times New Roman" w:cs="Times New Roman" w:eastAsia="Times New Roman" w:hint="default"/>
        </w:rPr>
        <w:t>a</w:t>
      </w:r>
      <w:r>
        <w:rPr/>
        <w:t>、从该金融资产收到对等的现金流量时，才有义务将其支付给最终收款方。本公司发生短期垫付</w:t>
      </w:r>
      <w:r>
        <w:rPr>
          <w:spacing w:val="-76"/>
        </w:rPr>
        <w:t> </w:t>
      </w:r>
      <w:r>
        <w:rPr>
          <w:spacing w:val="-76"/>
        </w:rPr>
      </w:r>
      <w:r>
        <w:rPr/>
        <w:t>款，但有权全额收回该垫付款并按照市场上同期银行贷款利率计收利息的，视同满足本条件；</w:t>
      </w:r>
      <w:r>
        <w:rPr>
          <w:rFonts w:ascii="Times New Roman" w:hAnsi="Times New Roman" w:cs="Times New Roman" w:eastAsia="Times New Roman" w:hint="default"/>
        </w:rPr>
        <w:t>b</w:t>
      </w:r>
      <w:r>
        <w:rPr/>
        <w:t>、根据合同约定，不能出售</w:t>
      </w:r>
      <w:r>
        <w:rPr>
          <w:spacing w:val="-83"/>
        </w:rPr>
        <w:t> </w:t>
      </w:r>
      <w:r>
        <w:rPr/>
        <w:t>该金融资产或作为担保物，但可以将其作为对最终收款方支付现金流量的保证；</w:t>
      </w:r>
      <w:r>
        <w:rPr>
          <w:rFonts w:ascii="Times New Roman" w:hAnsi="Times New Roman" w:cs="Times New Roman" w:eastAsia="Times New Roman" w:hint="default"/>
        </w:rPr>
        <w:t>c</w:t>
      </w:r>
      <w:r>
        <w:rPr/>
        <w:t>、有义务将收取的现金流量及时支付给最</w:t>
      </w:r>
      <w:r>
        <w:rPr>
          <w:spacing w:val="-74"/>
        </w:rPr>
        <w:t> </w:t>
      </w:r>
      <w:r>
        <w:rPr>
          <w:spacing w:val="-74"/>
        </w:rPr>
      </w:r>
      <w:r>
        <w:rPr>
          <w:spacing w:val="-2"/>
        </w:rPr>
        <w:t>终收款方。本公司无权将该现金流量进行再投资，但按照合同约定在相邻两次支付间隔期内将所收到的现金流量进行现金或</w:t>
      </w:r>
      <w:r>
        <w:rPr>
          <w:spacing w:val="-64"/>
        </w:rPr>
        <w:t> </w:t>
      </w:r>
      <w:r>
        <w:rPr>
          <w:spacing w:val="-64"/>
        </w:rPr>
      </w:r>
      <w:r>
        <w:rPr/>
        <w:t>现金等价物投资的除外。本公司按照合同约定进行再投资的，将投资收益按照合同约定支付给最终收款方。</w:t>
      </w:r>
    </w:p>
    <w:p>
      <w:pPr>
        <w:pStyle w:val="BodyText"/>
        <w:spacing w:line="300" w:lineRule="auto" w:before="28"/>
        <w:ind w:right="110" w:firstLine="360"/>
        <w:jc w:val="left"/>
      </w:pPr>
      <w:r>
        <w:rPr>
          <w:spacing w:val="-2"/>
        </w:rPr>
        <w:t>②金融资产转移的计量：本公司按《企业会计准则第</w:t>
      </w:r>
      <w:r>
        <w:rPr>
          <w:rFonts w:ascii="Times New Roman" w:hAnsi="Times New Roman" w:cs="Times New Roman" w:eastAsia="Times New Roman" w:hint="default"/>
          <w:spacing w:val="-2"/>
        </w:rPr>
        <w:t>23</w:t>
      </w:r>
      <w:r>
        <w:rPr>
          <w:spacing w:val="-2"/>
        </w:rPr>
        <w:t>号</w:t>
      </w:r>
      <w:r>
        <w:rPr>
          <w:rFonts w:ascii="Times New Roman" w:hAnsi="Times New Roman" w:cs="Times New Roman" w:eastAsia="Times New Roman" w:hint="default"/>
          <w:spacing w:val="-2"/>
        </w:rPr>
        <w:t>——</w:t>
      </w:r>
      <w:r>
        <w:rPr>
          <w:spacing w:val="-2"/>
        </w:rPr>
        <w:t>金融资产转移》的规定将金融资产转移区分为金融资产整</w:t>
      </w:r>
      <w:r>
        <w:rPr/>
        <w:t> 体转移和金融资产部分转移：</w:t>
      </w:r>
    </w:p>
    <w:p>
      <w:pPr>
        <w:pStyle w:val="BodyText"/>
        <w:spacing w:line="309" w:lineRule="auto" w:before="32"/>
        <w:ind w:right="117" w:firstLine="360"/>
        <w:jc w:val="both"/>
      </w:pPr>
      <w:r>
        <w:rPr>
          <w:rFonts w:ascii="Times New Roman" w:hAnsi="Times New Roman" w:cs="Times New Roman" w:eastAsia="Times New Roman" w:hint="default"/>
          <w:spacing w:val="-3"/>
        </w:rPr>
        <w:t>A</w:t>
      </w:r>
      <w:r>
        <w:rPr>
          <w:spacing w:val="-3"/>
        </w:rPr>
        <w:t>、金融资产整体转移满足终止确认条件的，将下列两项金额的差额计入当期损益：</w:t>
      </w:r>
      <w:r>
        <w:rPr>
          <w:rFonts w:ascii="Times New Roman" w:hAnsi="Times New Roman" w:cs="Times New Roman" w:eastAsia="Times New Roman" w:hint="default"/>
          <w:spacing w:val="-3"/>
        </w:rPr>
        <w:t>a</w:t>
      </w:r>
      <w:r>
        <w:rPr>
          <w:spacing w:val="-3"/>
        </w:rPr>
        <w:t>、所转移金融资产的账面价值；</w:t>
      </w:r>
      <w:r>
        <w:rPr>
          <w:rFonts w:ascii="Times New Roman" w:hAnsi="Times New Roman" w:cs="Times New Roman" w:eastAsia="Times New Roman" w:hint="default"/>
          <w:spacing w:val="-3"/>
        </w:rPr>
        <w:t>b</w:t>
      </w:r>
      <w:r>
        <w:rPr>
          <w:spacing w:val="-3"/>
        </w:rPr>
        <w:t>、</w:t>
      </w:r>
      <w:r>
        <w:rPr/>
        <w:t> 因转移而收到的对价，与原直接计入所有者权益的公允价值变动累计额（涉及转移的金融资产为可供出售金融资产的情形） 之和；</w:t>
      </w:r>
    </w:p>
    <w:p>
      <w:pPr>
        <w:pStyle w:val="BodyText"/>
        <w:spacing w:line="312" w:lineRule="auto" w:before="24"/>
        <w:ind w:right="211" w:firstLine="360"/>
        <w:jc w:val="both"/>
      </w:pPr>
      <w:r>
        <w:rPr>
          <w:rFonts w:ascii="Times New Roman" w:hAnsi="Times New Roman" w:cs="Times New Roman" w:eastAsia="Times New Roman" w:hint="default"/>
          <w:spacing w:val="-4"/>
        </w:rPr>
        <w:t>B</w:t>
      </w:r>
      <w:r>
        <w:rPr>
          <w:spacing w:val="-4"/>
        </w:rPr>
        <w:t>、金融资产部分转移满足终止确认条件的，将所转移金融资产整体的账面价值，在终止确认部分和未终止确认部分（在</w:t>
      </w:r>
      <w:r>
        <w:rPr/>
        <w:t> </w:t>
      </w:r>
      <w:r>
        <w:rPr>
          <w:spacing w:val="-2"/>
        </w:rPr>
        <w:t>此种情况下，所保留的服务资产视同未终止确认金融资产的一部分）之间，按照各自的相对公允价值进行分摊，并将下列两</w:t>
      </w:r>
      <w:r>
        <w:rPr>
          <w:spacing w:val="-64"/>
        </w:rPr>
        <w:t> </w:t>
      </w:r>
      <w:r>
        <w:rPr>
          <w:spacing w:val="-64"/>
        </w:rPr>
      </w:r>
      <w:r>
        <w:rPr>
          <w:spacing w:val="-2"/>
        </w:rPr>
        <w:t>项金额的差额计入当期损益：</w:t>
      </w:r>
      <w:r>
        <w:rPr>
          <w:rFonts w:ascii="Times New Roman" w:hAnsi="Times New Roman" w:cs="Times New Roman" w:eastAsia="Times New Roman" w:hint="default"/>
          <w:spacing w:val="-2"/>
        </w:rPr>
        <w:t>a</w:t>
      </w:r>
      <w:r>
        <w:rPr>
          <w:spacing w:val="-2"/>
        </w:rPr>
        <w:t>、终止确认部分的账面价值；</w:t>
      </w:r>
      <w:r>
        <w:rPr>
          <w:rFonts w:ascii="Times New Roman" w:hAnsi="Times New Roman" w:cs="Times New Roman" w:eastAsia="Times New Roman" w:hint="default"/>
          <w:spacing w:val="-2"/>
        </w:rPr>
        <w:t>b</w:t>
      </w:r>
      <w:r>
        <w:rPr>
          <w:spacing w:val="-2"/>
        </w:rPr>
        <w:t>、终止确认部分的对价，与原直接计入所有者权益的公允价值</w:t>
      </w:r>
      <w:r>
        <w:rPr>
          <w:spacing w:val="-53"/>
        </w:rPr>
        <w:t> </w:t>
      </w:r>
      <w:r>
        <w:rPr>
          <w:spacing w:val="-53"/>
        </w:rPr>
      </w:r>
      <w:r>
        <w:rPr>
          <w:spacing w:val="-2"/>
        </w:rPr>
        <w:t>变动累计额中对应终止确认部分的金额（涉及转移的金融资产为可供出售金融资产的情形）之和；原直接计入所有者权益的</w:t>
      </w:r>
      <w:r>
        <w:rPr>
          <w:spacing w:val="-66"/>
        </w:rPr>
        <w:t> </w:t>
      </w:r>
      <w:r>
        <w:rPr>
          <w:spacing w:val="-66"/>
        </w:rPr>
      </w:r>
      <w:r>
        <w:rPr>
          <w:spacing w:val="-2"/>
        </w:rPr>
        <w:t>公允价值变动累计额中对应终止确认部分的金额，按照金融资产终止确认部分和未终止确认部分的相对公允价值，对该累计</w:t>
      </w:r>
      <w:r>
        <w:rPr>
          <w:spacing w:val="-64"/>
        </w:rPr>
        <w:t> </w:t>
      </w:r>
      <w:r>
        <w:rPr>
          <w:spacing w:val="-64"/>
        </w:rPr>
      </w:r>
      <w:r>
        <w:rPr/>
        <w:t>额进行分摊后确定。</w:t>
      </w:r>
    </w:p>
    <w:p>
      <w:pPr>
        <w:spacing w:line="240" w:lineRule="auto" w:before="1"/>
        <w:rPr>
          <w:rFonts w:ascii="宋体" w:hAnsi="宋体" w:cs="宋体" w:eastAsia="宋体" w:hint="default"/>
          <w:sz w:val="23"/>
          <w:szCs w:val="23"/>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0"/>
        <w:jc w:val="left"/>
      </w:pPr>
      <w:r>
        <w:rPr/>
        <w:t>金融负债的现时义务全部或部分已经解除的，本公司终止确认该金融负债或其一部分。</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0"/>
        <w:jc w:val="left"/>
      </w:pPr>
      <w:r>
        <w:rPr/>
        <w:t>本公司对主要金融资产和金融负债公允价值的确定方法如下：</w:t>
      </w:r>
    </w:p>
    <w:p>
      <w:pPr>
        <w:pStyle w:val="BodyText"/>
        <w:spacing w:line="240" w:lineRule="auto" w:before="76"/>
        <w:ind w:left="513" w:right="110"/>
        <w:jc w:val="left"/>
      </w:pPr>
      <w:r>
        <w:rPr/>
        <w:t>①存在活跃市场的金融资产或金融负债，活跃市场中的报价用于确定其公允价值；</w:t>
      </w:r>
    </w:p>
    <w:p>
      <w:pPr>
        <w:pStyle w:val="BodyText"/>
        <w:spacing w:line="240" w:lineRule="auto" w:before="76"/>
        <w:ind w:left="513" w:right="110"/>
        <w:jc w:val="left"/>
      </w:pPr>
      <w:r>
        <w:rPr/>
        <w:t>②金融工具不存在活跃市场的，采用估值技术确定其公允价值；</w:t>
      </w:r>
    </w:p>
    <w:p>
      <w:pPr>
        <w:pStyle w:val="BodyText"/>
        <w:spacing w:line="240" w:lineRule="auto" w:before="76"/>
        <w:ind w:left="513" w:right="110"/>
        <w:jc w:val="left"/>
      </w:pPr>
      <w:r>
        <w:rPr/>
        <w:t>③初始取得或原生的金融资产或承担的金融负债，以市场交易价格作为确定其公允价值的基础。</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0" w:firstLine="360"/>
        <w:jc w:val="left"/>
      </w:pPr>
      <w:r>
        <w:rPr>
          <w:spacing w:val="-2"/>
        </w:rPr>
        <w:t>本公司期末对以公允价值计量且其变动计入当期损益的金融资产以外的金融资产的账面价值进行检查，有客观证据表明</w:t>
      </w:r>
      <w:r>
        <w:rPr/>
        <w:t> 该金融资产发生减值的，计提减值准备。金融资产发生减值的客观证据主要包括：</w:t>
      </w:r>
    </w:p>
    <w:p>
      <w:pPr>
        <w:pStyle w:val="BodyText"/>
        <w:spacing w:line="240" w:lineRule="auto" w:before="19"/>
        <w:ind w:left="513" w:right="110"/>
        <w:jc w:val="left"/>
      </w:pPr>
      <w:r>
        <w:rPr/>
        <w:t>①发行方或债务人发生严重财务困难；</w:t>
      </w:r>
    </w:p>
    <w:p>
      <w:pPr>
        <w:pStyle w:val="BodyText"/>
        <w:spacing w:line="240" w:lineRule="auto" w:before="76"/>
        <w:ind w:left="513" w:right="110"/>
        <w:jc w:val="left"/>
      </w:pPr>
      <w:r>
        <w:rPr/>
        <w:t>②债务人违反了合同条款；</w:t>
      </w:r>
    </w:p>
    <w:p>
      <w:pPr>
        <w:pStyle w:val="BodyText"/>
        <w:spacing w:line="240" w:lineRule="auto" w:before="76"/>
        <w:ind w:left="513" w:right="110"/>
        <w:jc w:val="left"/>
      </w:pPr>
      <w:r>
        <w:rPr/>
        <w:t>③债权人出于经济或法律等方面因素的考虑，对发生财务困难的债务人作出让步；</w:t>
      </w:r>
    </w:p>
    <w:p>
      <w:pPr>
        <w:pStyle w:val="BodyText"/>
        <w:spacing w:line="240" w:lineRule="auto" w:before="76"/>
        <w:ind w:left="513" w:right="110"/>
        <w:jc w:val="left"/>
      </w:pPr>
      <w:r>
        <w:rPr/>
        <w:t>④债务人很可能倒闭或进行其他财务重组；</w:t>
      </w:r>
    </w:p>
    <w:p>
      <w:pPr>
        <w:pStyle w:val="BodyText"/>
        <w:spacing w:line="240" w:lineRule="auto" w:before="76"/>
        <w:ind w:left="513" w:right="110"/>
        <w:jc w:val="left"/>
      </w:pPr>
      <w:r>
        <w:rPr/>
        <w:t>⑤因发行方发生重大财务困难，该金融资产无法在活跃市场继续交易；</w:t>
      </w:r>
    </w:p>
    <w:p>
      <w:pPr>
        <w:pStyle w:val="BodyText"/>
        <w:spacing w:line="316" w:lineRule="auto" w:before="76"/>
        <w:ind w:right="110" w:firstLine="360"/>
        <w:jc w:val="left"/>
      </w:pPr>
      <w:r>
        <w:rPr>
          <w:spacing w:val="-2"/>
        </w:rPr>
        <w:t>⑥无法辨认一组金融资产中的某项资产的现金流量是否已经减少，但根据公开的数据对其进行总体评价后发现，该组金</w:t>
      </w:r>
      <w:r>
        <w:rPr/>
        <w:t> 融资产自初始确认以来的预计未来现金流量确已减少且可计量；</w:t>
      </w:r>
    </w:p>
    <w:p>
      <w:pPr>
        <w:pStyle w:val="BodyText"/>
        <w:spacing w:line="240" w:lineRule="auto" w:before="19"/>
        <w:ind w:left="513" w:right="110"/>
        <w:jc w:val="left"/>
      </w:pPr>
      <w:r>
        <w:rPr/>
        <w:t>⑦债务人经营所处的技术、市场、经济或法律环境等发生重大不利变化，使权益工具投资人可能无法收回投资成本；</w:t>
      </w:r>
    </w:p>
    <w:p>
      <w:pPr>
        <w:spacing w:after="0" w:line="240" w:lineRule="auto"/>
        <w:jc w:val="left"/>
        <w:sectPr>
          <w:pgSz w:w="11910" w:h="16840"/>
          <w:pgMar w:header="877" w:footer="980" w:top="1060" w:bottom="1160" w:left="980" w:right="920"/>
        </w:sectPr>
      </w:pPr>
    </w:p>
    <w:p>
      <w:pPr>
        <w:spacing w:line="240" w:lineRule="auto" w:before="9"/>
        <w:rPr>
          <w:rFonts w:ascii="宋体" w:hAnsi="宋体" w:cs="宋体" w:eastAsia="宋体" w:hint="default"/>
          <w:sz w:val="25"/>
          <w:szCs w:val="25"/>
        </w:rPr>
      </w:pPr>
    </w:p>
    <w:p>
      <w:pPr>
        <w:pStyle w:val="BodyText"/>
        <w:spacing w:line="240" w:lineRule="auto" w:before="44"/>
        <w:ind w:left="513" w:right="0"/>
        <w:jc w:val="left"/>
      </w:pPr>
      <w:r>
        <w:rPr/>
        <w:t>⑧权益工具投资的公允价值发生严重或非暂时性下跌；</w:t>
      </w:r>
    </w:p>
    <w:p>
      <w:pPr>
        <w:pStyle w:val="BodyText"/>
        <w:spacing w:line="316" w:lineRule="auto" w:before="77"/>
        <w:ind w:left="513" w:right="0"/>
        <w:jc w:val="left"/>
      </w:pPr>
      <w:r>
        <w:rPr/>
        <w:t>⑨其他表明金融资产发生减值的客观证据。 </w:t>
      </w:r>
      <w:r>
        <w:rPr>
          <w:spacing w:val="-2"/>
        </w:rPr>
        <w:t>本公司对单项金额重大的金融资产单独进行减值测试，如有客观证据表明其已发生减值，则确认减值损失，计入当期损</w:t>
      </w:r>
    </w:p>
    <w:p>
      <w:pPr>
        <w:pStyle w:val="BodyText"/>
        <w:spacing w:line="316" w:lineRule="auto" w:before="19"/>
        <w:ind w:right="150"/>
        <w:jc w:val="both"/>
      </w:pPr>
      <w:r>
        <w:rPr>
          <w:spacing w:val="-2"/>
        </w:rPr>
        <w:t>益。对单独测试未发生减值的单项金额重大的金融资产，连同单项金额不重大的金融资产，一并在具有类似信用风险特征的</w:t>
      </w:r>
      <w:r>
        <w:rPr>
          <w:spacing w:val="-63"/>
        </w:rPr>
        <w:t> </w:t>
      </w:r>
      <w:r>
        <w:rPr>
          <w:spacing w:val="-63"/>
        </w:rPr>
      </w:r>
      <w:r>
        <w:rPr>
          <w:spacing w:val="-2"/>
        </w:rPr>
        <w:t>金融资产组合中进行减值测试；对已单项确认减值损失的金融资产，则不包括在具有类似信用风险特征的金融资产组合中进</w:t>
      </w:r>
      <w:r>
        <w:rPr>
          <w:spacing w:val="-64"/>
        </w:rPr>
        <w:t> </w:t>
      </w:r>
      <w:r>
        <w:rPr>
          <w:spacing w:val="-64"/>
        </w:rPr>
      </w:r>
      <w:r>
        <w:rPr/>
        <w:t>行减值测试。</w:t>
      </w:r>
    </w:p>
    <w:p>
      <w:pPr>
        <w:pStyle w:val="BodyText"/>
        <w:spacing w:line="312" w:lineRule="auto" w:before="19"/>
        <w:ind w:right="150" w:firstLine="360"/>
        <w:jc w:val="both"/>
      </w:pPr>
      <w:r>
        <w:rPr>
          <w:spacing w:val="-2"/>
        </w:rPr>
        <w:t>以摊余成本计量的金融资产发生减值时，本公司将该金融资产的账面价值减记至预计未来现金流量（不包括尚未发生的</w:t>
      </w:r>
      <w:r>
        <w:rPr/>
        <w:t> 未来信用损失</w:t>
      </w:r>
      <w:r>
        <w:rPr>
          <w:rFonts w:ascii="Times New Roman" w:hAnsi="Times New Roman" w:cs="Times New Roman" w:eastAsia="Times New Roman" w:hint="default"/>
        </w:rPr>
        <w:t>)</w:t>
      </w:r>
      <w:r>
        <w:rPr/>
        <w:t>现值，减记的金额确认为资产减值损失，计入当期损益。以摊余成本计量的金融资产确认减值损失后，如有</w:t>
      </w:r>
      <w:r>
        <w:rPr>
          <w:spacing w:val="-59"/>
        </w:rPr>
        <w:t> </w:t>
      </w:r>
      <w:r>
        <w:rPr>
          <w:spacing w:val="-59"/>
        </w:rPr>
      </w:r>
      <w:r>
        <w:rPr>
          <w:spacing w:val="-2"/>
        </w:rPr>
        <w:t>客观证据表明该金融资产价值已恢复，且客观上与确认该损失后发生的事项有关，本公司对原确认的损失予以转回，计入当</w:t>
      </w:r>
      <w:r>
        <w:rPr>
          <w:spacing w:val="-63"/>
        </w:rPr>
        <w:t> </w:t>
      </w:r>
      <w:r>
        <w:rPr>
          <w:spacing w:val="-63"/>
        </w:rPr>
      </w:r>
      <w:r>
        <w:rPr/>
        <w:t>期损益。但是，转回后的账面价值不超过假定不计提减值准备情况下该金融资产在转回日的摊余成本。</w:t>
      </w:r>
    </w:p>
    <w:p>
      <w:pPr>
        <w:pStyle w:val="BodyText"/>
        <w:spacing w:line="316" w:lineRule="auto" w:before="22"/>
        <w:ind w:right="152" w:firstLine="360"/>
        <w:jc w:val="both"/>
      </w:pPr>
      <w:r>
        <w:rPr>
          <w:spacing w:val="-2"/>
        </w:rPr>
        <w:t>可供出售金融资产发生减值时，本公司对原直接计入所有者权益的因公允价值下降形成的累计损失予以转出，计入当期</w:t>
      </w:r>
      <w:r>
        <w:rPr/>
        <w:t> 损益。</w:t>
      </w:r>
    </w:p>
    <w:p>
      <w:pPr>
        <w:spacing w:line="240" w:lineRule="auto" w:before="11"/>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41"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41" w:right="0"/>
        <w:jc w:val="left"/>
      </w:pPr>
      <w:r>
        <w:rPr/>
        <w:t>公司采用备抵法核算坏账准备。</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4"/>
        <w:gridCol w:w="4515"/>
      </w:tblGrid>
      <w:tr>
        <w:trPr>
          <w:trHeight w:val="713"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应收账款单项金额大于等于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pacing w:val="-4"/>
                <w:sz w:val="18"/>
                <w:szCs w:val="18"/>
              </w:rPr>
              <w:t>万元、其他应收账款单项</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金额大于等于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w:t>
            </w:r>
          </w:p>
        </w:tc>
      </w:tr>
      <w:tr>
        <w:trPr>
          <w:trHeight w:val="715"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单独进行减值测试，在有客观证据表明其发生了减值的， 按其未来现金流量低于账面价值的差额计提坏账准备。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00"/>
        <w:gridCol w:w="2187"/>
        <w:gridCol w:w="4784"/>
      </w:tblGrid>
      <w:tr>
        <w:trPr>
          <w:trHeight w:val="715"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单项金额重大应收款项组合</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单项金额重大、单独进行减值测试未发生减值的应收款项</w:t>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其他应收款项组合</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其他的应收款项以账龄特征划分若干应收款项组合</w:t>
            </w:r>
          </w:p>
        </w:tc>
      </w:tr>
    </w:tbl>
    <w:p>
      <w:pPr>
        <w:pStyle w:val="BodyText"/>
        <w:spacing w:line="240" w:lineRule="auto" w:before="49"/>
        <w:ind w:right="0"/>
        <w:jc w:val="left"/>
      </w:pPr>
      <w:r>
        <w:rPr/>
        <w:t>组合中，采用账龄分析法计提坏账准备的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00"/>
        <w:gridCol w:w="2977"/>
        <w:gridCol w:w="3994"/>
      </w:tblGrid>
      <w:tr>
        <w:trPr>
          <w:trHeight w:val="401"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00"/>
        <w:gridCol w:w="2977"/>
        <w:gridCol w:w="3994"/>
      </w:tblGrid>
      <w:tr>
        <w:trPr>
          <w:trHeight w:val="401"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80%</w:t>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right="0"/>
        <w:jc w:val="left"/>
      </w:pPr>
      <w:r>
        <w:rPr/>
        <w:t>组合中，采用余额百分比法计提坏账准备的</w:t>
      </w:r>
    </w:p>
    <w:p>
      <w:pPr>
        <w:pStyle w:val="BodyText"/>
        <w:spacing w:line="340" w:lineRule="auto" w:before="115"/>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5"/>
        <w:gridCol w:w="6215"/>
      </w:tblGrid>
      <w:tr>
        <w:trPr>
          <w:trHeight w:val="1028"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0"/>
              <w:jc w:val="both"/>
              <w:rPr>
                <w:rFonts w:ascii="宋体" w:hAnsi="宋体" w:cs="宋体" w:eastAsia="宋体" w:hint="default"/>
                <w:sz w:val="18"/>
                <w:szCs w:val="18"/>
              </w:rPr>
            </w:pPr>
            <w:r>
              <w:rPr>
                <w:rFonts w:ascii="宋体" w:hAnsi="宋体" w:cs="宋体" w:eastAsia="宋体" w:hint="default"/>
                <w:sz w:val="18"/>
                <w:szCs w:val="18"/>
              </w:rPr>
              <w:t>对单项金额不重大但个别信用风险特征明显不同，已有客观证据表明其发生了 减值的应收款项，按组合计提的坏账准备不能反映实际情况，本公司单独进行 减值测试</w:t>
            </w:r>
          </w:p>
        </w:tc>
      </w:tr>
      <w:tr>
        <w:trPr>
          <w:trHeight w:val="715"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根据其未来现金流量现值低于其账面价值的差额，确认减值损失，并据此计提 相应的坏账准备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存货包括原材料、在产品及自制半成品、库存商品、低值易耗品、委托加工物资等。</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计价方法：加权平均法</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89" w:firstLine="360"/>
        <w:jc w:val="both"/>
      </w:pPr>
      <w:r>
        <w:rPr>
          <w:spacing w:val="-2"/>
        </w:rPr>
        <w:t>期末存货按成本与可变现净值孰低原则计价；本公司于期末在对存货进行全面盘点的基础上，对于存货因霉烂变质、全</w:t>
      </w:r>
      <w:r>
        <w:rPr/>
        <w:t> </w:t>
      </w:r>
      <w:r>
        <w:rPr>
          <w:spacing w:val="-2"/>
        </w:rPr>
        <w:t>部或部分过时或消费者偏好改变而使市场的需求发生变化，导致存货的市场价格持续下跌、并且在可预见的未来不能回升等</w:t>
      </w:r>
      <w:r>
        <w:rPr>
          <w:spacing w:val="-64"/>
        </w:rPr>
        <w:t> </w:t>
      </w:r>
      <w:r>
        <w:rPr>
          <w:spacing w:val="-64"/>
        </w:rPr>
      </w:r>
      <w:r>
        <w:rPr>
          <w:spacing w:val="-2"/>
        </w:rPr>
        <w:t>原因，预计存货的成本高于其可变现净值，则按单个存货项目的成本高于其可变现净值的差额计提存货跌价准备，计入当期</w:t>
      </w:r>
      <w:r>
        <w:rPr>
          <w:spacing w:val="-63"/>
        </w:rPr>
        <w:t> </w:t>
      </w:r>
      <w:r>
        <w:rPr>
          <w:spacing w:val="-63"/>
        </w:rPr>
      </w:r>
      <w:r>
        <w:rPr/>
        <w:t>损益。</w:t>
      </w:r>
    </w:p>
    <w:p>
      <w:pPr>
        <w:pStyle w:val="BodyText"/>
        <w:spacing w:line="319" w:lineRule="auto" w:before="19"/>
        <w:ind w:right="94" w:firstLine="360"/>
        <w:jc w:val="left"/>
      </w:pPr>
      <w:r>
        <w:rPr/>
        <w:t>本公司对直接用于出售的商品存货，其可变现净值按该存货的估计售价减去估计的销售费用和相关税费后的金额确定； </w:t>
      </w:r>
      <w:r>
        <w:rPr>
          <w:spacing w:val="-2"/>
        </w:rPr>
        <w:t>对需要经过加工的材料存货，以所生产的产成品的估计售价减去至完工时估计将要发生的成本、估计的销售费用和相关税费</w:t>
      </w:r>
      <w:r>
        <w:rPr>
          <w:spacing w:val="-64"/>
        </w:rPr>
        <w:t> </w:t>
      </w:r>
      <w:r>
        <w:rPr>
          <w:spacing w:val="-64"/>
        </w:rPr>
      </w:r>
      <w:r>
        <w:rPr>
          <w:spacing w:val="-2"/>
        </w:rPr>
        <w:t>后的金额确定；为执行销售合同或者劳务合同而持有的存货，其可变现净值以合同价格为基础计算；企业持有存货的数量多</w:t>
      </w:r>
      <w:r>
        <w:rPr>
          <w:spacing w:val="-63"/>
        </w:rPr>
        <w:t> </w:t>
      </w:r>
      <w:r>
        <w:rPr>
          <w:spacing w:val="-63"/>
        </w:rPr>
      </w:r>
      <w:r>
        <w:rPr/>
        <w:t>于销售合同订购数量的，超出部分的存货可变现净值以一般销售价格为基础计算。</w:t>
      </w:r>
    </w:p>
    <w:p>
      <w:pPr>
        <w:pStyle w:val="BodyText"/>
        <w:spacing w:line="316" w:lineRule="auto" w:before="17"/>
        <w:ind w:right="0" w:firstLine="360"/>
        <w:jc w:val="left"/>
      </w:pPr>
      <w:r>
        <w:rPr>
          <w:spacing w:val="-2"/>
        </w:rPr>
        <w:t>如果以前减记存货价值的影响因素已经消失，则本公司对减记的金额予以恢复，并在原已计提的存货跌价准备的金额内</w:t>
      </w:r>
      <w:r>
        <w:rPr/>
        <w:t> 转回，转回的金额计入当期损益。</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盘存制度：永续盘存制</w:t>
      </w:r>
    </w:p>
    <w:p>
      <w:pPr>
        <w:spacing w:after="0" w:line="240" w:lineRule="auto"/>
        <w:jc w:val="left"/>
        <w:sectPr>
          <w:pgSz w:w="11910" w:h="16840"/>
          <w:pgMar w:header="877" w:footer="980"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8014"/>
        <w:jc w:val="left"/>
      </w:pPr>
      <w:r>
        <w:rPr/>
        <w:t>低值易耗品 摊销方法：一次摊销法 包装物 摊销方法：一次摊销法</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98" w:right="0"/>
        <w:jc w:val="left"/>
      </w:pPr>
      <w:r>
        <w:rPr/>
        <w:t>①本公司对通过企业合并形成的长期股权投资，按照以下方法确定其初始投资成本：</w:t>
      </w:r>
    </w:p>
    <w:p>
      <w:pPr>
        <w:pStyle w:val="BodyText"/>
        <w:spacing w:line="309" w:lineRule="auto" w:before="115"/>
        <w:ind w:right="190" w:firstLine="346"/>
        <w:jc w:val="both"/>
      </w:pPr>
      <w:r>
        <w:rPr>
          <w:rFonts w:ascii="Times New Roman" w:hAnsi="Times New Roman" w:cs="Times New Roman" w:eastAsia="Times New Roman" w:hint="default"/>
          <w:spacing w:val="-1"/>
        </w:rPr>
        <w:t>A</w:t>
      </w:r>
      <w:r>
        <w:rPr>
          <w:spacing w:val="-1"/>
        </w:rPr>
        <w:t>、通过同一控制下的企业合并取得的长期股权投资，在合并日按照取得被合并方所有者权益账面价值的份额作为长期</w:t>
      </w:r>
      <w:r>
        <w:rPr/>
        <w:t> </w:t>
      </w:r>
      <w:r>
        <w:rPr>
          <w:spacing w:val="-2"/>
        </w:rPr>
        <w:t>股权投资的初始投资成本。长期股权投资初始投资成本与支付对价的账面价值或发行权益性证券面值总额之间的差额，计入</w:t>
      </w:r>
      <w:r>
        <w:rPr>
          <w:spacing w:val="-64"/>
        </w:rPr>
        <w:t> </w:t>
      </w:r>
      <w:r>
        <w:rPr>
          <w:spacing w:val="-64"/>
        </w:rPr>
      </w:r>
      <w:r>
        <w:rPr/>
        <w:t>资本公积；其借方差额导致资本公积不足冲减的，不足部分计入留存收益；</w:t>
      </w:r>
    </w:p>
    <w:p>
      <w:pPr>
        <w:pStyle w:val="BodyText"/>
        <w:spacing w:line="309" w:lineRule="auto" w:before="65"/>
        <w:ind w:right="192" w:firstLine="346"/>
        <w:jc w:val="both"/>
      </w:pPr>
      <w:r>
        <w:rPr>
          <w:rFonts w:ascii="Times New Roman" w:hAnsi="Times New Roman" w:cs="Times New Roman" w:eastAsia="Times New Roman" w:hint="default"/>
          <w:spacing w:val="-1"/>
        </w:rPr>
        <w:t>B</w:t>
      </w:r>
      <w:r>
        <w:rPr>
          <w:spacing w:val="-1"/>
        </w:rPr>
        <w:t>、通过非同一控制下的企业合并取得的长期股权投资，以在购买日为取得对被购买方的控制权而付出的资产、发生或</w:t>
      </w:r>
      <w:r>
        <w:rPr/>
        <w:t> </w:t>
      </w:r>
      <w:r>
        <w:rPr>
          <w:spacing w:val="-2"/>
        </w:rPr>
        <w:t>承担的负债以及发行的权益性证券的公允价值以及为合并而发生的各项直接相关费用之和作为合并成本。在购买日按照合并</w:t>
      </w:r>
      <w:r>
        <w:rPr>
          <w:spacing w:val="-63"/>
        </w:rPr>
        <w:t> </w:t>
      </w:r>
      <w:r>
        <w:rPr>
          <w:spacing w:val="-63"/>
        </w:rPr>
      </w:r>
      <w:r>
        <w:rPr>
          <w:spacing w:val="-2"/>
        </w:rPr>
        <w:t>成本作为长期股权投资的初始投资成本。合并成本大于享有被购买单位可辨认净资产公允价值份额的差额，在合并财务报表</w:t>
      </w:r>
    </w:p>
    <w:p>
      <w:pPr>
        <w:pStyle w:val="BodyText"/>
        <w:spacing w:line="316" w:lineRule="auto" w:before="24"/>
        <w:ind w:right="0"/>
        <w:jc w:val="left"/>
      </w:pPr>
      <w:r>
        <w:rPr>
          <w:spacing w:val="-2"/>
        </w:rPr>
        <w:t>（控股合并情况下）或个别财务报表（吸收合并情况下）中确认为商誉，合并成本小于享有被购买单位可辨认净资产公允价</w:t>
      </w:r>
      <w:r>
        <w:rPr>
          <w:spacing w:val="-64"/>
        </w:rPr>
        <w:t> </w:t>
      </w:r>
      <w:r>
        <w:rPr>
          <w:spacing w:val="-64"/>
        </w:rPr>
      </w:r>
      <w:r>
        <w:rPr/>
        <w:t>值份额的差额，在合并财务报表（控股合并情况下）或个别财务报表（吸收合并情况下）中确认为当期损益。</w:t>
      </w:r>
    </w:p>
    <w:p>
      <w:pPr>
        <w:pStyle w:val="BodyText"/>
        <w:spacing w:line="240" w:lineRule="auto" w:before="59"/>
        <w:ind w:left="498" w:right="0"/>
        <w:jc w:val="left"/>
      </w:pPr>
      <w:r>
        <w:rPr/>
        <w:t>②本公司对通过企业合并以外其他方式取得的长期股权投资，按照以下方法确定其初始投资成本：</w:t>
      </w:r>
    </w:p>
    <w:p>
      <w:pPr>
        <w:pStyle w:val="BodyText"/>
        <w:spacing w:line="309" w:lineRule="auto" w:before="115"/>
        <w:ind w:right="189" w:firstLine="346"/>
        <w:jc w:val="both"/>
      </w:pPr>
      <w:r>
        <w:rPr>
          <w:rFonts w:ascii="Times New Roman" w:hAnsi="Times New Roman" w:cs="Times New Roman" w:eastAsia="Times New Roman" w:hint="default"/>
          <w:spacing w:val="-1"/>
        </w:rPr>
        <w:t>A</w:t>
      </w:r>
      <w:r>
        <w:rPr>
          <w:spacing w:val="-1"/>
        </w:rPr>
        <w:t>、以现金购入的长期股权投资，按照实际支付的全部价款（包括直接相关的费用、税金及其他必要支出）作为初始投</w:t>
      </w:r>
      <w:r>
        <w:rPr/>
        <w:t> </w:t>
      </w:r>
      <w:r>
        <w:rPr>
          <w:spacing w:val="-2"/>
        </w:rPr>
        <w:t>资成本；实际支付的价款中包含已宣告但尚未领取的现金股利，按实际支付的价款减去已宣告但尚未领取的现金股利后的差</w:t>
      </w:r>
      <w:r>
        <w:rPr>
          <w:spacing w:val="-64"/>
        </w:rPr>
        <w:t> </w:t>
      </w:r>
      <w:r>
        <w:rPr>
          <w:spacing w:val="-64"/>
        </w:rPr>
      </w:r>
      <w:r>
        <w:rPr/>
        <w:t>额，作为初始投资成本；</w:t>
      </w:r>
    </w:p>
    <w:p>
      <w:pPr>
        <w:pStyle w:val="BodyText"/>
        <w:spacing w:line="340" w:lineRule="auto" w:before="65"/>
        <w:ind w:left="498" w:right="94"/>
        <w:jc w:val="left"/>
      </w:pPr>
      <w:r>
        <w:rPr>
          <w:rFonts w:ascii="Times New Roman" w:hAnsi="Times New Roman" w:cs="Times New Roman" w:eastAsia="Times New Roman" w:hint="default"/>
        </w:rPr>
        <w:t>B</w:t>
      </w:r>
      <w:r>
        <w:rPr/>
        <w:t>、以发行权益性证券取得的长期股权投资，按照发行权益性证券的公允价值作为初始投资成本； </w:t>
      </w:r>
      <w:r>
        <w:rPr>
          <w:rFonts w:ascii="Times New Roman" w:hAnsi="Times New Roman" w:cs="Times New Roman" w:eastAsia="Times New Roman" w:hint="default"/>
          <w:spacing w:val="-2"/>
        </w:rPr>
        <w:t>C</w:t>
      </w:r>
      <w:r>
        <w:rPr>
          <w:spacing w:val="-2"/>
        </w:rPr>
        <w:t>、投资者投入的长期股权投资，按照投资合同或协议约定的价值作为初始投资成本，但合同或协议约定价值不公允的，</w:t>
      </w:r>
    </w:p>
    <w:p>
      <w:pPr>
        <w:pStyle w:val="BodyText"/>
        <w:spacing w:line="215" w:lineRule="exact"/>
        <w:ind w:right="0"/>
        <w:jc w:val="left"/>
      </w:pPr>
      <w:r>
        <w:rPr/>
        <w:t>则以投入股权的公允价值作为初始投资成本；</w:t>
      </w:r>
    </w:p>
    <w:p>
      <w:pPr>
        <w:pStyle w:val="BodyText"/>
        <w:spacing w:line="300" w:lineRule="auto" w:before="115"/>
        <w:ind w:right="100" w:firstLine="346"/>
        <w:jc w:val="both"/>
      </w:pPr>
      <w:r>
        <w:rPr>
          <w:rFonts w:ascii="Times New Roman" w:hAnsi="Times New Roman" w:cs="Times New Roman" w:eastAsia="Times New Roman" w:hint="default"/>
          <w:spacing w:val="-3"/>
        </w:rPr>
        <w:t>D</w:t>
      </w:r>
      <w:r>
        <w:rPr>
          <w:spacing w:val="-3"/>
        </w:rPr>
        <w:t>、通过非货币性资产交换取得的长期股权投资，其初始投资成本应当按照《企业会计准则第 </w:t>
      </w:r>
      <w:r>
        <w:rPr>
          <w:rFonts w:ascii="Times New Roman" w:hAnsi="Times New Roman" w:cs="Times New Roman" w:eastAsia="Times New Roman" w:hint="default"/>
        </w:rPr>
        <w:t>7</w:t>
      </w:r>
      <w:r>
        <w:rPr>
          <w:rFonts w:ascii="Times New Roman" w:hAnsi="Times New Roman" w:cs="Times New Roman" w:eastAsia="Times New Roman" w:hint="default"/>
          <w:spacing w:val="-27"/>
        </w:rPr>
        <w:t> </w:t>
      </w:r>
      <w:r>
        <w:rPr/>
        <w:t>号</w:t>
      </w:r>
      <w:r>
        <w:rPr>
          <w:rFonts w:ascii="Times New Roman" w:hAnsi="Times New Roman" w:cs="Times New Roman" w:eastAsia="Times New Roman" w:hint="default"/>
        </w:rPr>
        <w:t>—</w:t>
      </w:r>
      <w:r>
        <w:rPr/>
        <w:t>非货币性资产交换》 确定；</w:t>
      </w:r>
    </w:p>
    <w:p>
      <w:pPr>
        <w:pStyle w:val="BodyText"/>
        <w:spacing w:line="312" w:lineRule="auto" w:before="72"/>
        <w:ind w:right="172" w:firstLine="346"/>
        <w:jc w:val="left"/>
      </w:pPr>
      <w:r>
        <w:rPr>
          <w:rFonts w:ascii="Times New Roman" w:hAnsi="Times New Roman" w:cs="Times New Roman" w:eastAsia="Times New Roman" w:hint="default"/>
        </w:rPr>
        <w:t>E</w:t>
      </w:r>
      <w:r>
        <w:rPr/>
        <w:t>、通过债务重组取得的长期股权投资，其初始投资成本应当按照《企业会计准则第</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21"/>
        </w:rPr>
        <w:t> </w:t>
      </w:r>
      <w:r>
        <w:rPr>
          <w:spacing w:val="-3"/>
        </w:rPr>
        <w:t>号</w:t>
      </w:r>
      <w:r>
        <w:rPr>
          <w:rFonts w:ascii="Times New Roman" w:hAnsi="Times New Roman" w:cs="Times New Roman" w:eastAsia="Times New Roman" w:hint="default"/>
          <w:spacing w:val="-3"/>
        </w:rPr>
        <w:t>—</w:t>
      </w:r>
      <w:r>
        <w:rPr>
          <w:spacing w:val="-3"/>
        </w:rPr>
        <w:t>债务重组》确定。本公司对</w:t>
      </w:r>
      <w:r>
        <w:rPr/>
        <w:t> 通过企业合并以外其他方式取得的长期股权投资的初始投资成本大于投资时应享有被投资单位可辨认净资产公允价值份额 </w:t>
      </w:r>
      <w:r>
        <w:rPr>
          <w:spacing w:val="-2"/>
        </w:rPr>
        <w:t>的，不调整长期股权投资的初始投资成本；长期股权投资的初始投资成本小于投资时应享有被投资单位可辨认净资产公允价</w:t>
      </w:r>
      <w:r>
        <w:rPr>
          <w:spacing w:val="-64"/>
        </w:rPr>
        <w:t> </w:t>
      </w:r>
      <w:r>
        <w:rPr>
          <w:spacing w:val="-64"/>
        </w:rPr>
      </w:r>
      <w:r>
        <w:rPr/>
        <w:t>值份额的差额，计入当期损益，同时调整长期股权投资的成本。</w:t>
      </w:r>
    </w:p>
    <w:p>
      <w:pPr>
        <w:spacing w:line="240" w:lineRule="auto" w:before="1"/>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2" w:firstLine="360"/>
        <w:jc w:val="both"/>
      </w:pPr>
      <w:r>
        <w:rPr>
          <w:spacing w:val="-2"/>
        </w:rPr>
        <w:t>①本公司对子公司的投资，是指本公司对其拥有实际控制权的股权投资。对子公司投资母公司个别财务报表采用成本法</w:t>
      </w:r>
      <w:r>
        <w:rPr/>
        <w:t> 核算，并按权益法纳入合并财务报表范围；</w:t>
      </w:r>
    </w:p>
    <w:p>
      <w:pPr>
        <w:pStyle w:val="BodyText"/>
        <w:spacing w:line="316" w:lineRule="auto" w:before="59"/>
        <w:ind w:right="192" w:firstLine="360"/>
        <w:jc w:val="both"/>
      </w:pPr>
      <w:r>
        <w:rPr>
          <w:spacing w:val="-2"/>
        </w:rPr>
        <w:t>②本公司对合营公司的投资，是指按照合同约定对某项经济活动所共有的控制，仅在与该项经济活动相关的重要财务和</w:t>
      </w:r>
      <w:r>
        <w:rPr/>
        <w:t> 生产经营决策需要分享控制权的投资方一致同意时存在的股权投资。对合营投资本公司采用权益法核算；</w:t>
      </w:r>
    </w:p>
    <w:p>
      <w:pPr>
        <w:pStyle w:val="BodyText"/>
        <w:spacing w:line="240" w:lineRule="auto" w:before="59"/>
        <w:ind w:left="513" w:right="0"/>
        <w:jc w:val="left"/>
      </w:pPr>
      <w:r>
        <w:rPr/>
        <w:t>③本公司对联营公司的投资，是指本公司对其具有重大影响的股权投资。对联营投资本公司采用权益法核算；</w:t>
      </w:r>
    </w:p>
    <w:p>
      <w:pPr>
        <w:pStyle w:val="BodyText"/>
        <w:spacing w:line="360" w:lineRule="auto" w:before="114"/>
        <w:ind w:left="513" w:right="93"/>
        <w:jc w:val="left"/>
      </w:pPr>
      <w:r>
        <w:rPr/>
        <w:t>④本公司对不具有重大影响，并且在活跃市场中没有报价、公允价值不能可靠计量的长期股权投资，采用成本法核算。 </w:t>
      </w:r>
      <w:r>
        <w:rPr>
          <w:spacing w:val="-2"/>
        </w:rPr>
        <w:t>成本法下公司确认投资收益，除取得投资时实际支付的价款或对价中包含的已宣告但尚未发放的现金股利或利润外，按</w:t>
      </w:r>
    </w:p>
    <w:p>
      <w:pPr>
        <w:spacing w:after="0" w:line="360" w:lineRule="auto"/>
        <w:jc w:val="left"/>
        <w:sectPr>
          <w:pgSz w:w="11910" w:h="16840"/>
          <w:pgMar w:header="877" w:footer="980" w:top="1060" w:bottom="1160" w:left="980" w:right="940"/>
        </w:sectPr>
      </w:pPr>
    </w:p>
    <w:p>
      <w:pPr>
        <w:spacing w:line="240" w:lineRule="auto" w:before="9"/>
        <w:rPr>
          <w:rFonts w:ascii="宋体" w:hAnsi="宋体" w:cs="宋体" w:eastAsia="宋体" w:hint="default"/>
          <w:sz w:val="25"/>
          <w:szCs w:val="25"/>
        </w:rPr>
      </w:pPr>
    </w:p>
    <w:p>
      <w:pPr>
        <w:pStyle w:val="BodyText"/>
        <w:tabs>
          <w:tab w:pos="8897" w:val="left" w:leader="none"/>
        </w:tabs>
        <w:spacing w:line="314" w:lineRule="auto" w:before="44"/>
        <w:ind w:right="110"/>
        <w:jc w:val="left"/>
      </w:pPr>
      <w:r>
        <w:rPr/>
        <w:t>照享有被投资单位宣告发放的现金股利或利润确认投资收益。按照上述规定确认自被投资单位应分得的现金股利或利润后， </w:t>
      </w:r>
      <w:r>
        <w:rPr>
          <w:spacing w:val="-2"/>
        </w:rPr>
        <w:t>考虑长期股权投资是否发生减值。如出现长期股权投资的账面价值大于享有被投资单位净资产（包括相关商誉）账面价值的</w:t>
      </w:r>
      <w:r>
        <w:rPr>
          <w:spacing w:val="-66"/>
        </w:rPr>
        <w:t> </w:t>
      </w:r>
      <w:r>
        <w:rPr>
          <w:spacing w:val="-66"/>
        </w:rPr>
      </w:r>
      <w:r>
        <w:rPr>
          <w:spacing w:val="-2"/>
        </w:rPr>
        <w:t>份额等情况时，对长期股权投资进行减值测试，可收回金额低于长期股权投资账面价值的，计提减值准备。</w:t>
        <w:tab/>
      </w:r>
      <w:r>
        <w:rPr>
          <w:spacing w:val="-1"/>
        </w:rPr>
        <w:t>公司与联营</w:t>
      </w:r>
      <w:r>
        <w:rPr>
          <w:spacing w:val="-88"/>
        </w:rPr>
        <w:t> </w:t>
      </w:r>
      <w:r>
        <w:rPr>
          <w:spacing w:val="-88"/>
        </w:rPr>
      </w:r>
      <w:r>
        <w:rPr/>
        <w:t>企业及合营企业之间发生的内部交易损益按照持股比例计算归属于公司的部分，应当予以抵销，在此基础上确认投资损益。</w:t>
      </w:r>
      <w:r>
        <w:rPr/>
        <w:t> 公司与被投资单位发生的内部交易损失，按照《企业会计准则第</w:t>
      </w:r>
      <w:r>
        <w:rPr>
          <w:spacing w:val="-66"/>
        </w:rPr>
        <w:t> </w:t>
      </w:r>
      <w:r>
        <w:rPr>
          <w:rFonts w:ascii="Times New Roman" w:hAnsi="Times New Roman" w:cs="Times New Roman" w:eastAsia="Times New Roman" w:hint="default"/>
        </w:rPr>
        <w:t>8</w:t>
      </w:r>
      <w:r>
        <w:rPr>
          <w:rFonts w:ascii="Times New Roman" w:hAnsi="Times New Roman" w:cs="Times New Roman" w:eastAsia="Times New Roman" w:hint="default"/>
          <w:spacing w:val="-20"/>
        </w:rPr>
        <w:t> </w:t>
      </w:r>
      <w:r>
        <w:rPr/>
        <w:t>号</w:t>
      </w:r>
      <w:r>
        <w:rPr>
          <w:rFonts w:ascii="Times New Roman" w:hAnsi="Times New Roman" w:cs="Times New Roman" w:eastAsia="Times New Roman" w:hint="default"/>
        </w:rPr>
        <w:t>—</w:t>
      </w:r>
      <w:r>
        <w:rPr/>
        <w:t>资产减值》等规定属于资产减值损失的，应当全额确 认。</w:t>
      </w:r>
    </w:p>
    <w:p>
      <w:pPr>
        <w:pStyle w:val="BodyText"/>
        <w:spacing w:line="316" w:lineRule="auto" w:before="61"/>
        <w:ind w:right="94" w:firstLine="360"/>
        <w:jc w:val="left"/>
      </w:pPr>
      <w:r>
        <w:rPr/>
        <w:t>权益法下在公司确认应分担被投资单位发生的亏损时，按照以下顺序进行处理：首先，冲减长期股权投资的账面价值。 </w:t>
      </w:r>
      <w:r>
        <w:rPr>
          <w:spacing w:val="-2"/>
        </w:rPr>
        <w:t>其次，长期股权投资的账面价值不足以冲减的，以其他实质上构成对被投资单位净投资的长期权益账面价值为限继续确认投</w:t>
      </w:r>
      <w:r>
        <w:rPr>
          <w:spacing w:val="-64"/>
        </w:rPr>
        <w:t> </w:t>
      </w:r>
      <w:r>
        <w:rPr>
          <w:spacing w:val="-64"/>
        </w:rPr>
      </w:r>
      <w:r>
        <w:rPr>
          <w:spacing w:val="-2"/>
        </w:rPr>
        <w:t>资损失，冲减长期应收项目等的账面价值。最后，经过上述处理，按照投资合同或协议约定企业仍承担额外义务的，按预计</w:t>
      </w:r>
      <w:r>
        <w:rPr>
          <w:spacing w:val="-67"/>
        </w:rPr>
        <w:t> </w:t>
      </w:r>
      <w:r>
        <w:rPr>
          <w:spacing w:val="-67"/>
        </w:rPr>
      </w:r>
      <w:r>
        <w:rPr/>
        <w:t>承担的义务确认预计负债，计入当期投资损失。</w:t>
      </w:r>
    </w:p>
    <w:p>
      <w:pPr>
        <w:pStyle w:val="BodyText"/>
        <w:spacing w:line="316" w:lineRule="auto" w:before="57"/>
        <w:ind w:right="190" w:firstLine="360"/>
        <w:jc w:val="both"/>
      </w:pPr>
      <w:r>
        <w:rPr>
          <w:spacing w:val="-2"/>
        </w:rPr>
        <w:t>被投资单位以后期间实现盈利的，公司在扣除未确认的亏损分担额后，按与上述相反的顺序处理，减记已确认预计负债</w:t>
      </w:r>
      <w:r>
        <w:rPr/>
        <w:t> 的账面余额、恢复其他实质上构成对被投资单位净投资的长期权益及长期股权投资的账面价值，同时确认投资收益。</w:t>
      </w:r>
    </w:p>
    <w:p>
      <w:pPr>
        <w:pStyle w:val="BodyText"/>
        <w:spacing w:line="316" w:lineRule="auto" w:before="60"/>
        <w:ind w:right="190" w:firstLine="360"/>
        <w:jc w:val="both"/>
      </w:pPr>
      <w:r>
        <w:rPr>
          <w:spacing w:val="-2"/>
        </w:rPr>
        <w:t>被投资单位除净损益以外所有者权益其他变动的处理：对于被投资单位除净损益以外所有者权益的其他变动，在持股比</w:t>
      </w:r>
      <w:r>
        <w:rPr/>
        <w:t> </w:t>
      </w:r>
      <w:r>
        <w:rPr>
          <w:spacing w:val="-5"/>
        </w:rPr>
        <w:t>例不变的情况下，公司按照持股比例计算应享有或承担的部分，调整长期股权投资的账面价值，同时增加或减少资本公积（其</w:t>
      </w:r>
      <w:r>
        <w:rPr>
          <w:spacing w:val="-75"/>
        </w:rPr>
        <w:t> </w:t>
      </w:r>
      <w:r>
        <w:rPr>
          <w:spacing w:val="-75"/>
        </w:rPr>
      </w:r>
      <w:r>
        <w:rPr>
          <w:spacing w:val="-14"/>
        </w:rPr>
        <w:t>他资本公积）。</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362"/>
        <w:jc w:val="both"/>
      </w:pPr>
      <w:r>
        <w:rPr>
          <w:spacing w:val="-2"/>
        </w:rPr>
        <w:t>按照合同约定对某项经济活动所共有的控制，仅在与该项经济活动相关的重要财务和经营决策需要分享控制权的投资方</w:t>
      </w:r>
      <w:r>
        <w:rPr/>
        <w:t> </w:t>
      </w:r>
      <w:r>
        <w:rPr>
          <w:spacing w:val="-2"/>
        </w:rPr>
        <w:t>一致同意时存在，则视为与其他方对被投资单位实施共同控制；对一个企业的财务和经营决策有参与决策的权力，但并不能</w:t>
      </w:r>
      <w:r>
        <w:rPr>
          <w:spacing w:val="-63"/>
        </w:rPr>
        <w:t> </w:t>
      </w:r>
      <w:r>
        <w:rPr>
          <w:spacing w:val="-63"/>
        </w:rPr>
      </w:r>
      <w:r>
        <w:rPr/>
        <w:t>够控制或者与其他方一起共同控制这些政策的制定，则视为投资企业能够对被投资单位施加重大影响。</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92" w:firstLine="360"/>
        <w:jc w:val="both"/>
      </w:pPr>
      <w:r>
        <w:rPr>
          <w:spacing w:val="-2"/>
        </w:rPr>
        <w:t>本公司于期末对长期股权投资的账面价值逐项进行检查，如果由于市价持续下跌或被投资单位经营状况发生变化等原因</w:t>
      </w:r>
      <w:r>
        <w:rPr/>
        <w:t> </w:t>
      </w:r>
      <w:r>
        <w:rPr>
          <w:spacing w:val="-2"/>
        </w:rPr>
        <w:t>导致长期股权投资的可收回金额低于其账面价值，并且这种降低的价值在可预计的未来期间内不可能恢复时，按单项长期股</w:t>
      </w:r>
      <w:r>
        <w:rPr>
          <w:spacing w:val="-63"/>
        </w:rPr>
        <w:t> </w:t>
      </w:r>
      <w:r>
        <w:rPr>
          <w:spacing w:val="-63"/>
        </w:rPr>
      </w:r>
      <w:r>
        <w:rPr>
          <w:spacing w:val="-2"/>
        </w:rPr>
        <w:t>权投资账面价值高于可收回金额的差额计提长期股权投资减值准备，确认资产减值损失。除对资产进行处置、出售、对外投</w:t>
      </w:r>
      <w:r>
        <w:rPr>
          <w:spacing w:val="-66"/>
        </w:rPr>
        <w:t> </w:t>
      </w:r>
      <w:r>
        <w:rPr>
          <w:spacing w:val="-66"/>
        </w:rPr>
      </w:r>
      <w:r>
        <w:rPr/>
        <w:t>资等情况外，长期股权投资减值损失一经确认，在以后的会计期间不予转回。</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①投资性房地产的种类：投资性房地产包括已出租的建筑物和土地使用权，以及持有并准备增值后转让的土地使用权。</w:t>
      </w:r>
    </w:p>
    <w:p>
      <w:pPr>
        <w:pStyle w:val="BodyText"/>
        <w:spacing w:line="309" w:lineRule="auto" w:before="76"/>
        <w:ind w:left="513" w:right="683"/>
        <w:jc w:val="left"/>
      </w:pPr>
      <w:r>
        <w:rPr/>
        <w:t>②投资性房地产的计量模式：本公司对投资性房地产采用成本模式计量。 </w:t>
      </w:r>
      <w:r>
        <w:rPr>
          <w:rFonts w:ascii="Times New Roman" w:hAnsi="Times New Roman" w:cs="Times New Roman" w:eastAsia="Times New Roman" w:hint="default"/>
        </w:rPr>
        <w:t>A</w:t>
      </w:r>
      <w:r>
        <w:rPr/>
        <w:t>、对已出租的建筑物，按其账面价值及房屋建筑物的估计使用年限，扣除残值后，采用直线法按月计提折旧。 </w:t>
      </w:r>
      <w:r>
        <w:rPr>
          <w:rFonts w:ascii="Times New Roman" w:hAnsi="Times New Roman" w:cs="Times New Roman" w:eastAsia="Times New Roman" w:hint="default"/>
        </w:rPr>
        <w:t>B</w:t>
      </w:r>
      <w:r>
        <w:rPr/>
        <w:t>、对已出租的土地使用权，按其账面价值及土地使用权的尚可使用年限，采用直线法按月进行摊销。</w:t>
      </w:r>
    </w:p>
    <w:p>
      <w:pPr>
        <w:pStyle w:val="BodyText"/>
        <w:spacing w:line="316" w:lineRule="auto" w:before="5"/>
        <w:ind w:right="192" w:firstLine="360"/>
        <w:jc w:val="both"/>
      </w:pPr>
      <w:r>
        <w:rPr>
          <w:spacing w:val="-2"/>
        </w:rPr>
        <w:t>③投资性房地产减值准备的计提依据：期末按单项资产账面价值大于可收回金额的差额计提投资性房地产减值准备；投</w:t>
      </w:r>
      <w:r>
        <w:rPr/>
        <w:t> 资性房地产减值准备一经确认，在以后的会计期间不得转回。</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3" w:firstLine="360"/>
        <w:jc w:val="both"/>
      </w:pPr>
      <w:r>
        <w:rPr>
          <w:spacing w:val="-2"/>
        </w:rPr>
        <w:t>固定资产是指为生产商品、提供劳务、出租或经营管理而持有的，使用寿命超过一个会计年度的有形资产。固定资产同</w:t>
      </w:r>
      <w:r>
        <w:rPr/>
        <w:t> 时满足下列条件的，本公司予以确认：</w:t>
      </w:r>
    </w:p>
    <w:p>
      <w:pPr>
        <w:spacing w:after="0" w:line="316" w:lineRule="auto"/>
        <w:jc w:val="both"/>
        <w:sectPr>
          <w:pgSz w:w="11910" w:h="16840"/>
          <w:pgMar w:header="877"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513" w:right="0"/>
        <w:jc w:val="left"/>
      </w:pPr>
      <w:r>
        <w:rPr/>
        <w:t>①与该固定资产有关的经济利益很可能流入企业；</w:t>
      </w:r>
    </w:p>
    <w:p>
      <w:pPr>
        <w:pStyle w:val="BodyText"/>
        <w:spacing w:line="240" w:lineRule="auto" w:before="117"/>
        <w:ind w:left="513" w:right="0"/>
        <w:jc w:val="left"/>
      </w:pPr>
      <w:r>
        <w:rPr/>
        <w:t>②该固定资产的成本能够可靠地计量。</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98" w:right="0"/>
        <w:jc w:val="left"/>
      </w:pPr>
      <w:r>
        <w:rPr/>
        <w:t>公司与租赁方所签订的租赁协议条款中规定了下列条件之一的，确认为融资租入资产：</w:t>
      </w:r>
    </w:p>
    <w:p>
      <w:pPr>
        <w:pStyle w:val="BodyText"/>
        <w:spacing w:line="240" w:lineRule="auto" w:before="117"/>
        <w:ind w:left="513" w:right="0"/>
        <w:jc w:val="left"/>
      </w:pPr>
      <w:r>
        <w:rPr/>
        <w:t>①租赁期满后租赁资产的所有权归属于本公司；</w:t>
      </w:r>
    </w:p>
    <w:p>
      <w:pPr>
        <w:pStyle w:val="BodyText"/>
        <w:spacing w:line="240" w:lineRule="auto" w:before="117"/>
        <w:ind w:left="498" w:right="0"/>
        <w:jc w:val="left"/>
      </w:pPr>
      <w:r>
        <w:rPr/>
        <w:t>②公司具有购买资产的选择权，购买价款远低于行使选择权时该资产的公允价值；</w:t>
      </w:r>
    </w:p>
    <w:p>
      <w:pPr>
        <w:pStyle w:val="BodyText"/>
        <w:spacing w:line="240" w:lineRule="auto" w:before="115"/>
        <w:ind w:left="498" w:right="0"/>
        <w:jc w:val="left"/>
      </w:pPr>
      <w:r>
        <w:rPr/>
        <w:t>③租赁期占所租赁资产使用寿命的大部分；</w:t>
      </w:r>
    </w:p>
    <w:p>
      <w:pPr>
        <w:pStyle w:val="BodyText"/>
        <w:spacing w:line="316" w:lineRule="auto" w:before="117"/>
        <w:ind w:right="94" w:firstLine="346"/>
        <w:jc w:val="left"/>
      </w:pPr>
      <w:r>
        <w:rPr>
          <w:spacing w:val="-2"/>
        </w:rPr>
        <w:t>④租赁开始日的最低租赁付款额现值，与该资产的公允价值不存在较大的差异。公司在租赁开始日，将租赁资产公允价</w:t>
      </w:r>
      <w:r>
        <w:rPr/>
        <w:t> 值与最低租赁付款额现值两者中较低者作为融资租入固定资产的入账价值，将最低租赁付款额作为长期应付款的入账价值， 其差额作为未确认的融资费用。</w:t>
      </w:r>
    </w:p>
    <w:p>
      <w:pPr>
        <w:pStyle w:val="BodyText"/>
        <w:spacing w:line="240" w:lineRule="auto" w:before="60"/>
        <w:ind w:left="498" w:right="0"/>
        <w:jc w:val="left"/>
      </w:pPr>
      <w:r>
        <w:rPr/>
        <w:t>本公司采用与自有固定资产相一致的折旧政策计提融资租赁资产折旧。</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41" w:right="0"/>
        <w:jc w:val="left"/>
      </w:pPr>
      <w:r>
        <w:rPr/>
        <w:t>本公司采用年限平均法计提折旧。</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495"/>
        <w:gridCol w:w="2116"/>
        <w:gridCol w:w="2220"/>
        <w:gridCol w:w="2727"/>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25-45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2.11%-3.80%</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w:t>
            </w:r>
            <w:r>
              <w:rPr>
                <w:rFonts w:ascii="Times New Roman"/>
                <w:sz w:val="18"/>
              </w:rPr>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7.92%-11.88%</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w:t>
            </w:r>
          </w:p>
        </w:tc>
      </w:tr>
      <w:tr>
        <w:trPr>
          <w:trHeight w:val="40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w:t>
            </w:r>
            <w:r>
              <w:rPr>
                <w:rFonts w:ascii="Times New Roman"/>
                <w:sz w:val="18"/>
              </w:rPr>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9.5%-19%</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300"/>
        <w:jc w:val="both"/>
      </w:pPr>
      <w:r>
        <w:rPr>
          <w:spacing w:val="-1"/>
        </w:rPr>
        <w:t>本公司于期末对固定资产进行检查，如发现存在下列情况，则计算固定资产的可收回金额，以确定资产是否已经发生减</w:t>
      </w:r>
      <w:r>
        <w:rPr/>
        <w:t> </w:t>
      </w:r>
      <w:r>
        <w:rPr>
          <w:spacing w:val="-2"/>
        </w:rPr>
        <w:t>值。对于可收回金额低于其账面价值的固定资产，按该资产可收回金额低于其账面价值的差额计提减值准备，确认资产减值</w:t>
      </w:r>
      <w:r>
        <w:rPr>
          <w:spacing w:val="-63"/>
        </w:rPr>
        <w:t> </w:t>
      </w:r>
      <w:r>
        <w:rPr>
          <w:spacing w:val="-63"/>
        </w:rPr>
      </w:r>
      <w:r>
        <w:rPr>
          <w:spacing w:val="-2"/>
        </w:rPr>
        <w:t>损失，将固定资产的账面价值减记至可收回金额。对计提了减值准备的固定资产，则在未来期间按扣除减值准备后的账面价</w:t>
      </w:r>
      <w:r>
        <w:rPr>
          <w:spacing w:val="-63"/>
        </w:rPr>
        <w:t> </w:t>
      </w:r>
      <w:r>
        <w:rPr>
          <w:spacing w:val="-63"/>
        </w:rPr>
      </w:r>
      <w:r>
        <w:rPr/>
        <w:t>值及依据尚可使用年限确定折旧额。</w:t>
      </w:r>
    </w:p>
    <w:p>
      <w:pPr>
        <w:pStyle w:val="BodyText"/>
        <w:spacing w:line="240" w:lineRule="auto" w:before="19"/>
        <w:ind w:left="513" w:right="0"/>
        <w:jc w:val="left"/>
      </w:pPr>
      <w:r>
        <w:rPr/>
        <w:t>①固定资产市价大幅度下跌，其跌幅明显高于因时间的推移或者正常使用而预计的下跌；</w:t>
      </w:r>
    </w:p>
    <w:p>
      <w:pPr>
        <w:pStyle w:val="BodyText"/>
        <w:spacing w:line="240" w:lineRule="auto" w:before="76"/>
        <w:ind w:left="513" w:right="0"/>
        <w:jc w:val="left"/>
      </w:pPr>
      <w:r>
        <w:rPr/>
        <w:t>②固定资产已经陈旧过时或者其实体已经损坏；</w:t>
      </w:r>
    </w:p>
    <w:p>
      <w:pPr>
        <w:pStyle w:val="BodyText"/>
        <w:spacing w:line="319" w:lineRule="auto" w:before="76"/>
        <w:ind w:right="192" w:firstLine="360"/>
        <w:jc w:val="both"/>
      </w:pPr>
      <w:r>
        <w:rPr>
          <w:spacing w:val="-2"/>
        </w:rPr>
        <w:t>③固定资产预计使用方式发生重大不利变化，如固定资产已经或者将被闲置、企业计划终止或重组该资产所属的经营业</w:t>
      </w:r>
      <w:r>
        <w:rPr/>
        <w:t> 务、提前处置资产等情形，从而对企业产生负面影响；</w:t>
      </w:r>
    </w:p>
    <w:p>
      <w:pPr>
        <w:pStyle w:val="BodyText"/>
        <w:spacing w:line="316" w:lineRule="auto" w:before="17"/>
        <w:ind w:right="192" w:firstLine="360"/>
        <w:jc w:val="both"/>
      </w:pPr>
      <w:r>
        <w:rPr>
          <w:spacing w:val="-2"/>
        </w:rPr>
        <w:t>④企业经营所处的经济、技术或者法律等环境以及固定资产所处的市场在当期或者将在近期发生重大变化，从而对企业</w:t>
      </w:r>
      <w:r>
        <w:rPr/>
        <w:t> 产生不利影响；</w:t>
      </w:r>
    </w:p>
    <w:p>
      <w:pPr>
        <w:pStyle w:val="BodyText"/>
        <w:spacing w:line="316" w:lineRule="auto" w:before="19"/>
        <w:ind w:right="192" w:firstLine="360"/>
        <w:jc w:val="both"/>
      </w:pPr>
      <w:r>
        <w:rPr>
          <w:spacing w:val="-2"/>
        </w:rPr>
        <w:t>⑤同期市场利率或者其他市场投资报酬率在当期已经提高，从而影响企业计算资产预计未来现金流量现值的折现率，导</w:t>
      </w:r>
      <w:r>
        <w:rPr/>
        <w:t> 致固定资产可收回金额大幅度降低；</w:t>
      </w:r>
    </w:p>
    <w:p>
      <w:pPr>
        <w:pStyle w:val="BodyText"/>
        <w:spacing w:line="316" w:lineRule="auto" w:before="19"/>
        <w:ind w:right="192" w:firstLine="360"/>
        <w:jc w:val="both"/>
      </w:pPr>
      <w:r>
        <w:rPr>
          <w:spacing w:val="-2"/>
        </w:rPr>
        <w:t>⑥企业内部报告的证据表明固定资产的经济绩效已经低于或者将低于预期，如固定资产所创造的净现金流量或者实现的</w:t>
      </w:r>
      <w:r>
        <w:rPr/>
        <w:t> 营业利润（或者亏损）远远低于（或者高于）预计金额；</w:t>
      </w:r>
    </w:p>
    <w:p>
      <w:pPr>
        <w:pStyle w:val="BodyText"/>
        <w:spacing w:line="316" w:lineRule="auto" w:before="18"/>
        <w:ind w:left="513" w:right="0"/>
        <w:jc w:val="left"/>
      </w:pPr>
      <w:r>
        <w:rPr/>
        <w:t>⑦其他表明固定资产可能已经发生减值的迹象。 </w:t>
      </w:r>
      <w:r>
        <w:rPr>
          <w:spacing w:val="-2"/>
        </w:rPr>
        <w:t>符合持有待售条件的固定资产，以账面价值与公允价值减去处置费用孰低的金额列示。公允价值减去处置费用低于原账</w:t>
      </w:r>
    </w:p>
    <w:p>
      <w:pPr>
        <w:spacing w:after="0" w:line="316" w:lineRule="auto"/>
        <w:jc w:val="left"/>
        <w:sectPr>
          <w:pgSz w:w="11910" w:h="16840"/>
          <w:pgMar w:header="877"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left="513" w:right="993" w:hanging="361"/>
        <w:jc w:val="left"/>
      </w:pPr>
      <w:r>
        <w:rPr/>
        <w:t>面价值的金额，确认为资产减值损失。 除对资产进行处置、出售、对外投资等情况外，固定资产减值损失一经确认，在以后的会计期间不予转回。</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41"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5" w:right="0"/>
        <w:jc w:val="left"/>
      </w:pPr>
      <w:r>
        <w:rPr/>
        <w:t>本公司在建工程指为建造或更新改造固定资产而进行的各项建筑和安装工程，包括自营的在建工程和发包的在建工程。</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2"/>
        <w:jc w:val="left"/>
      </w:pPr>
      <w:r>
        <w:rPr>
          <w:spacing w:val="-4"/>
        </w:rPr>
        <w:t>本公司在工程完工、验收合格交付使用的当月结转固定资产。对已达到预定可使用状态但尚未办理竣工决算的固定资产，</w:t>
      </w:r>
      <w:r>
        <w:rPr/>
        <w:t> </w:t>
      </w:r>
      <w:r>
        <w:rPr>
          <w:spacing w:val="-4"/>
        </w:rPr>
        <w:t>按照估计价值确定其成本，并计提折旧；待办理竣工结算后，按实际成本调整原来的暂估价值，但不调整原已计提的折旧额。</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288"/>
        <w:jc w:val="both"/>
      </w:pPr>
      <w:r>
        <w:rPr>
          <w:spacing w:val="-1"/>
        </w:rPr>
        <w:t>本公司于期末对在建工程进行检查，如发现存在下列情况，则计算在建工程的可收回金额，以确定资产是否已经发生减</w:t>
      </w:r>
      <w:r>
        <w:rPr/>
        <w:t> </w:t>
      </w:r>
      <w:r>
        <w:rPr>
          <w:spacing w:val="-2"/>
        </w:rPr>
        <w:t>值。对于可收回金额低于其账面价值的在建工程，按该资产可收回金额低于其账面价值的差额计提减值准备，确认资产减值</w:t>
      </w:r>
      <w:r>
        <w:rPr>
          <w:spacing w:val="-63"/>
        </w:rPr>
        <w:t> </w:t>
      </w:r>
      <w:r>
        <w:rPr>
          <w:spacing w:val="-63"/>
        </w:rPr>
      </w:r>
      <w:r>
        <w:rPr/>
        <w:t>损失。</w:t>
      </w:r>
    </w:p>
    <w:p>
      <w:pPr>
        <w:pStyle w:val="BodyText"/>
        <w:spacing w:line="240" w:lineRule="auto" w:before="19"/>
        <w:ind w:left="501" w:right="0"/>
        <w:jc w:val="left"/>
      </w:pPr>
      <w:r>
        <w:rPr/>
        <w:t>①长期停建并且预计未来三年内不会重新开工的在建工程；</w:t>
      </w:r>
    </w:p>
    <w:p>
      <w:pPr>
        <w:pStyle w:val="BodyText"/>
        <w:spacing w:line="240" w:lineRule="auto" w:before="77"/>
        <w:ind w:left="501" w:right="0"/>
        <w:jc w:val="left"/>
      </w:pPr>
      <w:r>
        <w:rPr/>
        <w:t>②项目无论在性能上，还是在技术上已经落后，并且给企业带来的经济利益具有很大的不确定性；</w:t>
      </w:r>
    </w:p>
    <w:p>
      <w:pPr>
        <w:pStyle w:val="BodyText"/>
        <w:spacing w:line="316" w:lineRule="auto" w:before="76"/>
        <w:ind w:left="513" w:right="993" w:hanging="12"/>
        <w:jc w:val="left"/>
      </w:pPr>
      <w:r>
        <w:rPr/>
        <w:t>③其他足以证明在建工程已经发生减值的情形。 除对资产进行处置、出售、对外投资等情况外，在建工程减值损失一经确认，在以后的会计期间不予转回。</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spacing w:val="-2"/>
        </w:rPr>
        <w:t>借款费用包括因借款而发生的利息、折价或溢价的摊销和辅助费用，以及因外币借款而发生的汇兑差额等。本公司发生</w:t>
      </w:r>
      <w:r>
        <w:rPr/>
        <w:t> 的借款费用，可直接归属于符合资本化条件的资产的购建或者生产的，予以资本化，计入相关资产的成本。其他借款费用， 在发生时根据其发生额确认为费用，计入当期损益。</w:t>
      </w:r>
    </w:p>
    <w:p>
      <w:pPr>
        <w:spacing w:line="240" w:lineRule="auto" w:before="11"/>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1533"/>
        <w:jc w:val="left"/>
      </w:pPr>
      <w:r>
        <w:rPr/>
        <w:t>是指从借款费用开始资本化时点到停止资本化时点的期间，借款费用暂停资本化的期间不包括在内。 本公司对同时满足以下三个条件的借款费用，开始资本化：</w:t>
      </w:r>
    </w:p>
    <w:p>
      <w:pPr>
        <w:pStyle w:val="BodyText"/>
        <w:spacing w:line="316" w:lineRule="auto" w:before="19"/>
        <w:ind w:right="0" w:firstLine="360"/>
        <w:jc w:val="left"/>
      </w:pPr>
      <w:r>
        <w:rPr>
          <w:spacing w:val="-2"/>
        </w:rPr>
        <w:t>①资产支出（资产支出包括为购建固定资产或者生产符合资本化条件的资产而以支付现金、转移非现金资产或者承担带</w:t>
      </w:r>
      <w:r>
        <w:rPr/>
        <w:t> 息债务形式发生的支出）已经发生；</w:t>
      </w:r>
    </w:p>
    <w:p>
      <w:pPr>
        <w:pStyle w:val="BodyText"/>
        <w:spacing w:line="240" w:lineRule="auto" w:before="19"/>
        <w:ind w:left="513" w:right="0"/>
        <w:jc w:val="left"/>
      </w:pPr>
      <w:r>
        <w:rPr/>
        <w:t>②借款费用已经发生；</w:t>
      </w:r>
    </w:p>
    <w:p>
      <w:pPr>
        <w:pStyle w:val="BodyText"/>
        <w:spacing w:line="316" w:lineRule="auto" w:before="76"/>
        <w:ind w:left="513" w:right="0"/>
        <w:jc w:val="left"/>
      </w:pPr>
      <w:r>
        <w:rPr/>
        <w:t>③为使资产达到预定可使用状态或者可销售状态所必要的购建活动或者生产活动已经开始。 </w:t>
      </w:r>
      <w:r>
        <w:rPr>
          <w:spacing w:val="-2"/>
        </w:rPr>
        <w:t>当购建或者生产符合资本化条件的资产达到预定可使用或者可销售状态时，停止借款费用的资本化，以后发生的费用于</w:t>
      </w:r>
    </w:p>
    <w:p>
      <w:pPr>
        <w:spacing w:after="0" w:line="316" w:lineRule="auto"/>
        <w:jc w:val="left"/>
        <w:sectPr>
          <w:pgSz w:w="11910" w:h="16840"/>
          <w:pgMar w:header="877"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发生当期确认为费用。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1" w:firstLine="360"/>
        <w:jc w:val="both"/>
      </w:pPr>
      <w:r>
        <w:rPr>
          <w:spacing w:val="-2"/>
        </w:rPr>
        <w:t>本公司对符合资本化条件的资产在购建或者生产过程中发生非正常中断，并且中断时间连续超过三个月，暂停借款费用</w:t>
      </w:r>
      <w:r>
        <w:rPr/>
        <w:t> </w:t>
      </w:r>
      <w:r>
        <w:rPr>
          <w:spacing w:val="-2"/>
        </w:rPr>
        <w:t>的资本化。在中断期间发生的借款费用确认为费用，计入当期损益，直至资产的购建或者生产活动重新开始。如果中断是使</w:t>
      </w:r>
      <w:r>
        <w:rPr>
          <w:spacing w:val="-65"/>
        </w:rPr>
        <w:t> </w:t>
      </w:r>
      <w:r>
        <w:rPr>
          <w:spacing w:val="-65"/>
        </w:rPr>
      </w:r>
      <w:r>
        <w:rPr/>
        <w:t>所购建或者生产的符合资本化条件的资产达到预定可使用或者可销售状态所必要的程序，则借款费用的资本化继续进行。</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在资本化期间内，本公司对每一会计期间的利息资本化金额，按照下列方法确定：</w:t>
      </w:r>
    </w:p>
    <w:p>
      <w:pPr>
        <w:pStyle w:val="BodyText"/>
        <w:spacing w:line="319" w:lineRule="auto" w:before="76"/>
        <w:ind w:right="192" w:firstLine="360"/>
        <w:jc w:val="both"/>
      </w:pPr>
      <w:r>
        <w:rPr>
          <w:spacing w:val="-2"/>
        </w:rPr>
        <w:t>①为购建或者生产符合资本化条件的资产而借入专门借款的，以专门借款当期实际发生的利息费用，减去将尚未动用的</w:t>
      </w:r>
      <w:r>
        <w:rPr/>
        <w:t> 借款资金存入银行取得的利息收入或进行暂时性投资取得的投资收益后的金额确定；</w:t>
      </w:r>
    </w:p>
    <w:p>
      <w:pPr>
        <w:pStyle w:val="BodyText"/>
        <w:spacing w:line="316" w:lineRule="auto" w:before="17"/>
        <w:ind w:right="192" w:firstLine="360"/>
        <w:jc w:val="both"/>
      </w:pPr>
      <w:r>
        <w:rPr>
          <w:spacing w:val="-2"/>
        </w:rPr>
        <w:t>②为购建或者生产符合资本化条件的资产而占用了一般借款的，根据累计资产支出超过专门借款部分的资产支出加权平</w:t>
      </w:r>
      <w:r>
        <w:rPr/>
        <w:t> </w:t>
      </w:r>
      <w:r>
        <w:rPr>
          <w:spacing w:val="-2"/>
        </w:rPr>
        <w:t>均数乘以所占用一般借款的资本化率，计算确定一般借款应予资本化的利息金额。资本化率根据一般借款加权平均利率计算</w:t>
      </w:r>
      <w:r>
        <w:rPr>
          <w:spacing w:val="-64"/>
        </w:rPr>
        <w:t> </w:t>
      </w:r>
      <w:r>
        <w:rPr>
          <w:spacing w:val="-64"/>
        </w:rPr>
      </w:r>
      <w:r>
        <w:rPr/>
        <w:t>确定。</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41"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41"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①本公司对无形资产按照成本进行初始计量，具体方法如下：</w:t>
      </w:r>
    </w:p>
    <w:p>
      <w:pPr>
        <w:pStyle w:val="BodyText"/>
        <w:spacing w:line="300" w:lineRule="auto" w:before="76"/>
        <w:ind w:right="190" w:firstLine="360"/>
        <w:jc w:val="both"/>
      </w:pPr>
      <w:r>
        <w:rPr>
          <w:rFonts w:ascii="Times New Roman" w:hAnsi="Times New Roman" w:cs="Times New Roman" w:eastAsia="Times New Roman" w:hint="default"/>
          <w:spacing w:val="-1"/>
        </w:rPr>
        <w:t>A</w:t>
      </w:r>
      <w:r>
        <w:rPr>
          <w:spacing w:val="-1"/>
        </w:rPr>
        <w:t>、购入的无形资产的成本，包括购买价款、相关税费及直接归属于使该项资产达到预定用途所发生的其他支出；购买</w:t>
      </w:r>
      <w:r>
        <w:rPr/>
        <w:t> 无形资产的价款超过正常信用条件延期支付，且实质上具有融资性质的，无形资产的成本以购买价款的现值为基础确定；</w:t>
      </w:r>
    </w:p>
    <w:p>
      <w:pPr>
        <w:pStyle w:val="BodyText"/>
        <w:spacing w:line="300" w:lineRule="auto" w:before="31"/>
        <w:ind w:right="192" w:firstLine="360"/>
        <w:jc w:val="both"/>
      </w:pPr>
      <w:r>
        <w:rPr>
          <w:rFonts w:ascii="Times New Roman" w:hAnsi="Times New Roman" w:cs="Times New Roman" w:eastAsia="Times New Roman" w:hint="default"/>
          <w:spacing w:val="-1"/>
        </w:rPr>
        <w:t>B</w:t>
      </w:r>
      <w:r>
        <w:rPr>
          <w:spacing w:val="-1"/>
        </w:rPr>
        <w:t>、自行开发的无形资产的成本，按满足资本化条件的时点至达到预定用途前发生的支出总额确定，但对于以前期间已</w:t>
      </w:r>
      <w:r>
        <w:rPr/>
        <w:t> 经费用化的支出不再调整；</w:t>
      </w:r>
    </w:p>
    <w:p>
      <w:pPr>
        <w:pStyle w:val="BodyText"/>
        <w:spacing w:line="300" w:lineRule="auto" w:before="31"/>
        <w:ind w:left="513" w:right="0"/>
        <w:jc w:val="left"/>
      </w:pPr>
      <w:r>
        <w:rPr>
          <w:rFonts w:ascii="Times New Roman" w:hAnsi="Times New Roman" w:cs="Times New Roman" w:eastAsia="Times New Roman" w:hint="default"/>
        </w:rPr>
        <w:t>C</w:t>
      </w:r>
      <w:r>
        <w:rPr/>
        <w:t>、投资者投入的无形资产的成本，按投资合同或协议约定的价值确定，但合同或协议约定价值不公允的除外； </w:t>
      </w:r>
      <w:r>
        <w:rPr>
          <w:rFonts w:ascii="Times New Roman" w:hAnsi="Times New Roman" w:cs="Times New Roman" w:eastAsia="Times New Roman" w:hint="default"/>
        </w:rPr>
        <w:t>D</w:t>
      </w:r>
      <w:r>
        <w:rPr/>
        <w:t>、非货币性资产交换、债务重组、政府补助和企业合并取得的无形资产的成本，分别按《企业会计准则第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w:t>
      </w:r>
    </w:p>
    <w:p>
      <w:pPr>
        <w:pStyle w:val="BodyText"/>
        <w:spacing w:line="300" w:lineRule="auto" w:before="13"/>
        <w:ind w:right="0"/>
        <w:jc w:val="left"/>
      </w:pPr>
      <w:r>
        <w:rPr>
          <w:spacing w:val="-2"/>
        </w:rPr>
        <w:t>币性资产交换》、《企业会计准则第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债务重组》、《企业会计准则第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政府补助》和《企业会计准则第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w:t>
      </w:r>
      <w:r>
        <w:rPr>
          <w:spacing w:val="-64"/>
        </w:rPr>
        <w:t> </w:t>
      </w:r>
      <w:r>
        <w:rPr/>
        <w:t>业合并》的相关规定确定。</w:t>
      </w:r>
    </w:p>
    <w:p>
      <w:pPr>
        <w:pStyle w:val="BodyText"/>
        <w:spacing w:line="316" w:lineRule="auto" w:before="31"/>
        <w:ind w:right="185" w:firstLine="360"/>
        <w:jc w:val="both"/>
      </w:pPr>
      <w:r>
        <w:rPr/>
        <w:t>②本公司对使用寿命有限的无形资产自其可供使用时起至不再作为无形资产确认时止在无形资产使用寿命内采用直线</w:t>
      </w:r>
      <w:r>
        <w:rPr>
          <w:spacing w:val="2"/>
        </w:rPr>
        <w:t> </w:t>
      </w:r>
      <w:r>
        <w:rPr>
          <w:spacing w:val="-2"/>
        </w:rPr>
        <w:t>法摊销。即按预计使用年限、合同规定的受益年限和法律规定的有效年限三者中最短者分期平均摊销。摊销金额按其受益对</w:t>
      </w:r>
      <w:r>
        <w:rPr>
          <w:spacing w:val="-65"/>
        </w:rPr>
        <w:t> </w:t>
      </w:r>
      <w:r>
        <w:rPr>
          <w:spacing w:val="-65"/>
        </w:rPr>
      </w:r>
      <w:r>
        <w:rPr>
          <w:spacing w:val="-2"/>
        </w:rPr>
        <w:t>象计入相关资产成本和当期损益。本公司对已提减值准备的无形资产计算应摊销金额时，还需扣除该无形资产已计提的减值</w:t>
      </w:r>
      <w:r>
        <w:rPr>
          <w:spacing w:val="-63"/>
        </w:rPr>
        <w:t> </w:t>
      </w:r>
      <w:r>
        <w:rPr>
          <w:spacing w:val="-63"/>
        </w:rPr>
      </w:r>
      <w:r>
        <w:rPr/>
        <w:t>准备累计金额；</w:t>
      </w:r>
    </w:p>
    <w:p>
      <w:pPr>
        <w:pStyle w:val="BodyText"/>
        <w:spacing w:line="316" w:lineRule="auto" w:before="19"/>
        <w:ind w:right="103" w:firstLine="360"/>
        <w:jc w:val="both"/>
      </w:pPr>
      <w:r>
        <w:rPr>
          <w:spacing w:val="-4"/>
        </w:rPr>
        <w:t>对于使用寿命不确定的无形资产，本公司不对其进行摊销，但在每个会计期末，对该部分无形资产的使用寿命进行复核，</w:t>
      </w:r>
      <w:r>
        <w:rPr/>
        <w:t> 如使用寿命仍不能确定，则对其进行减值测试。</w:t>
      </w:r>
    </w:p>
    <w:p>
      <w:pPr>
        <w:spacing w:after="0" w:line="316" w:lineRule="auto"/>
        <w:jc w:val="both"/>
        <w:sectPr>
          <w:pgSz w:w="11910" w:h="16840"/>
          <w:pgMar w:header="877" w:footer="980"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51" w:firstLine="360"/>
        <w:jc w:val="both"/>
      </w:pPr>
      <w:r>
        <w:rPr>
          <w:spacing w:val="-2"/>
        </w:rPr>
        <w:t>本公司对来源于合同性权利或其他法定权利的无形资产，认定其使用寿命不超过合同性权利或其他法定权利的期限；对</w:t>
      </w:r>
      <w:r>
        <w:rPr/>
        <w:t> </w:t>
      </w:r>
      <w:r>
        <w:rPr>
          <w:spacing w:val="-2"/>
        </w:rPr>
        <w:t>合同或法律没有规定使用寿命的无形资产，通常综合各方面因素判断（如与同行业比较、参考历史经验，或聘用相关专家进</w:t>
      </w:r>
      <w:r>
        <w:rPr>
          <w:spacing w:val="-64"/>
        </w:rPr>
        <w:t> </w:t>
      </w:r>
      <w:r>
        <w:rPr>
          <w:spacing w:val="-64"/>
        </w:rPr>
      </w:r>
      <w:r>
        <w:rPr/>
        <w:t>行论证等），确定无形资产为公司带来经济利益的期限。本公司确定无形资产使用寿命通常考虑如下因素：</w:t>
      </w:r>
    </w:p>
    <w:p>
      <w:pPr>
        <w:pStyle w:val="BodyText"/>
        <w:spacing w:line="240" w:lineRule="auto" w:before="19"/>
        <w:ind w:left="513" w:right="0"/>
        <w:jc w:val="left"/>
      </w:pPr>
      <w:r>
        <w:rPr/>
        <w:t>①运用该资产生产的产品通常的寿命周期、可获得的类似资产使用寿命的信息；</w:t>
      </w:r>
    </w:p>
    <w:p>
      <w:pPr>
        <w:pStyle w:val="BodyText"/>
        <w:spacing w:line="240" w:lineRule="auto" w:before="76"/>
        <w:ind w:left="513" w:right="0"/>
        <w:jc w:val="left"/>
      </w:pPr>
      <w:r>
        <w:rPr/>
        <w:t>②技术、工艺等方面的现阶段情况及对未来发展趋势的估计；</w:t>
      </w:r>
    </w:p>
    <w:p>
      <w:pPr>
        <w:pStyle w:val="BodyText"/>
        <w:spacing w:line="240" w:lineRule="auto" w:before="76"/>
        <w:ind w:left="513" w:right="0"/>
        <w:jc w:val="left"/>
      </w:pPr>
      <w:r>
        <w:rPr/>
        <w:t>③以该资产生产的产品或提供的服务的市场需求情况；</w:t>
      </w:r>
    </w:p>
    <w:p>
      <w:pPr>
        <w:pStyle w:val="BodyText"/>
        <w:spacing w:line="240" w:lineRule="auto" w:before="76"/>
        <w:ind w:left="513" w:right="0"/>
        <w:jc w:val="left"/>
      </w:pPr>
      <w:r>
        <w:rPr/>
        <w:t>④现在或潜在的竞争者预期采取的行动；</w:t>
      </w:r>
    </w:p>
    <w:p>
      <w:pPr>
        <w:pStyle w:val="BodyText"/>
        <w:spacing w:line="240" w:lineRule="auto" w:before="76"/>
        <w:ind w:left="513" w:right="0"/>
        <w:jc w:val="left"/>
      </w:pPr>
      <w:r>
        <w:rPr/>
        <w:t>⑤为维护该资产带来经济利益能力的预期维护支出、以及公司预计支付有关支出的能力；</w:t>
      </w:r>
    </w:p>
    <w:p>
      <w:pPr>
        <w:pStyle w:val="BodyText"/>
        <w:spacing w:line="240" w:lineRule="auto" w:before="76"/>
        <w:ind w:left="513" w:right="0"/>
        <w:jc w:val="left"/>
      </w:pPr>
      <w:r>
        <w:rPr/>
        <w:t>⑥对该资产控制期限的相关法律规定或类似限制；</w:t>
      </w:r>
    </w:p>
    <w:p>
      <w:pPr>
        <w:pStyle w:val="BodyText"/>
        <w:spacing w:line="240" w:lineRule="auto" w:before="76"/>
        <w:ind w:left="513" w:right="0"/>
        <w:jc w:val="left"/>
      </w:pPr>
      <w:r>
        <w:rPr/>
        <w:t>⑦与公司持有的其他资产使用寿命的关联性等。</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280"/>
        <w:gridCol w:w="2216"/>
        <w:gridCol w:w="5075"/>
      </w:tblGrid>
      <w:tr>
        <w:trPr>
          <w:trHeight w:val="401"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50</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土地使用证</w:t>
            </w: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国家法律法规</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2"/>
        </w:rPr>
        <w:t>按照上述使用寿命有限的无形资产的确定方法仍无法合理确定无形资产为公司带来经济利益期限的，本公司将其视为使</w:t>
      </w:r>
      <w:r>
        <w:rPr/>
        <w:t> 用寿命不确定的无形资产。</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0"/>
        <w:jc w:val="left"/>
      </w:pPr>
      <w:r>
        <w:rPr>
          <w:spacing w:val="-2"/>
        </w:rPr>
        <w:t>本公司对商标权等使用寿命不确定的无形资产，每年末均进行减值测试，估计其可收回金额，按其可收回金额低于账面</w:t>
      </w:r>
      <w:r>
        <w:rPr/>
        <w:t> 价值的差额计提无形资产减值准备，确认资产减值损失。</w:t>
      </w:r>
    </w:p>
    <w:p>
      <w:pPr>
        <w:pStyle w:val="BodyText"/>
        <w:spacing w:line="316" w:lineRule="auto" w:before="19"/>
        <w:ind w:right="0" w:firstLine="360"/>
        <w:jc w:val="left"/>
      </w:pPr>
      <w:r>
        <w:rPr>
          <w:spacing w:val="-2"/>
        </w:rPr>
        <w:t>对其他无形资产，期末进行检查，当存在下述减值迹象时估计其可收回金额，按其可收回金额低于账面价值的差额计提</w:t>
      </w:r>
      <w:r>
        <w:rPr/>
        <w:t> 无形资产减值准备，确认资产减值损失。</w:t>
      </w:r>
    </w:p>
    <w:p>
      <w:pPr>
        <w:pStyle w:val="BodyText"/>
        <w:spacing w:line="240" w:lineRule="auto" w:before="19"/>
        <w:ind w:left="513" w:right="0"/>
        <w:jc w:val="left"/>
      </w:pPr>
      <w:r>
        <w:rPr/>
        <w:t>①已被其他新技术所代替，使其为本公司创造经济利益的能力受到重大不利影响；</w:t>
      </w:r>
    </w:p>
    <w:p>
      <w:pPr>
        <w:pStyle w:val="BodyText"/>
        <w:spacing w:line="240" w:lineRule="auto" w:before="76"/>
        <w:ind w:left="513" w:right="0"/>
        <w:jc w:val="left"/>
      </w:pPr>
      <w:r>
        <w:rPr/>
        <w:t>②市价在当期大幅下跌，在剩余摊销年限内预期不会恢复；</w:t>
      </w:r>
    </w:p>
    <w:p>
      <w:pPr>
        <w:pStyle w:val="BodyText"/>
        <w:spacing w:line="240" w:lineRule="auto" w:before="76"/>
        <w:ind w:left="513" w:right="0"/>
        <w:jc w:val="left"/>
      </w:pPr>
      <w:r>
        <w:rPr/>
        <w:t>③已超过法律保护期限，但仍然具有部分使用价值；</w:t>
      </w:r>
    </w:p>
    <w:p>
      <w:pPr>
        <w:pStyle w:val="BodyText"/>
        <w:spacing w:line="316" w:lineRule="auto" w:before="76"/>
        <w:ind w:left="513" w:right="953"/>
        <w:jc w:val="left"/>
      </w:pPr>
      <w:r>
        <w:rPr/>
        <w:t>④其他足以证明实际上已经发生减值的情形。 除对资产进行处置、出售、对外投资等情况外，无形资产减值损失一经确认，在以后的会计期间不予转回。</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52" w:firstLine="360"/>
        <w:jc w:val="both"/>
      </w:pPr>
      <w:r>
        <w:rPr>
          <w:spacing w:val="-2"/>
        </w:rPr>
        <w:t>本公司将企业内部研究开发项目的支出区分为研究阶段支出和开发阶段支出，研究阶段支出是指为获取并理解新的科学</w:t>
      </w:r>
      <w:r>
        <w:rPr/>
        <w:t> </w:t>
      </w:r>
      <w:r>
        <w:rPr>
          <w:spacing w:val="-2"/>
        </w:rPr>
        <w:t>或技术知识而进行的独创性的有计划调查阶段而发生的支出；开发阶段支出是指在进行商业性生产或使用前，将研究成果或</w:t>
      </w:r>
      <w:r>
        <w:rPr>
          <w:spacing w:val="-64"/>
        </w:rPr>
        <w:t> </w:t>
      </w:r>
      <w:r>
        <w:rPr>
          <w:spacing w:val="-64"/>
        </w:rPr>
      </w:r>
      <w:r>
        <w:rPr/>
        <w:t>其他知识应用于某项计划或设计，以生产出新的或具有实质性改进的材料、装置、产品等阶段而发生的支出。</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0"/>
        <w:jc w:val="left"/>
      </w:pPr>
      <w:r>
        <w:rPr>
          <w:spacing w:val="-2"/>
        </w:rPr>
        <w:t>①本公司对研究阶段的支出，于发生时计入当期损益；对开发阶段的支出，在同时满足下列条件时确认为无形资产，不</w:t>
      </w:r>
      <w:r>
        <w:rPr/>
        <w:t> 同时满足下列条件的确认为损益：</w:t>
      </w:r>
    </w:p>
    <w:p>
      <w:pPr>
        <w:pStyle w:val="BodyText"/>
        <w:spacing w:line="240" w:lineRule="auto" w:before="19"/>
        <w:ind w:left="513" w:right="0"/>
        <w:jc w:val="left"/>
      </w:pPr>
      <w:r>
        <w:rPr>
          <w:rFonts w:ascii="Times New Roman" w:hAnsi="Times New Roman" w:cs="Times New Roman" w:eastAsia="Times New Roman" w:hint="default"/>
        </w:rPr>
        <w:t>A</w:t>
      </w:r>
      <w:r>
        <w:rPr/>
        <w:t>、完成该无形资产以使其能够使用或出售在技术上具有可行性；</w:t>
      </w:r>
    </w:p>
    <w:p>
      <w:pPr>
        <w:spacing w:after="0" w:line="240" w:lineRule="auto"/>
        <w:jc w:val="left"/>
        <w:sectPr>
          <w:pgSz w:w="11910" w:h="16840"/>
          <w:pgMar w:header="877" w:footer="980" w:top="1060" w:bottom="1160" w:left="980" w:right="980"/>
        </w:sectPr>
      </w:pPr>
    </w:p>
    <w:p>
      <w:pPr>
        <w:spacing w:line="240" w:lineRule="auto" w:before="9"/>
        <w:rPr>
          <w:rFonts w:ascii="宋体" w:hAnsi="宋体" w:cs="宋体" w:eastAsia="宋体" w:hint="default"/>
          <w:sz w:val="25"/>
          <w:szCs w:val="25"/>
        </w:rPr>
      </w:pPr>
    </w:p>
    <w:p>
      <w:pPr>
        <w:pStyle w:val="BodyText"/>
        <w:spacing w:line="300" w:lineRule="auto" w:before="44"/>
        <w:ind w:left="513" w:right="0"/>
        <w:jc w:val="left"/>
      </w:pPr>
      <w:r>
        <w:rPr>
          <w:rFonts w:ascii="Times New Roman" w:hAnsi="Times New Roman" w:cs="Times New Roman" w:eastAsia="Times New Roman" w:hint="default"/>
        </w:rPr>
        <w:t>B</w:t>
      </w:r>
      <w:r>
        <w:rPr/>
        <w:t>、具有完成该无形资产并使用或出售的意图； </w:t>
      </w:r>
      <w:r>
        <w:rPr>
          <w:rFonts w:ascii="Times New Roman" w:hAnsi="Times New Roman" w:cs="Times New Roman" w:eastAsia="Times New Roman" w:hint="default"/>
          <w:spacing w:val="-1"/>
        </w:rPr>
        <w:t>C</w:t>
      </w:r>
      <w:r>
        <w:rPr>
          <w:spacing w:val="-1"/>
        </w:rPr>
        <w:t>、无形资产产生经济利益的方式，包括能够证明运用该无形资产生产的产品存在市场或无形资产自身存在市场，无形</w:t>
      </w:r>
    </w:p>
    <w:p>
      <w:pPr>
        <w:pStyle w:val="BodyText"/>
        <w:spacing w:line="309" w:lineRule="auto" w:before="13"/>
        <w:ind w:left="513" w:right="863" w:hanging="361"/>
        <w:jc w:val="left"/>
      </w:pPr>
      <w:r>
        <w:rPr/>
        <w:t>资产将在内部使用的，应当证明其有用性； </w:t>
      </w:r>
      <w:r>
        <w:rPr>
          <w:rFonts w:ascii="Times New Roman" w:hAnsi="Times New Roman" w:cs="Times New Roman" w:eastAsia="Times New Roman" w:hint="default"/>
        </w:rPr>
        <w:t>D</w:t>
      </w:r>
      <w:r>
        <w:rPr/>
        <w:t>、有足够的技术、财务资源和其他资源支持，以完成该无形资产的开发，并有能力使用或出售该无形资产； </w:t>
      </w:r>
      <w:r>
        <w:rPr>
          <w:rFonts w:ascii="Times New Roman" w:hAnsi="Times New Roman" w:cs="Times New Roman" w:eastAsia="Times New Roman" w:hint="default"/>
        </w:rPr>
        <w:t>E</w:t>
      </w:r>
      <w:r>
        <w:rPr/>
        <w:t>、归属于该无形资产开发阶段的支出能够可靠地计量。</w:t>
      </w:r>
    </w:p>
    <w:p>
      <w:pPr>
        <w:pStyle w:val="BodyText"/>
        <w:spacing w:line="316" w:lineRule="auto" w:before="5"/>
        <w:ind w:right="94" w:firstLine="360"/>
        <w:jc w:val="left"/>
      </w:pPr>
      <w:r>
        <w:rPr>
          <w:spacing w:val="-2"/>
        </w:rPr>
        <w:t>②本公司对于研究开发活动发生的支出单独核算，如发生的研究开发人员的工资、材料费等，在公司同时从事多项研究</w:t>
      </w:r>
      <w:r>
        <w:rPr/>
        <w:t> 开发活动的情况下，所发生的支出同时用于支持多项研究开发活动的，按照一定的标准在各项研究开发活动之间进行分配， 无法明确分配的，予以费用化计入当期损益，不计入开发活动的成本。</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91" w:firstLine="360"/>
        <w:jc w:val="both"/>
      </w:pPr>
      <w:r>
        <w:rPr>
          <w:spacing w:val="-1"/>
        </w:rPr>
        <w:t>长期待摊费用核算已经发生，但应由当期及以后各期负担的分摊期限在一年以上</w:t>
      </w:r>
      <w:r>
        <w:rPr>
          <w:rFonts w:ascii="Times New Roman" w:hAnsi="Times New Roman" w:cs="Times New Roman" w:eastAsia="Times New Roman" w:hint="default"/>
          <w:spacing w:val="-1"/>
        </w:rPr>
        <w:t>(</w:t>
      </w:r>
      <w:r>
        <w:rPr>
          <w:spacing w:val="-1"/>
        </w:rPr>
        <w:t>不含一年</w:t>
      </w:r>
      <w:r>
        <w:rPr>
          <w:rFonts w:ascii="Times New Roman" w:hAnsi="Times New Roman" w:cs="Times New Roman" w:eastAsia="Times New Roman" w:hint="default"/>
          <w:spacing w:val="-1"/>
        </w:rPr>
        <w:t>)</w:t>
      </w:r>
      <w:r>
        <w:rPr>
          <w:spacing w:val="-1"/>
        </w:rPr>
        <w:t>的各项费用，本公司对该等</w:t>
      </w:r>
      <w:r>
        <w:rPr/>
        <w:t> </w:t>
      </w:r>
      <w:r>
        <w:rPr>
          <w:spacing w:val="-2"/>
        </w:rPr>
        <w:t>费用采用直线法在其受益期内平均摊销，如果长期待摊费用项目不能使以后会计期间受益，则将尚未摊销的该项目的摊余价</w:t>
      </w:r>
      <w:r>
        <w:rPr>
          <w:spacing w:val="-64"/>
        </w:rPr>
        <w:t> </w:t>
      </w:r>
      <w:r>
        <w:rPr>
          <w:spacing w:val="-64"/>
        </w:rPr>
      </w:r>
      <w:r>
        <w:rPr/>
        <w:t>值全部转入当期损益。</w:t>
      </w:r>
    </w:p>
    <w:p>
      <w:pPr>
        <w:spacing w:line="240" w:lineRule="auto" w:before="3"/>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0"/>
        <w:jc w:val="left"/>
      </w:pPr>
      <w:r>
        <w:rPr>
          <w:spacing w:val="-2"/>
        </w:rPr>
        <w:t>对于附回购条件的资产转让，如果未将资产所有权上的主要风险和报酬转移给购买方，不应当确认销售收入，也不应当</w:t>
      </w:r>
      <w:r>
        <w:rPr/>
        <w:t> 终止确认所出售的资产。</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本公司将同时符合以下条件与或有事项相关的义务确认为预计负债：</w:t>
      </w:r>
    </w:p>
    <w:p>
      <w:pPr>
        <w:pStyle w:val="BodyText"/>
        <w:spacing w:line="240" w:lineRule="auto" w:before="76"/>
        <w:ind w:left="513" w:right="0"/>
        <w:jc w:val="left"/>
      </w:pPr>
      <w:r>
        <w:rPr/>
        <w:t>①该义务是因产品质量保证、对外提供担保、未决诉讼等事项形成的现时义务；</w:t>
      </w:r>
    </w:p>
    <w:p>
      <w:pPr>
        <w:pStyle w:val="BodyText"/>
        <w:spacing w:line="240" w:lineRule="auto" w:before="76"/>
        <w:ind w:left="513" w:right="0"/>
        <w:jc w:val="left"/>
      </w:pPr>
      <w:r>
        <w:rPr/>
        <w:t>②该义务的履行很可能导致经济利益的流出；</w:t>
      </w:r>
    </w:p>
    <w:p>
      <w:pPr>
        <w:pStyle w:val="BodyText"/>
        <w:spacing w:line="316" w:lineRule="auto" w:before="76"/>
        <w:ind w:left="513" w:right="813"/>
        <w:jc w:val="left"/>
      </w:pPr>
      <w:r>
        <w:rPr/>
        <w:t>③该义务的金额能够可靠计量时。 公司的亏损合同和承担的重组义务符合上述条件的，确认为预计负债。对于未来经营亏损，不确认预计负债。</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360"/>
        <w:jc w:val="both"/>
      </w:pPr>
      <w:r>
        <w:rPr>
          <w:spacing w:val="-2"/>
        </w:rPr>
        <w:t>①预计负债按照履行相关现时义务所需支出的最佳估计数进行初始计量，并综合考虑与或有事项有关的风险、不确定性</w:t>
      </w:r>
      <w:r>
        <w:rPr/>
        <w:t> </w:t>
      </w:r>
      <w:r>
        <w:rPr>
          <w:spacing w:val="-2"/>
        </w:rPr>
        <w:t>和货币时间价值等因素。货币时间价值影响重大的，通过对相关未来现金流出进行折现后确定最佳估计数；因随着时间推移</w:t>
      </w:r>
      <w:r>
        <w:rPr>
          <w:spacing w:val="-63"/>
        </w:rPr>
        <w:t> </w:t>
      </w:r>
      <w:r>
        <w:rPr>
          <w:spacing w:val="-63"/>
        </w:rPr>
      </w:r>
      <w:r>
        <w:rPr/>
        <w:t>所进行的折现还原而导致的预计负债账面价值的增加金额，确认为利息费用。</w:t>
      </w:r>
    </w:p>
    <w:p>
      <w:pPr>
        <w:pStyle w:val="BodyText"/>
        <w:spacing w:line="240" w:lineRule="auto" w:before="19"/>
        <w:ind w:left="513" w:right="0"/>
        <w:jc w:val="left"/>
      </w:pPr>
      <w:r>
        <w:rPr/>
        <w:t>②于资产负债表日，对预计负债的账面价值进行复核并作适当调整，以反映当前的最佳估计数。</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5" w:right="0"/>
        <w:jc w:val="left"/>
      </w:pPr>
      <w:r>
        <w:rPr/>
        <w:t>本公司股份支付分为以权益结算的股份支付和以现金结算的股份支付。</w:t>
      </w:r>
    </w:p>
    <w:p>
      <w:pPr>
        <w:spacing w:after="0" w:line="240" w:lineRule="auto"/>
        <w:jc w:val="left"/>
        <w:sectPr>
          <w:pgSz w:w="11910" w:h="16840"/>
          <w:pgMar w:header="877" w:footer="980"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51" w:firstLine="360"/>
        <w:jc w:val="both"/>
      </w:pPr>
      <w:r>
        <w:rPr>
          <w:spacing w:val="-2"/>
        </w:rPr>
        <w:t>对于授予的存在活跃市场的期权等权益工具，按照活跃市场中的报价确定其公允价值。对于授予的不存在活跃市场的期</w:t>
      </w:r>
      <w:r>
        <w:rPr/>
        <w:t> </w:t>
      </w:r>
      <w:r>
        <w:rPr>
          <w:spacing w:val="-2"/>
        </w:rPr>
        <w:t>权等权益工具，采用期权定价模型等确定其公允价值，选用的期权定价模型至少考虑以下因素：①期权的行权价格；②期权</w:t>
      </w:r>
      <w:r>
        <w:rPr>
          <w:spacing w:val="-64"/>
        </w:rPr>
        <w:t> </w:t>
      </w:r>
      <w:r>
        <w:rPr>
          <w:spacing w:val="-64"/>
        </w:rPr>
      </w:r>
      <w:r>
        <w:rPr/>
        <w:t>期限；③基础股份的现行价格；④股价的预计波动率；⑤股份的预计股利；⑥期权期限内的无风险利率。</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515" w:right="0"/>
        <w:jc w:val="left"/>
      </w:pPr>
      <w:r>
        <w:rPr/>
        <w:t>在等待期内的每个资产</w:t>
      </w:r>
      <w:r>
        <w:rPr>
          <w:spacing w:val="-3"/>
        </w:rPr>
        <w:t>负</w:t>
      </w:r>
      <w:r>
        <w:rPr/>
        <w:t>债表日</w:t>
      </w:r>
      <w:r>
        <w:rPr>
          <w:spacing w:val="-82"/>
        </w:rPr>
        <w:t>，</w:t>
      </w:r>
      <w:r>
        <w:rPr/>
        <w:t>以根据最新取得的可行权职工人数变动等后续信息对可行权权益工具数量做出最佳估</w:t>
      </w:r>
    </w:p>
    <w:p>
      <w:pPr>
        <w:pStyle w:val="BodyText"/>
        <w:spacing w:line="240" w:lineRule="auto" w:before="76"/>
        <w:ind w:right="0"/>
        <w:jc w:val="left"/>
      </w:pPr>
      <w:r>
        <w:rPr/>
        <w:t>计。</w:t>
      </w:r>
    </w:p>
    <w:p>
      <w:pPr>
        <w:spacing w:line="240" w:lineRule="auto" w:before="6"/>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0"/>
        <w:jc w:val="left"/>
      </w:pPr>
      <w:r>
        <w:rPr/>
        <w:t>①以权益结算的股份支付</w:t>
      </w:r>
    </w:p>
    <w:p>
      <w:pPr>
        <w:pStyle w:val="BodyText"/>
        <w:spacing w:line="309" w:lineRule="auto" w:before="76"/>
        <w:ind w:right="150" w:firstLine="360"/>
        <w:jc w:val="both"/>
      </w:pPr>
      <w:r>
        <w:rPr>
          <w:rFonts w:ascii="Times New Roman" w:hAnsi="Times New Roman" w:cs="Times New Roman" w:eastAsia="Times New Roman" w:hint="default"/>
          <w:spacing w:val="-1"/>
        </w:rPr>
        <w:t>A</w:t>
      </w:r>
      <w:r>
        <w:rPr>
          <w:spacing w:val="-1"/>
        </w:rPr>
        <w:t>、对于换取职工服务的股份支付，本公司以股份支付所授予的权益工具的公允价值计量。在等待期内的每个资产负债</w:t>
      </w:r>
      <w:r>
        <w:rPr/>
        <w:t> </w:t>
      </w:r>
      <w:r>
        <w:rPr>
          <w:spacing w:val="-2"/>
        </w:rPr>
        <w:t>表日，以根据最新取得的可行权职工人数变动等后续信息对可行权权益工具数量做出的最佳估计为基础，按照权益工具在授</w:t>
      </w:r>
      <w:r>
        <w:rPr>
          <w:spacing w:val="-63"/>
        </w:rPr>
        <w:t> </w:t>
      </w:r>
      <w:r>
        <w:rPr>
          <w:spacing w:val="-63"/>
        </w:rPr>
      </w:r>
      <w:r>
        <w:rPr/>
        <w:t>予日的公允价值，将当期取得的服务计入相关资产成本或当期费用，同时计入资本公积中的其他资本公积；</w:t>
      </w:r>
    </w:p>
    <w:p>
      <w:pPr>
        <w:pStyle w:val="BodyText"/>
        <w:spacing w:line="300" w:lineRule="auto" w:before="24"/>
        <w:ind w:right="152" w:firstLine="360"/>
        <w:jc w:val="both"/>
      </w:pPr>
      <w:r>
        <w:rPr>
          <w:rFonts w:ascii="Times New Roman" w:hAnsi="Times New Roman" w:cs="Times New Roman" w:eastAsia="Times New Roman" w:hint="default"/>
          <w:spacing w:val="-1"/>
        </w:rPr>
        <w:t>B</w:t>
      </w:r>
      <w:r>
        <w:rPr>
          <w:spacing w:val="-1"/>
        </w:rPr>
        <w:t>、对于授予后立即可行权的换取职工提供服务的权益结算的股份支付，在授予日按照权益工具的公允价值，将取得的</w:t>
      </w:r>
      <w:r>
        <w:rPr/>
        <w:t> 服务计入相关资产成本或当期费用，同时计入资本公积中的股本溢价。</w:t>
      </w:r>
    </w:p>
    <w:p>
      <w:pPr>
        <w:pStyle w:val="BodyText"/>
        <w:spacing w:line="240" w:lineRule="auto" w:before="31"/>
        <w:ind w:left="513" w:right="0"/>
        <w:jc w:val="left"/>
      </w:pPr>
      <w:r>
        <w:rPr/>
        <w:t>②以现金结算的股份支付</w:t>
      </w:r>
    </w:p>
    <w:p>
      <w:pPr>
        <w:pStyle w:val="BodyText"/>
        <w:spacing w:line="309" w:lineRule="auto" w:before="76"/>
        <w:ind w:right="150" w:firstLine="360"/>
        <w:jc w:val="both"/>
      </w:pPr>
      <w:r>
        <w:rPr>
          <w:rFonts w:ascii="Times New Roman" w:hAnsi="Times New Roman" w:cs="Times New Roman" w:eastAsia="Times New Roman" w:hint="default"/>
          <w:spacing w:val="-1"/>
        </w:rPr>
        <w:t>A</w:t>
      </w:r>
      <w:r>
        <w:rPr>
          <w:spacing w:val="-1"/>
        </w:rPr>
        <w:t>、本公司在等待期内的每个资产负债表日，以对可行权情况的最佳估计（如根据最新取得的可行权职工人数变动等后</w:t>
      </w:r>
      <w:r>
        <w:rPr/>
        <w:t> </w:t>
      </w:r>
      <w:r>
        <w:rPr>
          <w:spacing w:val="-2"/>
        </w:rPr>
        <w:t>续信息做出）为基础，按照公司承担负债的公允价值，将当期取得的服务计入相关资产成本或当期费用，同时计入负债（应</w:t>
      </w:r>
      <w:r>
        <w:rPr>
          <w:spacing w:val="-66"/>
        </w:rPr>
        <w:t> </w:t>
      </w:r>
      <w:r>
        <w:rPr>
          <w:spacing w:val="-66"/>
        </w:rPr>
      </w:r>
      <w:r>
        <w:rPr/>
        <w:t>付职工薪酬），并在结算前的每个资产负债表日和结算日对负债的公允价值重新计量，将其变动计入损益；</w:t>
      </w:r>
    </w:p>
    <w:p>
      <w:pPr>
        <w:pStyle w:val="BodyText"/>
        <w:spacing w:line="309" w:lineRule="auto" w:before="24"/>
        <w:ind w:right="153" w:firstLine="360"/>
        <w:jc w:val="both"/>
      </w:pPr>
      <w:r>
        <w:rPr>
          <w:rFonts w:ascii="Times New Roman" w:hAnsi="Times New Roman" w:cs="Times New Roman" w:eastAsia="Times New Roman" w:hint="default"/>
          <w:spacing w:val="-1"/>
        </w:rPr>
        <w:t>B</w:t>
      </w:r>
      <w:r>
        <w:rPr>
          <w:spacing w:val="-1"/>
        </w:rPr>
        <w:t>、对于授予后立即可行权的现金结算的股份支付，在授予日按照公司承担负债的公允价值计入相关资产成本或当期费</w:t>
      </w:r>
      <w:r>
        <w:rPr/>
        <w:t> </w:t>
      </w:r>
      <w:r>
        <w:rPr>
          <w:spacing w:val="-2"/>
        </w:rPr>
        <w:t>用，同时计入负债（应付职工薪酬），并在结算前的每个资产负债表日和结算日对负债的公允价值重新计量，将其变动计入</w:t>
      </w:r>
      <w:r>
        <w:rPr>
          <w:spacing w:val="-67"/>
        </w:rPr>
        <w:t> </w:t>
      </w:r>
      <w:r>
        <w:rPr>
          <w:spacing w:val="-67"/>
        </w:rPr>
      </w:r>
      <w:r>
        <w:rPr/>
        <w:t>损益。</w:t>
      </w:r>
    </w:p>
    <w:p>
      <w:pPr>
        <w:spacing w:line="240" w:lineRule="auto" w:before="3"/>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41"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98" w:right="0"/>
        <w:jc w:val="left"/>
      </w:pPr>
      <w:r>
        <w:rPr/>
        <w:t>本公司在同时满足下列条件时，确认商品销售收入：</w:t>
      </w:r>
    </w:p>
    <w:p>
      <w:pPr>
        <w:pStyle w:val="BodyText"/>
        <w:spacing w:line="240" w:lineRule="auto" w:before="118"/>
        <w:ind w:left="513" w:right="0"/>
        <w:jc w:val="left"/>
      </w:pPr>
      <w:r>
        <w:rPr/>
        <w:t>①公司已将商品所有权上的主要风险和报酬转移给购买方；</w:t>
      </w:r>
    </w:p>
    <w:p>
      <w:pPr>
        <w:pStyle w:val="BodyText"/>
        <w:spacing w:line="240" w:lineRule="auto" w:before="117"/>
        <w:ind w:left="498" w:right="0"/>
        <w:jc w:val="left"/>
      </w:pPr>
      <w:r>
        <w:rPr/>
        <w:t>②不再保留通常与商品所有权相联系的继续管理权，也没有对已售出的商品实施有效控制；</w:t>
      </w:r>
    </w:p>
    <w:p>
      <w:pPr>
        <w:pStyle w:val="BodyText"/>
        <w:spacing w:line="240" w:lineRule="auto" w:before="115"/>
        <w:ind w:left="498" w:right="0"/>
        <w:jc w:val="left"/>
      </w:pPr>
      <w:r>
        <w:rPr/>
        <w:t>③收入的金额能够可靠地计量；</w:t>
      </w:r>
    </w:p>
    <w:p>
      <w:pPr>
        <w:pStyle w:val="BodyText"/>
        <w:spacing w:line="240" w:lineRule="auto" w:before="117"/>
        <w:ind w:left="498" w:right="0"/>
        <w:jc w:val="left"/>
      </w:pPr>
      <w:r>
        <w:rPr/>
        <w:t>④相关的经济利益很可能流入本公司；</w:t>
      </w:r>
    </w:p>
    <w:p>
      <w:pPr>
        <w:pStyle w:val="BodyText"/>
        <w:spacing w:line="240" w:lineRule="auto" w:before="117"/>
        <w:ind w:left="498" w:right="0"/>
        <w:jc w:val="left"/>
      </w:pPr>
      <w:r>
        <w:rPr/>
        <w:t>⑤相关的已发生或将发生的成本能够可靠地计量。</w:t>
      </w:r>
    </w:p>
    <w:p>
      <w:pPr>
        <w:spacing w:after="0" w:line="240" w:lineRule="auto"/>
        <w:jc w:val="left"/>
        <w:sectPr>
          <w:pgSz w:w="11910" w:h="16840"/>
          <w:pgMar w:header="877"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288"/>
        <w:jc w:val="left"/>
      </w:pPr>
      <w:r>
        <w:rPr>
          <w:spacing w:val="-1"/>
        </w:rPr>
        <w:t>公司预计相关的经济利益很可能流入本公司、收入的金额能够可靠地计量时，按有关合同或协议规定的收费时间和方法</w:t>
      </w:r>
      <w:r>
        <w:rPr/>
        <w:t> 计算确定。</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本公司对外提供劳务时，按以下方法确定收入：</w:t>
      </w:r>
    </w:p>
    <w:p>
      <w:pPr>
        <w:pStyle w:val="BodyText"/>
        <w:spacing w:line="316" w:lineRule="auto" w:before="76"/>
        <w:ind w:left="513" w:right="1133"/>
        <w:jc w:val="left"/>
      </w:pPr>
      <w:r>
        <w:rPr/>
        <w:t>①在提供劳务交易的结果能够可靠估计的情况下，于资产负债表日按完工百分比法确认相关的劳务收入； 提供劳务交易的结果能够可靠估计，是指同时满足下列条件：</w:t>
      </w:r>
    </w:p>
    <w:p>
      <w:pPr>
        <w:pStyle w:val="BodyText"/>
        <w:spacing w:line="300" w:lineRule="auto" w:before="19"/>
        <w:ind w:left="513" w:right="5323"/>
        <w:jc w:val="left"/>
      </w:pPr>
      <w:r>
        <w:rPr>
          <w:rFonts w:ascii="Times New Roman" w:hAnsi="Times New Roman" w:cs="Times New Roman" w:eastAsia="Times New Roman" w:hint="default"/>
        </w:rPr>
        <w:t>A</w:t>
      </w:r>
      <w:r>
        <w:rPr/>
        <w:t>、收入的金额能够可靠地计量； </w:t>
      </w:r>
      <w:r>
        <w:rPr>
          <w:rFonts w:ascii="Times New Roman" w:hAnsi="Times New Roman" w:cs="Times New Roman" w:eastAsia="Times New Roman" w:hint="default"/>
        </w:rPr>
        <w:t>B</w:t>
      </w:r>
      <w:r>
        <w:rPr/>
        <w:t>、相关的经济利益很可能流入本公司； </w:t>
      </w:r>
      <w:r>
        <w:rPr>
          <w:rFonts w:ascii="Times New Roman" w:hAnsi="Times New Roman" w:cs="Times New Roman" w:eastAsia="Times New Roman" w:hint="default"/>
        </w:rPr>
        <w:t>C</w:t>
      </w:r>
      <w:r>
        <w:rPr/>
        <w:t>、交易的完工进度能够可靠地确定； </w:t>
      </w:r>
      <w:r>
        <w:rPr>
          <w:rFonts w:ascii="Times New Roman" w:hAnsi="Times New Roman" w:cs="Times New Roman" w:eastAsia="Times New Roman" w:hint="default"/>
        </w:rPr>
        <w:t>D</w:t>
      </w:r>
      <w:r>
        <w:rPr/>
        <w:t>、交易中已发生和将发生的成本能够可靠地计量。</w:t>
      </w:r>
    </w:p>
    <w:p>
      <w:pPr>
        <w:pStyle w:val="BodyText"/>
        <w:spacing w:line="316" w:lineRule="auto" w:before="13"/>
        <w:ind w:right="0" w:firstLine="360"/>
        <w:jc w:val="left"/>
      </w:pPr>
      <w:r>
        <w:rPr/>
        <w:t>②在提供劳务交易的结果不能可靠估计的情况下，于资产负债表日按已经发生并预计能够补偿的劳务成本金额确认收</w:t>
      </w:r>
      <w:r>
        <w:rPr>
          <w:spacing w:val="2"/>
        </w:rPr>
        <w:t> </w:t>
      </w:r>
      <w:r>
        <w:rPr/>
        <w:t>入，并按相同金额结转成本；</w:t>
      </w:r>
    </w:p>
    <w:p>
      <w:pPr>
        <w:pStyle w:val="BodyText"/>
        <w:spacing w:line="240" w:lineRule="auto" w:before="19"/>
        <w:ind w:left="513" w:right="0"/>
        <w:jc w:val="left"/>
      </w:pPr>
      <w:r>
        <w:rPr/>
        <w:t>如预计已经发生的劳务成本不能得到补偿，则将已经发生的劳务成本计入当期损益，不确认提供劳务收入。</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本公司确定提供劳务交易的完工进度时选用下列方法：</w:t>
      </w:r>
    </w:p>
    <w:p>
      <w:pPr>
        <w:pStyle w:val="BodyText"/>
        <w:spacing w:line="240" w:lineRule="auto" w:before="76"/>
        <w:ind w:left="513" w:right="0"/>
        <w:jc w:val="left"/>
      </w:pPr>
      <w:r>
        <w:rPr/>
        <w:t>①已完工作的测量；</w:t>
      </w:r>
    </w:p>
    <w:p>
      <w:pPr>
        <w:pStyle w:val="BodyText"/>
        <w:spacing w:line="240" w:lineRule="auto" w:before="76"/>
        <w:ind w:left="513" w:right="0"/>
        <w:jc w:val="left"/>
      </w:pPr>
      <w:r>
        <w:rPr/>
        <w:t>②已经提供的劳务占应提供劳务总量的比例；</w:t>
      </w:r>
    </w:p>
    <w:p>
      <w:pPr>
        <w:pStyle w:val="BodyText"/>
        <w:spacing w:line="240" w:lineRule="auto" w:before="76"/>
        <w:ind w:left="513" w:right="0"/>
        <w:jc w:val="left"/>
      </w:pPr>
      <w:r>
        <w:rPr/>
        <w:t>③已经发生的成本占估计总成本的比例。</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2"/>
        <w:jc w:val="left"/>
      </w:pPr>
      <w:r>
        <w:rPr>
          <w:spacing w:val="-2"/>
        </w:rPr>
        <w:t>政府补助分为与资产相关的政府补助和与收益相关的政府补助。公司取得的、用于购建或以其他方式形成长期资产的政</w:t>
      </w:r>
      <w:r>
        <w:rPr/>
        <w:t> 府补助属于与资产相关的政府补助；除与资产相关的政府补助之外的政府补助为与收益相关的政府补助。</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0"/>
        <w:jc w:val="left"/>
      </w:pPr>
      <w:r>
        <w:rPr/>
        <w:t>①与资产相关的政府补助，分别下列情况处理： </w:t>
      </w:r>
      <w:r>
        <w:rPr>
          <w:spacing w:val="-2"/>
        </w:rPr>
        <w:t>公司取得的用于购建或以其他方式形成长期资产的政府补助，按照公价值计量，公允价值不能可靠取得的，按照名义金</w:t>
      </w:r>
    </w:p>
    <w:p>
      <w:pPr>
        <w:pStyle w:val="BodyText"/>
        <w:spacing w:line="300" w:lineRule="auto" w:before="19"/>
        <w:ind w:right="0"/>
        <w:jc w:val="left"/>
      </w:pPr>
      <w:r>
        <w:rPr>
          <w:spacing w:val="-4"/>
        </w:rPr>
        <w:t>额（</w:t>
      </w:r>
      <w:r>
        <w:rPr>
          <w:rFonts w:ascii="Times New Roman" w:hAnsi="Times New Roman" w:cs="Times New Roman" w:eastAsia="Times New Roman" w:hint="default"/>
          <w:spacing w:val="-4"/>
        </w:rPr>
        <w:t>1</w:t>
      </w:r>
      <w:r>
        <w:rPr>
          <w:rFonts w:ascii="Times New Roman" w:hAnsi="Times New Roman" w:cs="Times New Roman" w:eastAsia="Times New Roman" w:hint="default"/>
          <w:spacing w:val="21"/>
        </w:rPr>
        <w:t> </w:t>
      </w:r>
      <w:r>
        <w:rPr>
          <w:spacing w:val="-2"/>
        </w:rPr>
        <w:t>元）计量。按照名义金额计量的政府补助，直接计入当期损益。对其他与资产相关的政府补助，确认为递延收益，并</w:t>
      </w:r>
      <w:r>
        <w:rPr>
          <w:spacing w:val="-85"/>
        </w:rPr>
        <w:t> </w:t>
      </w:r>
      <w:r>
        <w:rPr>
          <w:spacing w:val="-85"/>
        </w:rPr>
      </w:r>
      <w:r>
        <w:rPr/>
        <w:t>在相关资产使用寿命内平均分配，计入当期损益。</w:t>
      </w:r>
    </w:p>
    <w:p>
      <w:pPr>
        <w:pStyle w:val="BodyText"/>
        <w:spacing w:line="309" w:lineRule="auto" w:before="31"/>
        <w:ind w:left="513" w:right="643"/>
        <w:jc w:val="left"/>
      </w:pPr>
      <w:r>
        <w:rPr/>
        <w:t>②与收益相关的政府补助，按照收到或应收的金额计量，分别下列情况处理： </w:t>
      </w:r>
      <w:r>
        <w:rPr>
          <w:rFonts w:ascii="Times New Roman" w:hAnsi="Times New Roman" w:cs="Times New Roman" w:eastAsia="Times New Roman" w:hint="default"/>
        </w:rPr>
        <w:t>A</w:t>
      </w:r>
      <w:r>
        <w:rPr/>
        <w:t>、用于补偿公司以后期间的相关费用或损失的，确认为递延收益，并在确认相关费用的期间，计入当期损益。 </w:t>
      </w:r>
      <w:r>
        <w:rPr>
          <w:rFonts w:ascii="Times New Roman" w:hAnsi="Times New Roman" w:cs="Times New Roman" w:eastAsia="Times New Roman" w:hint="default"/>
        </w:rPr>
        <w:t>B</w:t>
      </w:r>
      <w:r>
        <w:rPr/>
        <w:t>、用于补偿公司已发生的相关费用或损失的，直接计入当期损益。</w:t>
      </w:r>
    </w:p>
    <w:p>
      <w:pPr>
        <w:pStyle w:val="BodyText"/>
        <w:spacing w:line="316" w:lineRule="auto" w:before="5"/>
        <w:ind w:right="0" w:firstLine="360"/>
        <w:jc w:val="left"/>
      </w:pPr>
      <w:r>
        <w:rPr>
          <w:spacing w:val="-2"/>
        </w:rPr>
        <w:t>③政府补助的返还：本公司已确认的政府补助需要返还的，分别两种情况处理：存在相关递延收益的，冲减相关递延收</w:t>
      </w:r>
      <w:r>
        <w:rPr/>
        <w:t> 益账面余额，超出部分计入当期损益。不存在相关递延收益的，直接计入当期损益。</w:t>
      </w:r>
    </w:p>
    <w:p>
      <w:pPr>
        <w:spacing w:after="0" w:line="316" w:lineRule="auto"/>
        <w:jc w:val="left"/>
        <w:sectPr>
          <w:pgSz w:w="11910" w:h="16840"/>
          <w:pgMar w:header="877"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2"/>
        <w:rPr>
          <w:rFonts w:ascii="宋体" w:hAnsi="宋体" w:cs="宋体" w:eastAsia="宋体" w:hint="default"/>
          <w:b/>
          <w:bCs/>
          <w:sz w:val="26"/>
          <w:szCs w:val="26"/>
        </w:rPr>
      </w:pPr>
    </w:p>
    <w:p>
      <w:pPr>
        <w:pStyle w:val="BodyText"/>
        <w:spacing w:line="312" w:lineRule="auto"/>
        <w:ind w:right="130" w:firstLine="542"/>
        <w:jc w:val="both"/>
      </w:pPr>
      <w:r>
        <w:rPr>
          <w:spacing w:val="-1"/>
        </w:rPr>
        <w:t>递延所得税资产根据资产和负债的计税基础与其账面价值的差额</w:t>
      </w:r>
      <w:r>
        <w:rPr>
          <w:rFonts w:ascii="Times New Roman" w:hAnsi="Times New Roman" w:cs="Times New Roman" w:eastAsia="Times New Roman" w:hint="default"/>
          <w:spacing w:val="-1"/>
        </w:rPr>
        <w:t>(</w:t>
      </w:r>
      <w:r>
        <w:rPr>
          <w:spacing w:val="-1"/>
        </w:rPr>
        <w:t>暂时性差异</w:t>
      </w:r>
      <w:r>
        <w:rPr>
          <w:rFonts w:ascii="Times New Roman" w:hAnsi="Times New Roman" w:cs="Times New Roman" w:eastAsia="Times New Roman" w:hint="default"/>
          <w:spacing w:val="-1"/>
        </w:rPr>
        <w:t>)</w:t>
      </w:r>
      <w:r>
        <w:rPr>
          <w:spacing w:val="-1"/>
        </w:rPr>
        <w:t>计算确认，对于按照税法规定能够于以</w:t>
      </w:r>
      <w:r>
        <w:rPr/>
        <w:t> </w:t>
      </w:r>
      <w:r>
        <w:rPr>
          <w:spacing w:val="-2"/>
        </w:rPr>
        <w:t>后年度抵减应纳税所得额的可抵扣亏损，视同暂时性差异确认相应的递延所得税资产。对于既不影响会计利润也不影响应纳</w:t>
      </w:r>
      <w:r>
        <w:rPr>
          <w:spacing w:val="-64"/>
        </w:rPr>
        <w:t> </w:t>
      </w:r>
      <w:r>
        <w:rPr>
          <w:spacing w:val="-64"/>
        </w:rPr>
      </w:r>
      <w:r>
        <w:rPr/>
        <w:t>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的非企业合并的交易中产生的资产的初始确认形成的暂时性差异，不确认相应的递延所得税资产。 </w:t>
      </w:r>
      <w:r>
        <w:rPr>
          <w:spacing w:val="-2"/>
        </w:rPr>
        <w:t>递延所得税资产的确认以公司很可能取得用来抵扣可抵扣暂时性差异、可抵扣亏损和税款抵减的应纳税所得额为限。对子公</w:t>
      </w:r>
      <w:r>
        <w:rPr>
          <w:spacing w:val="-64"/>
        </w:rPr>
        <w:t> </w:t>
      </w:r>
      <w:r>
        <w:rPr>
          <w:spacing w:val="-64"/>
        </w:rPr>
      </w:r>
      <w:r>
        <w:rPr>
          <w:spacing w:val="-2"/>
        </w:rPr>
        <w:t>司及联营企业投资相关的暂时性差异产生的递延所得税资产，予以确认。但公司能够控制暂时性差异转回的时间且该暂时性</w:t>
      </w:r>
      <w:r>
        <w:rPr>
          <w:spacing w:val="-64"/>
        </w:rPr>
        <w:t> </w:t>
      </w:r>
      <w:r>
        <w:rPr>
          <w:spacing w:val="-64"/>
        </w:rPr>
      </w:r>
      <w:r>
        <w:rPr/>
        <w:t>差异在可预见的未来很可能不会转回的，不予确认。</w:t>
      </w:r>
    </w:p>
    <w:p>
      <w:pPr>
        <w:spacing w:line="240" w:lineRule="auto" w:before="1"/>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5"/>
        <w:rPr>
          <w:rFonts w:ascii="宋体" w:hAnsi="宋体" w:cs="宋体" w:eastAsia="宋体" w:hint="default"/>
          <w:b/>
          <w:bCs/>
          <w:sz w:val="26"/>
          <w:szCs w:val="26"/>
        </w:rPr>
      </w:pPr>
    </w:p>
    <w:p>
      <w:pPr>
        <w:pStyle w:val="BodyText"/>
        <w:spacing w:line="309" w:lineRule="auto"/>
        <w:ind w:right="148" w:firstLine="362"/>
        <w:jc w:val="both"/>
      </w:pPr>
      <w:r>
        <w:rPr>
          <w:spacing w:val="-1"/>
        </w:rPr>
        <w:t>递延所得税负债根据资产和负债的计税基础与其账面价值的差额</w:t>
      </w:r>
      <w:r>
        <w:rPr>
          <w:rFonts w:ascii="Times New Roman" w:hAnsi="Times New Roman" w:cs="Times New Roman" w:eastAsia="Times New Roman" w:hint="default"/>
          <w:spacing w:val="-1"/>
        </w:rPr>
        <w:t>(</w:t>
      </w:r>
      <w:r>
        <w:rPr>
          <w:spacing w:val="-1"/>
        </w:rPr>
        <w:t>暂时性差异</w:t>
      </w:r>
      <w:r>
        <w:rPr>
          <w:rFonts w:ascii="Times New Roman" w:hAnsi="Times New Roman" w:cs="Times New Roman" w:eastAsia="Times New Roman" w:hint="default"/>
          <w:spacing w:val="-1"/>
        </w:rPr>
        <w:t>)</w:t>
      </w:r>
      <w:r>
        <w:rPr>
          <w:spacing w:val="-1"/>
        </w:rPr>
        <w:t>计算确认。对于商誉的初始确认产生的暂</w:t>
      </w:r>
      <w:r>
        <w:rPr/>
        <w:t> </w:t>
      </w:r>
      <w:r>
        <w:rPr>
          <w:spacing w:val="-1"/>
        </w:rPr>
        <w:t>时性差异，不确认相应的递延所得税负债。对于既不影响会计利润也不影响应纳税所得额</w:t>
      </w:r>
      <w:r>
        <w:rPr>
          <w:rFonts w:ascii="Times New Roman" w:hAnsi="Times New Roman" w:cs="Times New Roman" w:eastAsia="Times New Roman" w:hint="default"/>
          <w:spacing w:val="-1"/>
        </w:rPr>
        <w:t>(</w:t>
      </w:r>
      <w:r>
        <w:rPr>
          <w:spacing w:val="-1"/>
        </w:rPr>
        <w:t>或可抵扣亏损</w:t>
      </w:r>
      <w:r>
        <w:rPr>
          <w:rFonts w:ascii="Times New Roman" w:hAnsi="Times New Roman" w:cs="Times New Roman" w:eastAsia="Times New Roman" w:hint="default"/>
          <w:spacing w:val="-1"/>
        </w:rPr>
        <w:t>)</w:t>
      </w:r>
      <w:r>
        <w:rPr>
          <w:spacing w:val="-1"/>
        </w:rPr>
        <w:t>的非企业合并的交</w:t>
      </w:r>
      <w:r>
        <w:rPr>
          <w:spacing w:val="-56"/>
        </w:rPr>
        <w:t> </w:t>
      </w:r>
      <w:r>
        <w:rPr>
          <w:spacing w:val="-2"/>
        </w:rPr>
        <w:t>易中产生的资产或负债的初始确认形成的暂时性差异，不确认相应的递延所得税负债。对子公司及联营企业投资相关的暂时</w:t>
      </w:r>
      <w:r>
        <w:rPr>
          <w:spacing w:val="-64"/>
        </w:rPr>
        <w:t> </w:t>
      </w:r>
      <w:r>
        <w:rPr>
          <w:spacing w:val="-64"/>
        </w:rPr>
      </w:r>
      <w:r>
        <w:rPr>
          <w:spacing w:val="-2"/>
        </w:rPr>
        <w:t>性差异产生的递延所得税负债，予以确认。但公司能够控制暂时性差异转回的时间且该暂时性差异在可预见的未来很可能不</w:t>
      </w:r>
      <w:r>
        <w:rPr>
          <w:spacing w:val="-64"/>
        </w:rPr>
        <w:t> </w:t>
      </w:r>
      <w:r>
        <w:rPr>
          <w:spacing w:val="-64"/>
        </w:rPr>
      </w:r>
      <w:r>
        <w:rPr/>
        <w:t>会转回的，不予确认。</w:t>
      </w:r>
    </w:p>
    <w:p>
      <w:pPr>
        <w:spacing w:line="240" w:lineRule="auto" w:before="0"/>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41" w:right="0"/>
        <w:jc w:val="left"/>
      </w:pPr>
      <w:r>
        <w:rPr/>
        <w:t>经营租赁的租金在租赁期内的各个期间按直线法计入相关资产成本或当期损益。</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288"/>
        <w:jc w:val="left"/>
      </w:pPr>
      <w:r>
        <w:rPr>
          <w:spacing w:val="-1"/>
        </w:rPr>
        <w:t>在租赁期开始日，公司将租赁开始日租赁资产公允价值与最低租赁付款额现值中较低者作为租入资产的入账价值，将最</w:t>
      </w:r>
      <w:r>
        <w:rPr/>
        <w:t> 低租赁付款额作为长期应付款的入账价值，其差额作为未确认融资费用。</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41"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同时满足下列条件的固定资产、无形资产和其他非流动资产划分为持有待售资产：</w:t>
      </w:r>
    </w:p>
    <w:p>
      <w:pPr>
        <w:pStyle w:val="BodyText"/>
        <w:spacing w:line="240" w:lineRule="auto" w:before="76"/>
        <w:ind w:left="513" w:right="0"/>
        <w:jc w:val="left"/>
      </w:pPr>
      <w:r>
        <w:rPr/>
        <w:t>①公司已经就处置该非流动资产作出决议；</w:t>
      </w:r>
    </w:p>
    <w:p>
      <w:pPr>
        <w:pStyle w:val="BodyText"/>
        <w:spacing w:line="240" w:lineRule="auto" w:before="76"/>
        <w:ind w:left="513" w:right="0"/>
        <w:jc w:val="left"/>
      </w:pPr>
      <w:r>
        <w:rPr/>
        <w:t>②公司已经与受让方签订了不可撤销的转让协议</w:t>
      </w:r>
    </w:p>
    <w:p>
      <w:pPr>
        <w:pStyle w:val="BodyText"/>
        <w:spacing w:line="240" w:lineRule="auto" w:before="76"/>
        <w:ind w:left="532" w:right="0"/>
        <w:jc w:val="left"/>
      </w:pPr>
      <w:r>
        <w:rPr/>
        <w:t>③该项转让将在一年内完成。</w:t>
      </w:r>
    </w:p>
    <w:p>
      <w:pPr>
        <w:spacing w:after="0" w:line="240" w:lineRule="auto"/>
        <w:jc w:val="left"/>
        <w:sectPr>
          <w:pgSz w:w="11910" w:h="16840"/>
          <w:pgMar w:header="877"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360"/>
        <w:jc w:val="left"/>
      </w:pPr>
      <w:r>
        <w:rPr>
          <w:spacing w:val="-2"/>
        </w:rPr>
        <w:t>持有待售资产不计提折旧或进行摊销，按照账面价值与公允价值减去处置费用后的净额孰低进行计量。公允价值减去处</w:t>
      </w:r>
      <w:r>
        <w:rPr/>
        <w:t> 置费用的净额低于原账面价值的金额，作为资产减值损失计入当期损益。</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22" w:right="9303"/>
        <w:jc w:val="center"/>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31</w:t>
      </w:r>
      <w:r>
        <w:rPr/>
        <w:t>、套期会计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22" w:right="9303"/>
        <w:jc w:val="center"/>
      </w:pPr>
      <w:r>
        <w:rPr/>
        <w:t>无</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本报告期主要会计政策、会计估计是否变更</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本报告期主要会计政策是否变更</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本报告期主要会计估计是否变更</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本报告期是否发现前期会计差错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本报告期是否发现采用追溯重述法的前期会计差错</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本报告期是否发现采用未来适用法的前期会计差错</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877"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34</w:t>
      </w:r>
      <w:r>
        <w:rPr/>
        <w:t>、其他主要会计政策、会计估计和财务报表编制方法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41"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五、税项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493"/>
        <w:gridCol w:w="3036"/>
        <w:gridCol w:w="3027"/>
      </w:tblGrid>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销售货物或提供应税劳务收入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36" w:type="dxa"/>
            <w:tcBorders>
              <w:top w:val="single" w:sz="4" w:space="0" w:color="000000"/>
              <w:left w:val="single" w:sz="13" w:space="0" w:color="D2D2D2"/>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r>
      <w:tr>
        <w:trPr>
          <w:trHeight w:val="404"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注</w:t>
            </w:r>
            <w:r>
              <w:rPr>
                <w:rFonts w:ascii="Times New Roman" w:hAnsi="Times New Roman" w:cs="Times New Roman" w:eastAsia="Times New Roman" w:hint="default"/>
                <w:sz w:val="18"/>
                <w:szCs w:val="18"/>
              </w:rPr>
              <w:t>(3)</w:t>
            </w: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0"/>
        <w:jc w:val="left"/>
      </w:pPr>
      <w:r>
        <w:rPr/>
        <w:t>各分公司、分厂执行的所得税税率</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91" w:firstLine="360"/>
        <w:jc w:val="both"/>
      </w:pPr>
      <w:r>
        <w:rPr>
          <w:spacing w:val="6"/>
        </w:rPr>
        <w:t>注</w:t>
      </w:r>
      <w:r>
        <w:rPr>
          <w:rFonts w:ascii="Times New Roman" w:hAnsi="Times New Roman" w:cs="Times New Roman" w:eastAsia="Times New Roman" w:hint="default"/>
          <w:spacing w:val="6"/>
        </w:rPr>
        <w:t>(1)</w:t>
      </w:r>
      <w:r>
        <w:rPr>
          <w:spacing w:val="6"/>
        </w:rPr>
        <w:t>：根据国发</w:t>
      </w:r>
      <w:r>
        <w:rPr>
          <w:rFonts w:ascii="Times New Roman" w:hAnsi="Times New Roman" w:cs="Times New Roman" w:eastAsia="Times New Roman" w:hint="default"/>
          <w:spacing w:val="6"/>
        </w:rPr>
        <w:t>[2011]4</w:t>
      </w:r>
      <w:r>
        <w:rPr>
          <w:spacing w:val="6"/>
        </w:rPr>
        <w:t>号文《国务院关于印发进一步鼓励软件产业和集成电路产业发展若干政策的通知》和财税</w:t>
      </w:r>
      <w:r>
        <w:rPr/>
        <w:t> </w:t>
      </w:r>
      <w:r>
        <w:rPr>
          <w:rFonts w:ascii="Times New Roman" w:hAnsi="Times New Roman" w:cs="Times New Roman" w:eastAsia="Times New Roman" w:hint="default"/>
        </w:rPr>
        <w:t>[2011]100</w:t>
      </w:r>
      <w:r>
        <w:rPr/>
        <w:t>号文《财政部国家税务总局关于软件产品增值税政策的通知》，本公司主营业务为</w:t>
      </w:r>
      <w:r>
        <w:rPr>
          <w:rFonts w:ascii="Times New Roman" w:hAnsi="Times New Roman" w:cs="Times New Roman" w:eastAsia="Times New Roman" w:hint="default"/>
        </w:rPr>
        <w:t>32</w:t>
      </w:r>
      <w:r>
        <w:rPr/>
        <w:t>位嵌入式</w:t>
      </w:r>
      <w:r>
        <w:rPr>
          <w:rFonts w:ascii="Times New Roman" w:hAnsi="Times New Roman" w:cs="Times New Roman" w:eastAsia="Times New Roman" w:hint="default"/>
        </w:rPr>
        <w:t>CPU</w:t>
      </w:r>
      <w:r>
        <w:rPr/>
        <w:t>芯片及配套软</w:t>
      </w:r>
      <w:r>
        <w:rPr>
          <w:spacing w:val="-23"/>
        </w:rPr>
        <w:t> </w:t>
      </w:r>
      <w:r>
        <w:rPr>
          <w:spacing w:val="-23"/>
        </w:rPr>
      </w:r>
      <w:r>
        <w:rPr/>
        <w:t>件平台的研发和销售的，符合继续享受</w:t>
      </w:r>
      <w:r>
        <w:rPr>
          <w:rFonts w:ascii="Times New Roman" w:hAnsi="Times New Roman" w:cs="Times New Roman" w:eastAsia="Times New Roman" w:hint="default"/>
        </w:rPr>
        <w:t>“</w:t>
      </w:r>
      <w:r>
        <w:rPr/>
        <w:t>增值税一般纳税人销售其自行开发生产的软件产品，按</w:t>
      </w:r>
      <w:r>
        <w:rPr>
          <w:rFonts w:ascii="Times New Roman" w:hAnsi="Times New Roman" w:cs="Times New Roman" w:eastAsia="Times New Roman" w:hint="default"/>
        </w:rPr>
        <w:t>17%</w:t>
      </w:r>
      <w:r>
        <w:rPr/>
        <w:t>的法定税率征收增值税</w:t>
      </w:r>
      <w:r>
        <w:rPr>
          <w:spacing w:val="-47"/>
        </w:rPr>
        <w:t> </w:t>
      </w:r>
      <w:r>
        <w:rPr>
          <w:spacing w:val="-47"/>
        </w:rPr>
      </w:r>
      <w:r>
        <w:rPr/>
        <w:t>后，对其增值税实际税负超过</w:t>
      </w:r>
      <w:r>
        <w:rPr>
          <w:rFonts w:ascii="Times New Roman" w:hAnsi="Times New Roman" w:cs="Times New Roman" w:eastAsia="Times New Roman" w:hint="default"/>
        </w:rPr>
        <w:t>3%</w:t>
      </w:r>
      <w:r>
        <w:rPr/>
        <w:t>的部分实行即征即退政策</w:t>
      </w:r>
      <w:r>
        <w:rPr>
          <w:rFonts w:ascii="Times New Roman" w:hAnsi="Times New Roman" w:cs="Times New Roman" w:eastAsia="Times New Roman" w:hint="default"/>
        </w:rPr>
        <w:t>”</w:t>
      </w:r>
      <w:r>
        <w:rPr/>
        <w:t>的条件；</w:t>
      </w:r>
    </w:p>
    <w:p>
      <w:pPr>
        <w:pStyle w:val="BodyText"/>
        <w:spacing w:line="300" w:lineRule="auto" w:before="53"/>
        <w:ind w:right="191" w:firstLine="360"/>
        <w:jc w:val="both"/>
      </w:pPr>
      <w:r>
        <w:rPr>
          <w:spacing w:val="-1"/>
        </w:rPr>
        <w:t>根据关于印发《营业税改征增值税试点方案》的通知（财税</w:t>
      </w:r>
      <w:r>
        <w:rPr>
          <w:rFonts w:ascii="Times New Roman" w:hAnsi="Times New Roman" w:cs="Times New Roman" w:eastAsia="Times New Roman" w:hint="default"/>
          <w:spacing w:val="-1"/>
        </w:rPr>
        <w:t>[2011]110</w:t>
      </w:r>
      <w:r>
        <w:rPr>
          <w:spacing w:val="-1"/>
        </w:rPr>
        <w:t>号）和《财政部国家税务总局关于在北京等</w:t>
      </w:r>
      <w:r>
        <w:rPr>
          <w:rFonts w:ascii="Times New Roman" w:hAnsi="Times New Roman" w:cs="Times New Roman" w:eastAsia="Times New Roman" w:hint="default"/>
          <w:spacing w:val="-1"/>
        </w:rPr>
        <w:t>8</w:t>
      </w:r>
      <w:r>
        <w:rPr>
          <w:spacing w:val="-1"/>
        </w:rPr>
        <w:t>省市</w:t>
      </w:r>
      <w:r>
        <w:rPr/>
        <w:t> </w:t>
      </w:r>
      <w:r>
        <w:rPr>
          <w:spacing w:val="-1"/>
        </w:rPr>
        <w:t>开展交通运输业和部分现代服务业营业税改征增值税试点的通知》（财税</w:t>
      </w:r>
      <w:r>
        <w:rPr>
          <w:rFonts w:ascii="Times New Roman" w:hAnsi="Times New Roman" w:cs="Times New Roman" w:eastAsia="Times New Roman" w:hint="default"/>
          <w:spacing w:val="-1"/>
        </w:rPr>
        <w:t>[2012]71</w:t>
      </w:r>
      <w:r>
        <w:rPr>
          <w:spacing w:val="-1"/>
        </w:rPr>
        <w:t>号），</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w:t>
      </w:r>
      <w:r>
        <w:rPr>
          <w:spacing w:val="-1"/>
        </w:rPr>
        <w:t>日起，本公司的技术服</w:t>
      </w:r>
      <w:r>
        <w:rPr>
          <w:spacing w:val="-57"/>
        </w:rPr>
        <w:t> </w:t>
      </w:r>
      <w:r>
        <w:rPr>
          <w:spacing w:val="-57"/>
        </w:rPr>
      </w:r>
      <w:r>
        <w:rPr/>
        <w:t>务收入由原来按应税收入的</w:t>
      </w:r>
      <w:r>
        <w:rPr>
          <w:rFonts w:ascii="Times New Roman" w:hAnsi="Times New Roman" w:cs="Times New Roman" w:eastAsia="Times New Roman" w:hint="default"/>
        </w:rPr>
        <w:t>5%</w:t>
      </w:r>
      <w:r>
        <w:rPr/>
        <w:t>计缴营业税，改为按应税收入的</w:t>
      </w:r>
      <w:r>
        <w:rPr>
          <w:rFonts w:ascii="Times New Roman" w:hAnsi="Times New Roman" w:cs="Times New Roman" w:eastAsia="Times New Roman" w:hint="default"/>
        </w:rPr>
        <w:t>6%</w:t>
      </w:r>
      <w:r>
        <w:rPr/>
        <w:t>计缴增值税；</w:t>
      </w:r>
    </w:p>
    <w:p>
      <w:pPr>
        <w:pStyle w:val="BodyText"/>
        <w:spacing w:line="309" w:lineRule="auto" w:before="53"/>
        <w:ind w:right="103" w:firstLine="360"/>
        <w:jc w:val="both"/>
      </w:pPr>
      <w:r>
        <w:rPr>
          <w:spacing w:val="-1"/>
        </w:rPr>
        <w:t>注</w:t>
      </w:r>
      <w:r>
        <w:rPr>
          <w:rFonts w:ascii="Times New Roman" w:hAnsi="Times New Roman" w:cs="Times New Roman" w:eastAsia="Times New Roman" w:hint="default"/>
          <w:spacing w:val="-1"/>
        </w:rPr>
        <w:t>(2)</w:t>
      </w:r>
      <w:r>
        <w:rPr>
          <w:spacing w:val="-1"/>
        </w:rPr>
        <w:t>：根据财政部、国家税务总局颁布的</w:t>
      </w:r>
      <w:r>
        <w:rPr>
          <w:rFonts w:ascii="Times New Roman" w:hAnsi="Times New Roman" w:cs="Times New Roman" w:eastAsia="Times New Roman" w:hint="default"/>
          <w:spacing w:val="-1"/>
        </w:rPr>
        <w:t>“</w:t>
      </w:r>
      <w:r>
        <w:rPr>
          <w:spacing w:val="-1"/>
        </w:rPr>
        <w:t>财税字</w:t>
      </w:r>
      <w:r>
        <w:rPr>
          <w:rFonts w:ascii="Times New Roman" w:hAnsi="Times New Roman" w:cs="Times New Roman" w:eastAsia="Times New Roman" w:hint="default"/>
          <w:spacing w:val="-1"/>
        </w:rPr>
        <w:t>[1999]273</w:t>
      </w:r>
      <w:r>
        <w:rPr>
          <w:spacing w:val="-1"/>
        </w:rPr>
        <w:t>号</w:t>
      </w:r>
      <w:r>
        <w:rPr>
          <w:rFonts w:ascii="Times New Roman" w:hAnsi="Times New Roman" w:cs="Times New Roman" w:eastAsia="Times New Roman" w:hint="default"/>
          <w:spacing w:val="-1"/>
        </w:rPr>
        <w:t>”</w:t>
      </w:r>
      <w:r>
        <w:rPr>
          <w:spacing w:val="-1"/>
        </w:rPr>
        <w:t>《关于贯彻落实〈中共中央、国务院关于加强技术创新，</w:t>
      </w:r>
      <w:r>
        <w:rPr/>
        <w:t> </w:t>
      </w:r>
      <w:r>
        <w:rPr>
          <w:spacing w:val="-4"/>
        </w:rPr>
        <w:t>发展高科技，实现产业化的决定〉有关税收问题的通知》规定，本公司从事技术转让、技术开发业务和与之相关的技术咨询、</w:t>
      </w:r>
      <w:r>
        <w:rPr>
          <w:spacing w:val="-46"/>
        </w:rPr>
        <w:t> </w:t>
      </w:r>
      <w:r>
        <w:rPr>
          <w:spacing w:val="-46"/>
        </w:rPr>
      </w:r>
      <w:r>
        <w:rPr/>
        <w:t>技术服务业务取得的收入，符合条件的，免征营业税；</w:t>
      </w:r>
    </w:p>
    <w:p>
      <w:pPr>
        <w:pStyle w:val="BodyText"/>
        <w:spacing w:line="300" w:lineRule="auto" w:before="62"/>
        <w:ind w:right="103" w:firstLine="360"/>
        <w:jc w:val="left"/>
      </w:pPr>
      <w:r>
        <w:rPr>
          <w:spacing w:val="-3"/>
        </w:rPr>
        <w:t>注</w:t>
      </w:r>
      <w:r>
        <w:rPr>
          <w:rFonts w:ascii="Times New Roman" w:hAnsi="Times New Roman" w:cs="Times New Roman" w:eastAsia="Times New Roman" w:hint="default"/>
          <w:spacing w:val="-3"/>
        </w:rPr>
        <w:t>(3)</w:t>
      </w:r>
      <w:r>
        <w:rPr>
          <w:spacing w:val="-3"/>
        </w:rPr>
        <w:t>：本公司于</w:t>
      </w:r>
      <w:r>
        <w:rPr>
          <w:rFonts w:ascii="Times New Roman" w:hAnsi="Times New Roman" w:cs="Times New Roman" w:eastAsia="Times New Roman" w:hint="default"/>
          <w:spacing w:val="-3"/>
        </w:rPr>
        <w:t>2012</w:t>
      </w:r>
      <w:r>
        <w:rPr>
          <w:spacing w:val="-3"/>
        </w:rPr>
        <w:t>年取得国家发展和改革委员会、工业和信息化部、财政部、商务部、国家税务总局联合下发的《关</w:t>
      </w:r>
      <w:r>
        <w:rPr/>
        <w:t> 于认定</w:t>
      </w:r>
      <w:r>
        <w:rPr>
          <w:rFonts w:ascii="Times New Roman" w:hAnsi="Times New Roman" w:cs="Times New Roman" w:eastAsia="Times New Roman" w:hint="default"/>
        </w:rPr>
        <w:t>2011-2012</w:t>
      </w:r>
      <w:r>
        <w:rPr/>
        <w:t>年度国家规划布局内重点软件企业和集成电路设计企业的通知》（发改高技</w:t>
      </w:r>
      <w:r>
        <w:rPr>
          <w:rFonts w:ascii="Times New Roman" w:hAnsi="Times New Roman" w:cs="Times New Roman" w:eastAsia="Times New Roman" w:hint="default"/>
        </w:rPr>
        <w:t>[2013]234</w:t>
      </w:r>
      <w:r>
        <w:rPr/>
        <w:t>号），本公司被认定 为</w:t>
      </w:r>
      <w:r>
        <w:rPr>
          <w:rFonts w:ascii="Times New Roman" w:hAnsi="Times New Roman" w:cs="Times New Roman" w:eastAsia="Times New Roman" w:hint="default"/>
        </w:rPr>
        <w:t>2011-2012</w:t>
      </w:r>
      <w:r>
        <w:rPr/>
        <w:t>年度国家规划布局内重点集成电路设计企业。根据《关于进一步鼓励软件产业和集成电路产业发展企业所得税</w:t>
      </w:r>
      <w:r>
        <w:rPr>
          <w:spacing w:val="-63"/>
        </w:rPr>
        <w:t> </w:t>
      </w:r>
      <w:r>
        <w:rPr>
          <w:spacing w:val="-63"/>
        </w:rPr>
      </w:r>
      <w:r>
        <w:rPr>
          <w:spacing w:val="-3"/>
        </w:rPr>
        <w:t>政策的通知》（财税</w:t>
      </w:r>
      <w:r>
        <w:rPr>
          <w:rFonts w:ascii="Times New Roman" w:hAnsi="Times New Roman" w:cs="Times New Roman" w:eastAsia="Times New Roman" w:hint="default"/>
          <w:spacing w:val="-3"/>
        </w:rPr>
        <w:t>[2012]27</w:t>
      </w:r>
      <w:r>
        <w:rPr>
          <w:spacing w:val="-3"/>
        </w:rPr>
        <w:t>号）的规定，国家规划布局内的重点软件企业和集成电路设计企业，如当年未享受免税优惠的，</w:t>
      </w:r>
      <w:r>
        <w:rPr>
          <w:spacing w:val="-33"/>
        </w:rPr>
        <w:t> </w:t>
      </w:r>
      <w:r>
        <w:rPr>
          <w:spacing w:val="-33"/>
        </w:rPr>
      </w:r>
      <w:r>
        <w:rPr/>
        <w:t>可减按</w:t>
      </w:r>
      <w:r>
        <w:rPr>
          <w:rFonts w:ascii="Times New Roman" w:hAnsi="Times New Roman" w:cs="Times New Roman" w:eastAsia="Times New Roman" w:hint="default"/>
        </w:rPr>
        <w:t>10%</w:t>
      </w:r>
      <w:r>
        <w:rPr/>
        <w:t>的税率征收企业所得税。</w:t>
      </w:r>
      <w:r>
        <w:rPr>
          <w:rFonts w:ascii="Times New Roman" w:hAnsi="Times New Roman" w:cs="Times New Roman" w:eastAsia="Times New Roman" w:hint="default"/>
        </w:rPr>
        <w:t>2012</w:t>
      </w:r>
      <w:r>
        <w:rPr/>
        <w:t>年度公司按应纳税所得额的</w:t>
      </w:r>
      <w:r>
        <w:rPr>
          <w:rFonts w:ascii="Times New Roman" w:hAnsi="Times New Roman" w:cs="Times New Roman" w:eastAsia="Times New Roman" w:hint="default"/>
        </w:rPr>
        <w:t>10%</w:t>
      </w:r>
      <w:r>
        <w:rPr/>
        <w:t>计算缴纳企业所得税。</w:t>
      </w:r>
    </w:p>
    <w:p>
      <w:pPr>
        <w:pStyle w:val="BodyText"/>
        <w:spacing w:line="316" w:lineRule="auto" w:before="53"/>
        <w:ind w:right="194" w:firstLine="360"/>
        <w:jc w:val="both"/>
      </w:pPr>
      <w:r>
        <w:rPr/>
        <w:t>本公司子公司深圳君正时代集成电路有限公司按</w:t>
      </w:r>
      <w:r>
        <w:rPr>
          <w:rFonts w:ascii="宋体" w:hAnsi="宋体" w:cs="宋体" w:eastAsia="宋体" w:hint="default"/>
        </w:rPr>
        <w:t>25%</w:t>
      </w:r>
      <w:r>
        <w:rPr/>
        <w:t>税率缴纳企业所得税。本公司子公司北京君正集成电路（香港）集 团有限公司按</w:t>
      </w:r>
      <w:r>
        <w:rPr>
          <w:rFonts w:ascii="宋体" w:hAnsi="宋体" w:cs="宋体" w:eastAsia="宋体" w:hint="default"/>
        </w:rPr>
        <w:t>16.5%</w:t>
      </w:r>
      <w:r>
        <w:rPr/>
        <w:t>税率缴纳企业所得税。</w:t>
      </w:r>
    </w:p>
    <w:p>
      <w:pPr>
        <w:spacing w:after="0" w:line="316" w:lineRule="auto"/>
        <w:jc w:val="both"/>
        <w:sectPr>
          <w:pgSz w:w="11910" w:h="16840"/>
          <w:pgMar w:header="877" w:footer="980" w:top="1060" w:bottom="1160" w:left="980" w:right="940"/>
        </w:sectPr>
      </w:pPr>
    </w:p>
    <w:p>
      <w:pPr>
        <w:spacing w:line="240" w:lineRule="auto" w:before="10"/>
        <w:rPr>
          <w:rFonts w:ascii="宋体" w:hAnsi="宋体" w:cs="宋体" w:eastAsia="宋体" w:hint="default"/>
          <w:sz w:val="24"/>
          <w:szCs w:val="24"/>
        </w:rPr>
      </w:pPr>
    </w:p>
    <w:p>
      <w:pPr>
        <w:spacing w:line="487" w:lineRule="auto" w:before="36"/>
        <w:ind w:left="152" w:right="664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spacing w:val="-104"/>
          <w:sz w:val="21"/>
          <w:szCs w:val="21"/>
        </w:rPr>
        <w:t> </w:t>
      </w:r>
      <w:r>
        <w:rPr>
          <w:rFonts w:ascii="宋体" w:hAnsi="宋体" w:cs="宋体" w:eastAsia="宋体" w:hint="default"/>
          <w:b/>
          <w:bCs/>
          <w:sz w:val="24"/>
          <w:szCs w:val="24"/>
        </w:rPr>
        <w:t>六、企业合并及合并财务报表</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pStyle w:val="Heading4"/>
        <w:spacing w:line="240" w:lineRule="auto" w:before="84"/>
        <w:ind w:right="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5706"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2"/>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414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9"/>
              <w:ind w:left="24" w:right="108"/>
              <w:jc w:val="both"/>
              <w:rPr>
                <w:rFonts w:ascii="宋体" w:hAnsi="宋体" w:cs="宋体" w:eastAsia="宋体" w:hint="default"/>
                <w:sz w:val="18"/>
                <w:szCs w:val="18"/>
              </w:rPr>
            </w:pPr>
            <w:r>
              <w:rPr>
                <w:rFonts w:ascii="宋体" w:hAnsi="宋体" w:cs="宋体" w:eastAsia="宋体" w:hint="default"/>
                <w:sz w:val="18"/>
                <w:szCs w:val="18"/>
              </w:rPr>
              <w:t>深圳君 正时代 集成电 路有限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23" w:right="106"/>
              <w:jc w:val="left"/>
              <w:rPr>
                <w:rFonts w:ascii="宋体" w:hAnsi="宋体" w:cs="宋体" w:eastAsia="宋体" w:hint="default"/>
                <w:sz w:val="18"/>
                <w:szCs w:val="18"/>
              </w:rPr>
            </w:pPr>
            <w:r>
              <w:rPr>
                <w:rFonts w:ascii="宋体" w:hAnsi="宋体" w:cs="宋体" w:eastAsia="宋体" w:hint="default"/>
                <w:sz w:val="18"/>
                <w:szCs w:val="18"/>
              </w:rPr>
              <w:t>集成电 路开 发、销 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半导体 集成电 路芯片 及计算 机软硬 件的技 术开 发、设 计、销 售、技 术咨询 及技术 服务。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通过设立或投资等方式取得的子公司的其他说明</w:t>
      </w:r>
    </w:p>
    <w:p>
      <w:pPr>
        <w:spacing w:after="0" w:line="240" w:lineRule="auto"/>
        <w:jc w:val="left"/>
        <w:sectPr>
          <w:pgSz w:w="11910" w:h="16840"/>
          <w:pgMar w:header="877"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708"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40"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3209"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2" w:right="108"/>
              <w:jc w:val="both"/>
              <w:rPr>
                <w:rFonts w:ascii="宋体" w:hAnsi="宋体" w:cs="宋体" w:eastAsia="宋体" w:hint="default"/>
                <w:sz w:val="18"/>
                <w:szCs w:val="18"/>
              </w:rPr>
            </w:pPr>
            <w:r>
              <w:rPr>
                <w:rFonts w:ascii="宋体" w:hAnsi="宋体" w:cs="宋体" w:eastAsia="宋体" w:hint="default"/>
                <w:sz w:val="18"/>
                <w:szCs w:val="18"/>
              </w:rPr>
              <w:t>北京君 正集成 电路</w:t>
            </w:r>
          </w:p>
          <w:p>
            <w:pPr>
              <w:pStyle w:val="TableParagraph"/>
              <w:spacing w:line="316" w:lineRule="auto" w:before="17"/>
              <w:ind w:left="22" w:right="108"/>
              <w:jc w:val="left"/>
              <w:rPr>
                <w:rFonts w:ascii="宋体" w:hAnsi="宋体" w:cs="宋体" w:eastAsia="宋体" w:hint="default"/>
                <w:sz w:val="18"/>
                <w:szCs w:val="18"/>
              </w:rPr>
            </w:pPr>
            <w:r>
              <w:rPr>
                <w:rFonts w:ascii="宋体" w:hAnsi="宋体" w:cs="宋体" w:eastAsia="宋体" w:hint="default"/>
                <w:sz w:val="18"/>
                <w:szCs w:val="18"/>
              </w:rPr>
              <w:t>（香 港）集 团有限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集成电 路开 发、销 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19"/>
              <w:ind w:left="23"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万港 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半导体 集成电 路芯片 及计算 机软硬 件的技 术开 发、设 计、销 售</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通过同一控制下企业合并取得的子公司的其他说明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合并报表范围发生变更说明</w:t>
      </w:r>
    </w:p>
    <w:p>
      <w:pPr>
        <w:spacing w:after="0" w:line="240" w:lineRule="auto"/>
        <w:jc w:val="left"/>
        <w:sectPr>
          <w:pgSz w:w="11910" w:h="16840"/>
          <w:pgMar w:header="877" w:footer="980" w:top="1060" w:bottom="1160" w:left="980" w:right="980"/>
        </w:sectPr>
      </w:pPr>
    </w:p>
    <w:p>
      <w:pPr>
        <w:spacing w:line="240" w:lineRule="auto" w:before="9"/>
        <w:rPr>
          <w:rFonts w:ascii="宋体" w:hAnsi="宋体" w:cs="宋体" w:eastAsia="宋体" w:hint="default"/>
          <w:sz w:val="25"/>
          <w:szCs w:val="25"/>
        </w:rPr>
      </w:pPr>
    </w:p>
    <w:p>
      <w:pPr>
        <w:spacing w:line="547" w:lineRule="auto" w:before="44"/>
        <w:ind w:left="152" w:right="28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、报告期内新纳入合并范围的主体和报告期内不再纳入合并范围的主体</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sz w:val="18"/>
          <w:szCs w:val="18"/>
        </w:rPr>
        <w:t>无。</w:t>
      </w:r>
    </w:p>
    <w:p>
      <w:pPr>
        <w:pStyle w:val="Heading4"/>
        <w:spacing w:line="240" w:lineRule="auto" w:before="123"/>
        <w:ind w:right="0"/>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10</w:t>
      </w:r>
      <w:r>
        <w:rPr/>
        <w:t>、境外经营实体主要报表项目的折算汇率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七、合并财务报表主要项目注释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8"/>
        <w:gridCol w:w="1328"/>
        <w:gridCol w:w="918"/>
        <w:gridCol w:w="1485"/>
        <w:gridCol w:w="1318"/>
        <w:gridCol w:w="917"/>
        <w:gridCol w:w="1606"/>
      </w:tblGrid>
      <w:tr>
        <w:trPr>
          <w:trHeight w:val="204"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3" w:hRule="exact"/>
        </w:trPr>
        <w:tc>
          <w:tcPr>
            <w:tcW w:w="19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31" w:type="dxa"/>
            <w:gridSpan w:val="3"/>
            <w:vMerge/>
            <w:tcBorders>
              <w:left w:val="single" w:sz="4" w:space="0" w:color="000000"/>
              <w:bottom w:val="single" w:sz="4" w:space="0" w:color="000000"/>
              <w:right w:val="single" w:sz="4" w:space="0" w:color="000000"/>
            </w:tcBorders>
            <w:shd w:val="clear" w:color="auto" w:fill="D2D2D2"/>
          </w:tcPr>
          <w:p>
            <w:pPr/>
          </w:p>
        </w:tc>
        <w:tc>
          <w:tcPr>
            <w:tcW w:w="384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8"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485"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38,495.26</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88" w:right="0"/>
              <w:jc w:val="left"/>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68,265.14</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38,495.26</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88" w:right="0"/>
              <w:jc w:val="left"/>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68,265.14</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929,743,683.48</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88" w:right="0"/>
              <w:jc w:val="left"/>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984,567,445.73</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929,530,203.45</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88" w:right="0"/>
              <w:jc w:val="left"/>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984,459,174.53</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5" w:right="0"/>
              <w:jc w:val="left"/>
              <w:rPr>
                <w:rFonts w:ascii="Times New Roman" w:hAnsi="Times New Roman" w:cs="Times New Roman" w:eastAsia="Times New Roman" w:hint="default"/>
                <w:sz w:val="18"/>
                <w:szCs w:val="18"/>
              </w:rPr>
            </w:pPr>
            <w:r>
              <w:rPr>
                <w:rFonts w:ascii="Times New Roman"/>
                <w:sz w:val="18"/>
              </w:rPr>
              <w:t>33,963.89</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629%</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213,480.03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3" w:right="0"/>
              <w:jc w:val="left"/>
              <w:rPr>
                <w:rFonts w:ascii="Times New Roman" w:hAnsi="Times New Roman" w:cs="Times New Roman" w:eastAsia="Times New Roman" w:hint="default"/>
                <w:sz w:val="18"/>
                <w:szCs w:val="18"/>
              </w:rPr>
            </w:pPr>
            <w:r>
              <w:rPr>
                <w:rFonts w:ascii="Times New Roman"/>
                <w:sz w:val="18"/>
              </w:rPr>
              <w:t>17,183.45</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630%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108,271.20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8"/>
        <w:gridCol w:w="1325"/>
        <w:gridCol w:w="931"/>
        <w:gridCol w:w="1463"/>
        <w:gridCol w:w="1326"/>
        <w:gridCol w:w="920"/>
        <w:gridCol w:w="1606"/>
      </w:tblGrid>
      <w:tr>
        <w:trPr>
          <w:trHeight w:val="404"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929,782,178.74</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984,635,710.87</w:t>
            </w:r>
          </w:p>
        </w:tc>
      </w:tr>
    </w:tbl>
    <w:p>
      <w:pPr>
        <w:pStyle w:val="BodyText"/>
        <w:spacing w:line="240" w:lineRule="auto" w:before="49"/>
        <w:ind w:right="0"/>
        <w:jc w:val="left"/>
      </w:pPr>
      <w:r>
        <w:rPr/>
        <w:t>如有因抵押、质押或冻结等对使用有限制、存放在境外、有潜在回收风险的款项应单独说明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）交易性金融资产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）变现有限制的交易性金融资产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t>（</w:t>
      </w:r>
      <w:r>
        <w:rPr>
          <w:rFonts w:ascii="Times New Roman" w:hAnsi="Times New Roman" w:cs="Times New Roman" w:eastAsia="Times New Roman" w:hint="default"/>
        </w:rPr>
        <w:t>3</w:t>
      </w:r>
      <w:r>
        <w:rPr/>
        <w:t>）套期工具及对相关套期交易的说明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59" w:lineRule="auto" w:before="120"/>
        <w:ind w:right="0"/>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64"/>
        </w:rPr>
        <w:t> </w:t>
      </w:r>
      <w:r>
        <w:rPr>
          <w:spacing w:val="-64"/>
        </w:rPr>
      </w:r>
      <w:r>
        <w:rPr/>
        <w:t>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3"/>
        <w:gridCol w:w="1861"/>
        <w:gridCol w:w="1863"/>
        <w:gridCol w:w="1860"/>
        <w:gridCol w:w="2127"/>
      </w:tblGrid>
      <w:tr>
        <w:trPr>
          <w:trHeight w:val="402"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存款利息</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3" w:right="0"/>
              <w:jc w:val="left"/>
              <w:rPr>
                <w:rFonts w:ascii="Times New Roman" w:hAnsi="Times New Roman" w:cs="Times New Roman" w:eastAsia="Times New Roman" w:hint="default"/>
                <w:sz w:val="18"/>
                <w:szCs w:val="18"/>
              </w:rPr>
            </w:pPr>
            <w:r>
              <w:rPr>
                <w:rFonts w:ascii="Times New Roman"/>
                <w:sz w:val="18"/>
              </w:rPr>
              <w:t>8,987,580.46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4" w:right="0"/>
              <w:jc w:val="left"/>
              <w:rPr>
                <w:rFonts w:ascii="Times New Roman" w:hAnsi="Times New Roman" w:cs="Times New Roman" w:eastAsia="Times New Roman" w:hint="default"/>
                <w:sz w:val="18"/>
                <w:szCs w:val="18"/>
              </w:rPr>
            </w:pPr>
            <w:r>
              <w:rPr>
                <w:rFonts w:ascii="Times New Roman"/>
                <w:sz w:val="18"/>
              </w:rPr>
              <w:t>23,204,092.59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4" w:right="0"/>
              <w:jc w:val="left"/>
              <w:rPr>
                <w:rFonts w:ascii="Times New Roman" w:hAnsi="Times New Roman" w:cs="Times New Roman" w:eastAsia="Times New Roman" w:hint="default"/>
                <w:sz w:val="18"/>
                <w:szCs w:val="18"/>
              </w:rPr>
            </w:pPr>
            <w:r>
              <w:rPr>
                <w:rFonts w:ascii="Times New Roman"/>
                <w:sz w:val="18"/>
              </w:rPr>
              <w:t>10,671,154.53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1" w:right="0"/>
              <w:jc w:val="left"/>
              <w:rPr>
                <w:rFonts w:ascii="Times New Roman" w:hAnsi="Times New Roman" w:cs="Times New Roman" w:eastAsia="Times New Roman" w:hint="default"/>
                <w:sz w:val="18"/>
                <w:szCs w:val="18"/>
              </w:rPr>
            </w:pPr>
            <w:r>
              <w:rPr>
                <w:rFonts w:ascii="Times New Roman"/>
                <w:sz w:val="18"/>
              </w:rPr>
              <w:t>21,520,518.52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62"/>
        <w:gridCol w:w="1861"/>
        <w:gridCol w:w="1863"/>
        <w:gridCol w:w="1860"/>
        <w:gridCol w:w="2127"/>
      </w:tblGrid>
      <w:tr>
        <w:trPr>
          <w:trHeight w:val="404"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3" w:right="0"/>
              <w:jc w:val="left"/>
              <w:rPr>
                <w:rFonts w:ascii="Times New Roman" w:hAnsi="Times New Roman" w:cs="Times New Roman" w:eastAsia="Times New Roman" w:hint="default"/>
                <w:sz w:val="18"/>
                <w:szCs w:val="18"/>
              </w:rPr>
            </w:pPr>
            <w:r>
              <w:rPr>
                <w:rFonts w:ascii="Times New Roman"/>
                <w:sz w:val="18"/>
              </w:rPr>
              <w:t>8,987,580.46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4" w:right="0"/>
              <w:jc w:val="left"/>
              <w:rPr>
                <w:rFonts w:ascii="Times New Roman" w:hAnsi="Times New Roman" w:cs="Times New Roman" w:eastAsia="Times New Roman" w:hint="default"/>
                <w:sz w:val="18"/>
                <w:szCs w:val="18"/>
              </w:rPr>
            </w:pPr>
            <w:r>
              <w:rPr>
                <w:rFonts w:ascii="Times New Roman"/>
                <w:sz w:val="18"/>
              </w:rPr>
              <w:t>23,204,092.59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4" w:right="0"/>
              <w:jc w:val="left"/>
              <w:rPr>
                <w:rFonts w:ascii="Times New Roman" w:hAnsi="Times New Roman" w:cs="Times New Roman" w:eastAsia="Times New Roman" w:hint="default"/>
                <w:sz w:val="18"/>
                <w:szCs w:val="18"/>
              </w:rPr>
            </w:pPr>
            <w:r>
              <w:rPr>
                <w:rFonts w:ascii="Times New Roman"/>
                <w:sz w:val="18"/>
              </w:rPr>
              <w:t>10,671,154.53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1" w:right="0"/>
              <w:jc w:val="left"/>
              <w:rPr>
                <w:rFonts w:ascii="Times New Roman" w:hAnsi="Times New Roman" w:cs="Times New Roman" w:eastAsia="Times New Roman" w:hint="default"/>
                <w:sz w:val="18"/>
                <w:szCs w:val="18"/>
              </w:rPr>
            </w:pPr>
            <w:r>
              <w:rPr>
                <w:rFonts w:ascii="Times New Roman"/>
                <w:sz w:val="18"/>
              </w:rPr>
              <w:t>21,520,518.52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）应收利息的说明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929"/>
        <w:gridCol w:w="931"/>
        <w:gridCol w:w="929"/>
        <w:gridCol w:w="929"/>
        <w:gridCol w:w="797"/>
        <w:gridCol w:w="929"/>
        <w:gridCol w:w="1064"/>
        <w:gridCol w:w="1066"/>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00000"/>
              <w:right w:val="single" w:sz="4" w:space="0" w:color="000000"/>
            </w:tcBorders>
            <w:shd w:val="clear" w:color="auto" w:fill="D2D2D2"/>
          </w:tcPr>
          <w:p>
            <w:pP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组合一</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16,709,270.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199,674.51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32,169,43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9.91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16,709,270.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199,674.51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32,169,43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9.91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16,709,270.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19</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199,674.51</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32,169,43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9.91</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060" w:bottom="1160" w:left="980" w:right="980"/>
        </w:sectPr>
      </w:pPr>
    </w:p>
    <w:p>
      <w:pPr>
        <w:pStyle w:val="BodyText"/>
        <w:spacing w:line="357" w:lineRule="auto" w:before="49"/>
        <w:ind w:right="-20"/>
        <w:jc w:val="left"/>
      </w:pPr>
      <w:r>
        <w:rPr/>
        <w:t>应收账款种类的说明 期末单项金额重大并单项计提坏账准备的应收账款</w:t>
      </w:r>
    </w:p>
    <w:p>
      <w:pPr>
        <w:pStyle w:val="BodyText"/>
        <w:spacing w:line="340" w:lineRule="auto" w:before="29"/>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w:t>
      </w:r>
      <w:r>
        <w:rPr>
          <w:spacing w:val="1"/>
        </w:rPr>
        <w:t> </w:t>
      </w:r>
      <w:r>
        <w:rPr/>
        <w:t>元</w:t>
      </w:r>
    </w:p>
    <w:p>
      <w:pPr>
        <w:spacing w:after="0" w:line="240" w:lineRule="auto"/>
        <w:jc w:val="left"/>
        <w:sectPr>
          <w:type w:val="continuous"/>
          <w:pgSz w:w="11910" w:h="16840"/>
          <w:pgMar w:top="880" w:bottom="28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66"/>
        <w:gridCol w:w="1594"/>
        <w:gridCol w:w="929"/>
        <w:gridCol w:w="1728"/>
        <w:gridCol w:w="1459"/>
        <w:gridCol w:w="932"/>
        <w:gridCol w:w="1459"/>
      </w:tblGrid>
      <w:tr>
        <w:trPr>
          <w:trHeight w:val="401" w:hRule="exact"/>
        </w:trPr>
        <w:tc>
          <w:tcPr>
            <w:tcW w:w="14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466" w:type="dxa"/>
            <w:vMerge/>
            <w:tcBorders>
              <w:left w:val="single" w:sz="4" w:space="0" w:color="000000"/>
              <w:right w:val="single" w:sz="4" w:space="0" w:color="000000"/>
            </w:tcBorders>
            <w:shd w:val="clear" w:color="auto" w:fill="D2D2D2"/>
          </w:tcPr>
          <w:p>
            <w:pPr/>
          </w:p>
        </w:tc>
        <w:tc>
          <w:tcPr>
            <w:tcW w:w="2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46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8"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6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14,391,641.90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86.13%</w:t>
            </w:r>
          </w:p>
        </w:tc>
        <w:tc>
          <w:tcPr>
            <w:tcW w:w="172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32,169,439.91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 </w:t>
            </w:r>
            <w:r>
              <w:rPr>
                <w:rFonts w:ascii="宋体" w:hAnsi="宋体" w:cs="宋体" w:eastAsia="宋体" w:hint="default"/>
                <w:sz w:val="18"/>
                <w:szCs w:val="18"/>
              </w:rPr>
              <w:t>个月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641,766.40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32,088.32</w:t>
            </w:r>
          </w:p>
        </w:tc>
        <w:tc>
          <w:tcPr>
            <w:tcW w:w="145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15,033,408.30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89.97%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32,088.32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32,169,439.91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45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880" w:bottom="2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66"/>
        <w:gridCol w:w="1594"/>
        <w:gridCol w:w="929"/>
        <w:gridCol w:w="1728"/>
        <w:gridCol w:w="1459"/>
        <w:gridCol w:w="932"/>
        <w:gridCol w:w="1459"/>
      </w:tblGrid>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1,675,861.89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10.03%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167,586.19</w:t>
            </w:r>
          </w:p>
        </w:tc>
        <w:tc>
          <w:tcPr>
            <w:tcW w:w="145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16,709,270.19</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00" w:right="0"/>
              <w:jc w:val="left"/>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199,674.51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3" w:right="0"/>
              <w:jc w:val="left"/>
              <w:rPr>
                <w:rFonts w:ascii="Times New Roman" w:hAnsi="Times New Roman" w:cs="Times New Roman" w:eastAsia="Times New Roman" w:hint="default"/>
                <w:sz w:val="18"/>
                <w:szCs w:val="18"/>
              </w:rPr>
            </w:pPr>
            <w:r>
              <w:rPr>
                <w:rFonts w:ascii="Times New Roman"/>
                <w:sz w:val="18"/>
              </w:rPr>
              <w:t>32,169,439.91</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
        </w:tc>
      </w:tr>
    </w:tbl>
    <w:p>
      <w:pPr>
        <w:pStyle w:val="BodyText"/>
        <w:spacing w:line="240" w:lineRule="auto" w:before="49"/>
        <w:ind w:right="0"/>
        <w:jc w:val="left"/>
      </w:pPr>
      <w:r>
        <w:rPr/>
        <w:t>组合中，采用余额百分比法计提坏账准备的应收账款</w:t>
      </w:r>
    </w:p>
    <w:p>
      <w:pPr>
        <w:pStyle w:val="BodyText"/>
        <w:spacing w:line="340" w:lineRule="auto" w:before="115"/>
        <w:ind w:right="5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38" w:lineRule="auto" w:before="41"/>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5"/>
        <w:gridCol w:w="1702"/>
        <w:gridCol w:w="1630"/>
        <w:gridCol w:w="1488"/>
        <w:gridCol w:w="1916"/>
      </w:tblGrid>
      <w:tr>
        <w:trPr>
          <w:trHeight w:val="71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深圳市华辉进出口贸易有限公司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9,563,928.88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57.24%</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步步高教育电子有限公司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3,885,411.02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23.25%</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创兴国际贸易（上海）有限公司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1,675,861.89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10.03%</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东莞市中控电子技术有限公司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940,302.00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5.63%</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深圳悠易阅科技有限公司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641,766.40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 </w:t>
            </w:r>
            <w:r>
              <w:rPr>
                <w:rFonts w:ascii="宋体" w:hAnsi="宋体" w:cs="宋体" w:eastAsia="宋体" w:hint="default"/>
                <w:sz w:val="18"/>
                <w:szCs w:val="18"/>
              </w:rPr>
              <w:t>个月</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3.84%</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16,707,270.19</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99.99%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3" w:hRule="exact"/>
        </w:trPr>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904" w:type="dxa"/>
            <w:vMerge/>
            <w:tcBorders>
              <w:left w:val="single" w:sz="4" w:space="0" w:color="000000"/>
              <w:right w:val="single" w:sz="4" w:space="0" w:color="000000"/>
            </w:tcBorders>
            <w:shd w:val="clear" w:color="auto" w:fill="D2D2D2"/>
          </w:tcPr>
          <w:p>
            <w:pP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4" w:hRule="exact"/>
        </w:trPr>
        <w:tc>
          <w:tcPr>
            <w:tcW w:w="1904"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组合二</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1,278,677.90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590,542.43</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1,071,774.46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357,012.27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33.31%</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1,278,677.90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590,542.43</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1,071,774.46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357,012.27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33.31%</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1,278,677.90</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590,542.43</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1,071,774.46</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357,012.27</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060" w:bottom="1160" w:left="980" w:right="980"/>
        </w:sectPr>
      </w:pPr>
    </w:p>
    <w:p>
      <w:pPr>
        <w:pStyle w:val="BodyText"/>
        <w:spacing w:line="357" w:lineRule="auto" w:before="49"/>
        <w:ind w:right="-20"/>
        <w:jc w:val="left"/>
      </w:pPr>
      <w:r>
        <w:rPr/>
        <w:t>其他应收款种类的说明：无。 期末单项金额重大并单项计提坏账准备的其他应收款</w:t>
      </w:r>
    </w:p>
    <w:p>
      <w:pPr>
        <w:pStyle w:val="BodyText"/>
        <w:spacing w:line="340" w:lineRule="auto" w:before="2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w:t>
      </w:r>
      <w:r>
        <w:rPr>
          <w:spacing w:val="1"/>
        </w:rPr>
        <w:t> </w:t>
      </w:r>
      <w:r>
        <w:rPr/>
        <w:t>元</w:t>
      </w:r>
    </w:p>
    <w:p>
      <w:pPr>
        <w:spacing w:after="0" w:line="240" w:lineRule="auto"/>
        <w:jc w:val="left"/>
        <w:sectPr>
          <w:type w:val="continuous"/>
          <w:pgSz w:w="11910" w:h="16840"/>
          <w:pgMar w:top="880" w:bottom="28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8"/>
        <w:gridCol w:w="1841"/>
        <w:gridCol w:w="658"/>
        <w:gridCol w:w="1448"/>
        <w:gridCol w:w="1450"/>
        <w:gridCol w:w="658"/>
        <w:gridCol w:w="1668"/>
      </w:tblGrid>
      <w:tr>
        <w:trPr>
          <w:trHeight w:val="401" w:hRule="exact"/>
        </w:trPr>
        <w:tc>
          <w:tcPr>
            <w:tcW w:w="18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848" w:type="dxa"/>
            <w:vMerge/>
            <w:tcBorders>
              <w:left w:val="single" w:sz="4" w:space="0" w:color="000000"/>
              <w:right w:val="single" w:sz="4" w:space="0" w:color="000000"/>
            </w:tcBorders>
            <w:shd w:val="clear" w:color="auto" w:fill="D2D2D2"/>
          </w:tcPr>
          <w:p>
            <w:pPr/>
          </w:p>
        </w:tc>
        <w:tc>
          <w:tcPr>
            <w:tcW w:w="2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848" w:type="dxa"/>
            <w:vMerge/>
            <w:tcBorders>
              <w:left w:val="single" w:sz="4" w:space="0" w:color="000000"/>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448"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222,107.04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17.37%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11,105.35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80,715.03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7.53%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4,035.75</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222,107.04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17.37%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11,105.35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80,715.03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7.53%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4,035.75</w:t>
            </w:r>
          </w:p>
        </w:tc>
      </w:tr>
      <w:tr>
        <w:trPr>
          <w:trHeight w:val="404"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65,511.43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6,551.14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576,726.39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57,672.64</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576,726.39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173,017.92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72,325.12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6.75%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21,697.54</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72,325.12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57,860.10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342,007.92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273,606.34</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342,007.92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26.75%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342,007.92</w:t>
            </w:r>
          </w:p>
        </w:tc>
        <w:tc>
          <w:tcPr>
            <w:tcW w:w="14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1,278,677.90</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590,542.43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1,071,774.46</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357,012.27</w:t>
            </w:r>
          </w:p>
        </w:tc>
      </w:tr>
    </w:tbl>
    <w:p>
      <w:pPr>
        <w:pStyle w:val="BodyText"/>
        <w:spacing w:line="240" w:lineRule="auto" w:before="49"/>
        <w:ind w:right="0"/>
        <w:jc w:val="left"/>
      </w:pPr>
      <w:r>
        <w:rPr/>
        <w:t>组合中，采用余额百分比法计提坏账准备的其他应收款</w:t>
      </w:r>
    </w:p>
    <w:p>
      <w:pPr>
        <w:pStyle w:val="BodyText"/>
        <w:spacing w:line="340" w:lineRule="auto" w:before="114"/>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spacing w:after="0" w:line="340" w:lineRule="auto"/>
        <w:jc w:val="left"/>
        <w:sectPr>
          <w:type w:val="continuous"/>
          <w:pgSz w:w="11910" w:h="16840"/>
          <w:pgMar w:top="880" w:bottom="280" w:left="980" w:right="980"/>
        </w:sectPr>
      </w:pPr>
    </w:p>
    <w:p>
      <w:pPr>
        <w:spacing w:line="240" w:lineRule="auto" w:before="9"/>
        <w:rPr>
          <w:rFonts w:ascii="宋体" w:hAnsi="宋体" w:cs="宋体" w:eastAsia="宋体" w:hint="default"/>
          <w:sz w:val="25"/>
          <w:szCs w:val="25"/>
        </w:rPr>
      </w:pPr>
    </w:p>
    <w:p>
      <w:pPr>
        <w:pStyle w:val="BodyText"/>
        <w:spacing w:line="340" w:lineRule="auto" w:before="44"/>
        <w:ind w:right="53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7"/>
        <w:gridCol w:w="2393"/>
        <w:gridCol w:w="1862"/>
        <w:gridCol w:w="2549"/>
      </w:tblGrid>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北京中关村软件园发展有限公司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502,031.22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39.26%</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广州奥熠电子科技有限公司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39.1%</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北京首欣物业管理有限责任公司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105,553.96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8.25%</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1,107,585.18</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86.61%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21"/>
        <w:gridCol w:w="1699"/>
        <w:gridCol w:w="1702"/>
        <w:gridCol w:w="1277"/>
        <w:gridCol w:w="1913"/>
      </w:tblGrid>
      <w:tr>
        <w:trPr>
          <w:trHeight w:val="715"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48"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北京中关村软件园发展有限公司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502,031.22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39.26%</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广州奥熠电子科技有限公司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39.1%</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北京首欣物业管理有限责任公司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105,553.96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深圳集成电路设计产业化基地管理中心</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98,218.00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北京中关村海外科技园有限责任公司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4.07%</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1,257,803.18</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98.36%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footerReference w:type="default" r:id="rId13"/>
          <w:pgSz w:w="11910" w:h="16840"/>
          <w:pgMar w:footer="980" w:header="877" w:top="1060" w:bottom="1160" w:left="980" w:right="880"/>
          <w:pgNumType w:start="87"/>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0"/>
        <w:gridCol w:w="3199"/>
        <w:gridCol w:w="1064"/>
        <w:gridCol w:w="3053"/>
        <w:gridCol w:w="1063"/>
      </w:tblGrid>
      <w:tr>
        <w:trPr>
          <w:trHeight w:val="206" w:hRule="exact"/>
        </w:trPr>
        <w:tc>
          <w:tcPr>
            <w:tcW w:w="1180"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4" w:hRule="exact"/>
        </w:trPr>
        <w:tc>
          <w:tcPr>
            <w:tcW w:w="11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62"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180" w:type="dxa"/>
            <w:vMerge/>
            <w:tcBorders>
              <w:left w:val="single" w:sz="4" w:space="0" w:color="000000"/>
              <w:bottom w:val="nil" w:sz="6" w:space="0" w:color="auto"/>
              <w:right w:val="single" w:sz="4" w:space="0" w:color="000000"/>
            </w:tcBorders>
            <w:shd w:val="clear" w:color="auto" w:fill="D2D2D2"/>
          </w:tcPr>
          <w:p>
            <w:pPr/>
          </w:p>
        </w:tc>
        <w:tc>
          <w:tcPr>
            <w:tcW w:w="31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18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9"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17,251,004.02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99.64%</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12,137,775.11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97.63%</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12,855.00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294,294.00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w:t>
            </w: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c>
          <w:tcPr>
            <w:tcW w:w="305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17,313,859.02</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12,432,069.11</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2379"/>
        <w:jc w:val="left"/>
      </w:pPr>
      <w:r>
        <w:rPr/>
        <w:t>预付款项账龄的说明 账龄一年以内的预付账款占总金额的比重为</w:t>
      </w:r>
      <w:r>
        <w:rPr>
          <w:rFonts w:ascii="Times New Roman" w:hAnsi="Times New Roman" w:cs="Times New Roman" w:eastAsia="Times New Roman" w:hint="default"/>
        </w:rPr>
        <w:t>99.64%</w:t>
      </w:r>
      <w:r>
        <w:rPr/>
        <w:t>，账龄一年以上预付款主要为设备采购款。</w:t>
      </w:r>
    </w:p>
    <w:p>
      <w:pPr>
        <w:spacing w:line="240" w:lineRule="auto" w:before="9"/>
        <w:rPr>
          <w:rFonts w:ascii="宋体" w:hAnsi="宋体" w:cs="宋体" w:eastAsia="宋体" w:hint="default"/>
          <w:sz w:val="18"/>
          <w:szCs w:val="18"/>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1560"/>
        <w:gridCol w:w="1841"/>
        <w:gridCol w:w="1916"/>
        <w:gridCol w:w="1627"/>
      </w:tblGrid>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北京建工博海建设有限公司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预付款项</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Cadence Design</w:t>
            </w:r>
            <w:r>
              <w:rPr>
                <w:rFonts w:ascii="Times New Roman"/>
                <w:spacing w:val="-11"/>
                <w:sz w:val="18"/>
              </w:rPr>
              <w:t> </w:t>
            </w:r>
            <w:r>
              <w:rPr>
                <w:rFonts w:ascii="Times New Roman"/>
                <w:sz w:val="18"/>
              </w:rPr>
              <w:t>Systems,Inc.</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3,748,320.00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预付款项</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北京君诚易恒科技有限公司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预付款项</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北京才略科技有限公司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预付款项</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北京城建天宁消防有限责任公司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1,038,014.40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预付款项</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14,248,434.40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49"/>
        <w:ind w:right="2214"/>
        <w:jc w:val="left"/>
      </w:pPr>
      <w:r>
        <w:rPr/>
        <w:t>预付款项主要单位的说明 支付北京建工博海建设有限公司和北京城建天宁消防有限责任公司的预付款为研发基地建设款。 支付北京才略科技有限公司和</w:t>
      </w:r>
      <w:r>
        <w:rPr>
          <w:rFonts w:ascii="Times New Roman" w:hAnsi="Times New Roman" w:cs="Times New Roman" w:eastAsia="Times New Roman" w:hint="default"/>
        </w:rPr>
        <w:t>Cadence Design</w:t>
      </w:r>
      <w:r>
        <w:rPr>
          <w:rFonts w:ascii="Times New Roman" w:hAnsi="Times New Roman" w:cs="Times New Roman" w:eastAsia="Times New Roman" w:hint="default"/>
          <w:spacing w:val="-7"/>
        </w:rPr>
        <w:t> </w:t>
      </w:r>
      <w:r>
        <w:rPr>
          <w:rFonts w:ascii="Times New Roman" w:hAnsi="Times New Roman" w:cs="Times New Roman" w:eastAsia="Times New Roman" w:hint="default"/>
        </w:rPr>
        <w:t>Systems,Inc.</w:t>
      </w:r>
      <w:r>
        <w:rPr/>
        <w:t>的预付款为研发设备采购款。</w:t>
      </w:r>
    </w:p>
    <w:p>
      <w:pPr>
        <w:pStyle w:val="BodyText"/>
        <w:spacing w:line="217" w:lineRule="exact"/>
        <w:ind w:right="0"/>
        <w:jc w:val="left"/>
      </w:pPr>
      <w:r>
        <w:rPr/>
        <w:t>支付北京君诚易恒科技有限公司预付款为出资款。</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）本报告期预付款项中持有本公司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6"/>
        <w:gridCol w:w="1473"/>
        <w:gridCol w:w="1193"/>
        <w:gridCol w:w="1330"/>
        <w:gridCol w:w="1327"/>
        <w:gridCol w:w="1330"/>
        <w:gridCol w:w="1327"/>
      </w:tblGrid>
      <w:tr>
        <w:trPr>
          <w:trHeight w:val="206" w:hRule="exact"/>
        </w:trPr>
        <w:tc>
          <w:tcPr>
            <w:tcW w:w="1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5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96"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76" w:type="dxa"/>
            <w:vMerge/>
            <w:tcBorders>
              <w:left w:val="single" w:sz="4" w:space="0" w:color="000000"/>
              <w:bottom w:val="nil" w:sz="6" w:space="0" w:color="auto"/>
              <w:right w:val="single" w:sz="4" w:space="0" w:color="000000"/>
            </w:tcBorders>
            <w:shd w:val="clear" w:color="auto" w:fill="D2D2D2"/>
          </w:tcPr>
          <w:p>
            <w:pPr/>
          </w:p>
        </w:tc>
        <w:tc>
          <w:tcPr>
            <w:tcW w:w="14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3"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2,559,982.23</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2,559,982.23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561,693.23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561,693.23</w:t>
            </w:r>
          </w:p>
        </w:tc>
      </w:tr>
      <w:tr>
        <w:trPr>
          <w:trHeight w:val="401"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21,562,074.32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21,562,074.32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25,231,456.98</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25,231,456.98</w:t>
            </w:r>
          </w:p>
        </w:tc>
      </w:tr>
      <w:tr>
        <w:trPr>
          <w:trHeight w:val="403"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26,040,287.02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26,040,287.02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10,422,570.04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10,422,570.04</w:t>
            </w:r>
          </w:p>
        </w:tc>
      </w:tr>
      <w:tr>
        <w:trPr>
          <w:trHeight w:val="401"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50,162,343.57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50,162,343.57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36,215,720.25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36,215,720.25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t>（</w:t>
      </w:r>
      <w:r>
        <w:rPr>
          <w:rFonts w:ascii="Times New Roman" w:hAnsi="Times New Roman" w:cs="Times New Roman" w:eastAsia="Times New Roman" w:hint="default"/>
        </w:rPr>
        <w:t>2</w:t>
      </w:r>
      <w:r>
        <w:rPr/>
        <w:t>）可供出售金融资产中的长期债权投资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）本报告期内出售但尚未到期的持有至到期投资情况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9"/>
        <w:gridCol w:w="1462"/>
        <w:gridCol w:w="1327"/>
        <w:gridCol w:w="1594"/>
        <w:gridCol w:w="1597"/>
        <w:gridCol w:w="1459"/>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4,806,437.60</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3,171,739.17</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7,978,176.77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769,966.69</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769,966.69</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4,036,470.91</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3,171,739.17</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7,208,210.08</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2,461,147.04</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937,884.14</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3,399,031.18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9"/>
        <w:gridCol w:w="1474"/>
        <w:gridCol w:w="1315"/>
        <w:gridCol w:w="1594"/>
        <w:gridCol w:w="1585"/>
        <w:gridCol w:w="1471"/>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440,391.12</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125,264.40</w:t>
            </w:r>
          </w:p>
        </w:tc>
        <w:tc>
          <w:tcPr>
            <w:tcW w:w="158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565,655.52</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4"/>
              <w:jc w:val="right"/>
              <w:rPr>
                <w:rFonts w:ascii="Times New Roman" w:hAnsi="Times New Roman" w:cs="Times New Roman" w:eastAsia="Times New Roman" w:hint="default"/>
                <w:sz w:val="18"/>
                <w:szCs w:val="18"/>
              </w:rPr>
            </w:pPr>
            <w:r>
              <w:rPr>
                <w:rFonts w:ascii="Times New Roman"/>
                <w:spacing w:val="-1"/>
                <w:sz w:val="18"/>
              </w:rPr>
              <w:t>2,020,755.92</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812,619.74</w:t>
            </w:r>
          </w:p>
        </w:tc>
        <w:tc>
          <w:tcPr>
            <w:tcW w:w="158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2,833,375.66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2,345,290.56</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4,579,145.59</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329,575.57</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204,311.17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2,015,714.99</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4,374,834.42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2,345,290.56</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4,579,145.59</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329,575.57</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204,311.17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2,015,714.99</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4,374,834.42</w:t>
            </w:r>
          </w:p>
        </w:tc>
      </w:tr>
    </w:tbl>
    <w:p>
      <w:pPr>
        <w:pStyle w:val="BodyText"/>
        <w:spacing w:line="240" w:lineRule="auto" w:before="49"/>
        <w:ind w:right="0"/>
        <w:jc w:val="left"/>
      </w:pPr>
      <w:r>
        <w:rPr/>
        <w:t>本期折旧额</w:t>
      </w:r>
      <w:r>
        <w:rPr>
          <w:spacing w:val="-47"/>
        </w:rPr>
        <w:t> </w:t>
      </w:r>
      <w:r>
        <w:rPr>
          <w:rFonts w:ascii="Times New Roman" w:hAnsi="Times New Roman" w:cs="Times New Roman" w:eastAsia="Times New Roman" w:hint="default"/>
        </w:rPr>
        <w:t>937,884.14</w:t>
      </w:r>
      <w:r>
        <w:rPr>
          <w:rFonts w:ascii="Times New Roman" w:hAnsi="Times New Roman" w:cs="Times New Roman" w:eastAsia="Times New Roman" w:hint="default"/>
          <w:spacing w:val="-1"/>
        </w:rPr>
        <w:t> </w:t>
      </w:r>
      <w:r>
        <w:rPr/>
        <w:t>元；本期由在建工程转入固定资产原价为</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1"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研发基地建设</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31,075,806.64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center"/>
              <w:rPr>
                <w:rFonts w:ascii="Times New Roman" w:hAnsi="Times New Roman" w:cs="Times New Roman" w:eastAsia="Times New Roman" w:hint="default"/>
                <w:sz w:val="18"/>
                <w:szCs w:val="18"/>
              </w:rPr>
            </w:pPr>
            <w:r>
              <w:rPr>
                <w:rFonts w:ascii="Times New Roman"/>
                <w:sz w:val="18"/>
              </w:rPr>
              <w:t>31,075,806.64</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31,075,806.64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center"/>
              <w:rPr>
                <w:rFonts w:ascii="Times New Roman" w:hAnsi="Times New Roman" w:cs="Times New Roman" w:eastAsia="Times New Roman" w:hint="default"/>
                <w:sz w:val="18"/>
                <w:szCs w:val="18"/>
              </w:rPr>
            </w:pPr>
            <w:r>
              <w:rPr>
                <w:rFonts w:ascii="Times New Roman"/>
                <w:sz w:val="18"/>
              </w:rPr>
              <w:t>31,075,806.64</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）在建工程项目变动情况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5"/>
        <w:gridCol w:w="737"/>
        <w:gridCol w:w="737"/>
      </w:tblGrid>
      <w:tr>
        <w:trPr>
          <w:trHeight w:val="1339"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4"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93" w:right="91"/>
              <w:jc w:val="center"/>
              <w:rPr>
                <w:rFonts w:ascii="Times New Roman" w:hAnsi="Times New Roman" w:cs="Times New Roman" w:eastAsia="Times New Roman" w:hint="default"/>
                <w:sz w:val="18"/>
                <w:szCs w:val="18"/>
              </w:rPr>
            </w:pPr>
            <w:r>
              <w:rPr>
                <w:rFonts w:ascii="宋体" w:hAnsi="宋体" w:cs="宋体" w:eastAsia="宋体" w:hint="default"/>
                <w:sz w:val="18"/>
                <w:szCs w:val="18"/>
              </w:rPr>
              <w:t>工程投 入占预 算比例 </w:t>
            </w:r>
            <w:r>
              <w:rPr>
                <w:rFonts w:ascii="Times New Roman" w:hAnsi="Times New Roman" w:cs="Times New Roman" w:eastAsia="Times New Roman" w:hint="default"/>
                <w:sz w:val="18"/>
                <w:szCs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713"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研发基 地建设</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31,075,8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06.64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31,075,8</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06.64</w:t>
            </w:r>
          </w:p>
        </w:tc>
      </w:tr>
      <w:tr>
        <w:trPr>
          <w:trHeight w:val="715"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31,075,8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06.64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31,075,8</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06.64</w:t>
            </w:r>
          </w:p>
        </w:tc>
      </w:tr>
    </w:tbl>
    <w:p>
      <w:pPr>
        <w:pStyle w:val="BodyText"/>
        <w:spacing w:line="240" w:lineRule="auto" w:before="49"/>
        <w:ind w:right="0"/>
        <w:jc w:val="left"/>
      </w:pPr>
      <w:r>
        <w:rPr/>
        <w:t>在建工程项目变动情况的说明：无。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5</w:t>
      </w:r>
      <w:r>
        <w:rPr/>
        <w:t>）在建工程的说明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19</w:t>
      </w:r>
      <w:r>
        <w:rPr/>
        <w:t>、工程物资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20</w:t>
      </w:r>
      <w:r>
        <w:rPr/>
        <w:t>、固定资产清理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21</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）以成本计量</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）以公允价值计量</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22</w:t>
      </w:r>
      <w:r>
        <w:rPr/>
        <w:t>、油气资产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32,880,197.10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164,990.00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33,045,187.10</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32,880,197.10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32,880,197.10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164,990.00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164,990.00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219,201.32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663,103.64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882,304.96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219,201.32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657,603.96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876,805.28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5,499.68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5,499.68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32,660,995.78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-498,113.64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32,162,882.14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32,660,995.78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-657,603.96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32,003,391.82</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159,490.32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159,490.32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32,660,995.78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-498,113.64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32,162,882.14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32,660,995.78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-657,603.96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32,003,391.82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159,490.32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159,490.32</w:t>
            </w:r>
          </w:p>
        </w:tc>
      </w:tr>
    </w:tbl>
    <w:p>
      <w:pPr>
        <w:pStyle w:val="BodyText"/>
        <w:spacing w:line="240" w:lineRule="auto" w:before="49"/>
        <w:ind w:right="0"/>
        <w:jc w:val="left"/>
      </w:pPr>
      <w:r>
        <w:rPr/>
        <w:t>本期摊销额</w:t>
      </w:r>
      <w:r>
        <w:rPr>
          <w:spacing w:val="-47"/>
        </w:rPr>
        <w:t> </w:t>
      </w:r>
      <w:r>
        <w:rPr>
          <w:rFonts w:ascii="Times New Roman" w:hAnsi="Times New Roman" w:cs="Times New Roman" w:eastAsia="Times New Roman" w:hint="default"/>
        </w:rPr>
        <w:t>663,103.64</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技术使用费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1" w:right="0"/>
              <w:jc w:val="left"/>
              <w:rPr>
                <w:rFonts w:ascii="Times New Roman" w:hAnsi="Times New Roman" w:cs="Times New Roman" w:eastAsia="Times New Roman" w:hint="default"/>
                <w:sz w:val="18"/>
                <w:szCs w:val="18"/>
              </w:rPr>
            </w:pPr>
            <w:r>
              <w:rPr>
                <w:rFonts w:ascii="Times New Roman"/>
                <w:sz w:val="18"/>
              </w:rPr>
              <w:t>6,009,686.49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8" w:right="0"/>
              <w:jc w:val="left"/>
              <w:rPr>
                <w:rFonts w:ascii="Times New Roman" w:hAnsi="Times New Roman" w:cs="Times New Roman" w:eastAsia="Times New Roman" w:hint="default"/>
                <w:sz w:val="18"/>
                <w:szCs w:val="18"/>
              </w:rPr>
            </w:pPr>
            <w:r>
              <w:rPr>
                <w:rFonts w:ascii="Times New Roman"/>
                <w:sz w:val="18"/>
              </w:rPr>
              <w:t>1,502,421.60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8" w:right="0"/>
              <w:jc w:val="left"/>
              <w:rPr>
                <w:rFonts w:ascii="Times New Roman" w:hAnsi="Times New Roman" w:cs="Times New Roman" w:eastAsia="Times New Roman" w:hint="default"/>
                <w:sz w:val="18"/>
                <w:szCs w:val="18"/>
              </w:rPr>
            </w:pPr>
            <w:r>
              <w:rPr>
                <w:rFonts w:ascii="Times New Roman"/>
                <w:sz w:val="18"/>
              </w:rPr>
              <w:t>4,507,264.89</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78"/>
        <w:gridCol w:w="1356"/>
      </w:tblGrid>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6,009,686.49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1,502,421.60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4,507,264.89</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6174"/>
        <w:jc w:val="left"/>
      </w:pPr>
      <w:r>
        <w:rPr/>
        <w:t>长期待摊费用的说明 按照合同期进行摊销，剩余摊销月份</w:t>
      </w:r>
      <w:r>
        <w:rPr>
          <w:rFonts w:ascii="Times New Roman" w:hAnsi="Times New Roman" w:cs="Times New Roman" w:eastAsia="Times New Roman" w:hint="default"/>
        </w:rPr>
        <w:t>36</w:t>
      </w:r>
      <w:r>
        <w:rPr/>
        <w:t>个月。</w:t>
      </w:r>
    </w:p>
    <w:p>
      <w:pPr>
        <w:spacing w:line="240" w:lineRule="auto" w:before="9"/>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已确认的递延所得税资产和递延所得税负债</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4"/>
        <w:gridCol w:w="2924"/>
        <w:gridCol w:w="2921"/>
      </w:tblGrid>
      <w:tr>
        <w:trPr>
          <w:trHeight w:val="408"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109,536.92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50,267.21</w:t>
            </w:r>
          </w:p>
        </w:tc>
      </w:tr>
      <w:tr>
        <w:trPr>
          <w:trHeight w:val="401"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526,204.06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397,715.35</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2,189,400.00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3,496,350.00</w:t>
            </w:r>
          </w:p>
        </w:tc>
      </w:tr>
      <w:tr>
        <w:trPr>
          <w:trHeight w:val="401"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未实现内部交易</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257,479.05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19,172.99</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3,082,620.03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3,963,505.55</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pStyle w:val="BodyText"/>
        <w:spacing w:line="240" w:lineRule="auto" w:before="50"/>
        <w:ind w:right="0"/>
        <w:jc w:val="left"/>
      </w:pPr>
      <w:r>
        <w:rPr/>
        <w:t>未确认递延所得税资产明细</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924"/>
        <w:gridCol w:w="2921"/>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59,970.80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21,897.54</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19,224,298.93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12,585,844.35</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800,950.00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20,084,269.73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13,408,691.89</w:t>
            </w:r>
          </w:p>
        </w:tc>
      </w:tr>
    </w:tbl>
    <w:p>
      <w:pPr>
        <w:pStyle w:val="BodyText"/>
        <w:spacing w:line="240" w:lineRule="auto" w:before="49"/>
        <w:ind w:right="0"/>
        <w:jc w:val="left"/>
      </w:pPr>
      <w:r>
        <w:rPr/>
        <w:t>未确认递延所得税资产的可抵扣亏损将于以下年度到期</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7"/>
        <w:gridCol w:w="2259"/>
        <w:gridCol w:w="1995"/>
        <w:gridCol w:w="3320"/>
      </w:tblGrid>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2,556,586.86</w:t>
            </w:r>
          </w:p>
        </w:tc>
        <w:tc>
          <w:tcPr>
            <w:tcW w:w="1995" w:type="dxa"/>
            <w:tcBorders>
              <w:top w:val="single" w:sz="4" w:space="0" w:color="000000"/>
              <w:left w:val="single" w:sz="4" w:space="0" w:color="000000"/>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年度亏损额</w:t>
            </w:r>
          </w:p>
        </w:tc>
      </w:tr>
      <w:tr>
        <w:trPr>
          <w:trHeight w:val="40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4,158,345.93</w:t>
            </w:r>
          </w:p>
        </w:tc>
        <w:tc>
          <w:tcPr>
            <w:tcW w:w="1995" w:type="dxa"/>
            <w:tcBorders>
              <w:top w:val="single" w:sz="4" w:space="0" w:color="000000"/>
              <w:left w:val="single" w:sz="4" w:space="0" w:color="000000"/>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年度亏损额</w:t>
            </w: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5,870,911.56</w:t>
            </w:r>
          </w:p>
        </w:tc>
        <w:tc>
          <w:tcPr>
            <w:tcW w:w="1995" w:type="dxa"/>
            <w:tcBorders>
              <w:top w:val="single" w:sz="4" w:space="0" w:color="000000"/>
              <w:left w:val="single" w:sz="4" w:space="0" w:color="000000"/>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年度亏损额</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6,638,454.58</w:t>
            </w:r>
          </w:p>
        </w:tc>
        <w:tc>
          <w:tcPr>
            <w:tcW w:w="1995" w:type="dxa"/>
            <w:tcBorders>
              <w:top w:val="single" w:sz="4" w:space="0" w:color="000000"/>
              <w:left w:val="single" w:sz="4" w:space="0" w:color="000000"/>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年度亏损额</w:t>
            </w: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19,224,298.93</w:t>
            </w:r>
          </w:p>
        </w:tc>
        <w:tc>
          <w:tcPr>
            <w:tcW w:w="1995" w:type="dxa"/>
            <w:tcBorders>
              <w:top w:val="single" w:sz="4" w:space="0" w:color="000000"/>
              <w:left w:val="single" w:sz="4" w:space="0" w:color="000000"/>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应纳税差异和可抵扣差异项目明细</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5713"/>
      </w:tblGrid>
      <w:tr>
        <w:trPr>
          <w:trHeight w:val="402"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855"/>
        <w:gridCol w:w="2926"/>
        <w:gridCol w:w="2787"/>
      </w:tblGrid>
      <w:tr>
        <w:trPr>
          <w:trHeight w:val="402"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730,246.14</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335,114.73</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14,596,000.00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23,309,000.00</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3,508,027.07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2,651,435.61</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未实现内部交易</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1,716,527.01</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127,819.90</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20,550,800.22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26,423,370.24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0"/>
        <w:jc w:val="left"/>
      </w:pPr>
      <w:r>
        <w:rPr/>
        <w:t>互抵后的递延所得税资产及负债的组成项目</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3"/>
        <w:gridCol w:w="1626"/>
        <w:gridCol w:w="1628"/>
        <w:gridCol w:w="1628"/>
        <w:gridCol w:w="1616"/>
      </w:tblGrid>
      <w:tr>
        <w:trPr>
          <w:trHeight w:val="317" w:hRule="exact"/>
        </w:trPr>
        <w:tc>
          <w:tcPr>
            <w:tcW w:w="3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5"/>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77"/>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4" w:hRule="exact"/>
        </w:trPr>
        <w:tc>
          <w:tcPr>
            <w:tcW w:w="3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6"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16" w:type="dxa"/>
            <w:vMerge/>
            <w:tcBorders>
              <w:left w:val="single" w:sz="4" w:space="0" w:color="000000"/>
              <w:right w:val="single" w:sz="4" w:space="0" w:color="000000"/>
            </w:tcBorders>
            <w:shd w:val="clear" w:color="auto" w:fill="D2D2D2"/>
          </w:tcPr>
          <w:p>
            <w:pPr/>
          </w:p>
        </w:tc>
      </w:tr>
      <w:tr>
        <w:trPr>
          <w:trHeight w:val="317" w:hRule="exact"/>
        </w:trPr>
        <w:tc>
          <w:tcPr>
            <w:tcW w:w="3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6"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43" w:right="0"/>
              <w:jc w:val="left"/>
              <w:rPr>
                <w:rFonts w:ascii="Times New Roman" w:hAnsi="Times New Roman" w:cs="Times New Roman" w:eastAsia="Times New Roman" w:hint="default"/>
                <w:sz w:val="18"/>
                <w:szCs w:val="18"/>
              </w:rPr>
            </w:pPr>
            <w:r>
              <w:rPr>
                <w:rFonts w:ascii="Times New Roman"/>
                <w:sz w:val="18"/>
              </w:rPr>
              <w:t>3,082,620.03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20,550,800.22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9" w:right="0"/>
              <w:jc w:val="left"/>
              <w:rPr>
                <w:rFonts w:ascii="Times New Roman" w:hAnsi="Times New Roman" w:cs="Times New Roman" w:eastAsia="Times New Roman" w:hint="default"/>
                <w:sz w:val="18"/>
                <w:szCs w:val="18"/>
              </w:rPr>
            </w:pPr>
            <w:r>
              <w:rPr>
                <w:rFonts w:ascii="Times New Roman"/>
                <w:sz w:val="18"/>
              </w:rPr>
              <w:t>3,963,505.55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26,423,370.24</w:t>
            </w:r>
          </w:p>
        </w:tc>
      </w:tr>
    </w:tbl>
    <w:p>
      <w:pPr>
        <w:pStyle w:val="BodyText"/>
        <w:spacing w:line="240" w:lineRule="auto" w:before="49"/>
        <w:ind w:right="0"/>
        <w:jc w:val="left"/>
      </w:pPr>
      <w:r>
        <w:rPr/>
        <w:t>递延所得税资产和递延所得税负债的说明：无。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527"/>
        <w:gridCol w:w="1529"/>
        <w:gridCol w:w="1399"/>
        <w:gridCol w:w="1397"/>
        <w:gridCol w:w="1452"/>
      </w:tblGrid>
      <w:tr>
        <w:trPr>
          <w:trHeight w:val="206" w:hRule="exact"/>
        </w:trPr>
        <w:tc>
          <w:tcPr>
            <w:tcW w:w="22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9" w:hRule="exact"/>
        </w:trPr>
        <w:tc>
          <w:tcPr>
            <w:tcW w:w="2266" w:type="dxa"/>
            <w:vMerge/>
            <w:tcBorders>
              <w:left w:val="single" w:sz="4" w:space="0" w:color="000000"/>
              <w:bottom w:val="nil" w:sz="6" w:space="0" w:color="auto"/>
              <w:right w:val="single" w:sz="4" w:space="0" w:color="000000"/>
            </w:tcBorders>
            <w:shd w:val="clear" w:color="auto" w:fill="D2D2D2"/>
          </w:tcPr>
          <w:p>
            <w:pPr/>
          </w:p>
        </w:tc>
        <w:tc>
          <w:tcPr>
            <w:tcW w:w="1527"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357,012.27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433,204.67</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790,216.94</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357,012.27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433,204.67</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790,216.94</w:t>
            </w:r>
          </w:p>
        </w:tc>
      </w:tr>
    </w:tbl>
    <w:p>
      <w:pPr>
        <w:pStyle w:val="BodyText"/>
        <w:spacing w:line="240" w:lineRule="auto" w:before="49"/>
        <w:ind w:right="0"/>
        <w:jc w:val="left"/>
      </w:pPr>
      <w:r>
        <w:rPr/>
        <w:t>资产减值明细情况的说明：无。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29</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30</w:t>
      </w:r>
      <w:r>
        <w:rPr/>
        <w:t>、交易性金融负债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31</w:t>
      </w:r>
      <w:r>
        <w:rPr/>
        <w:t>、应付票据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32</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2"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7,125,535.29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9,073,350.77</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2921"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2921"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2921"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7,125,535.29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9,073,350.77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）本报告期应付账款中应付持有公司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33</w:t>
      </w:r>
      <w:r>
        <w:rPr/>
        <w:t>、预收账款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2"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14,725.18</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10,322.10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2792"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三至四年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四至五年</w:t>
            </w:r>
          </w:p>
        </w:tc>
        <w:tc>
          <w:tcPr>
            <w:tcW w:w="2792"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2792"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312,322.11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16,725.18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）本报告期预收账款中预收持有公司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34</w:t>
      </w:r>
      <w:r>
        <w:rPr/>
        <w:t>、应付职工薪酬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863"/>
        <w:gridCol w:w="1992"/>
        <w:gridCol w:w="2259"/>
        <w:gridCol w:w="1860"/>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3,272,212.50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28,230,369.33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27,355,831.83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4,146,750.00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3"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262,150.60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262,150.60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304,557.17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5,372,737.32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5,226,581.00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450,713.49</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94,915.30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1,563,396.56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1,640,952.29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17,359.57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189,505.40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3,273,160.79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3,186,241.59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276,424.60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、失业保险费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9,475.27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148,806.58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144,460.62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13,821.23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、工伤保险费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7,581.28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132,286.70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128,801.20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11,066.78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、生育保险费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3,079.92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255,086.69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126,125.30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132,041.31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2,195,302.00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2,195,302.00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180,173.11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211,506.10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129,531.72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262,147.49</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工会经费和职工教 育经费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180,173.11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211,506.10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129,531.72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262,147.49</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3,756,942.78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36,272,065.35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35,169,397.15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4,859,610.98</w:t>
            </w:r>
          </w:p>
        </w:tc>
      </w:tr>
    </w:tbl>
    <w:p>
      <w:pPr>
        <w:pStyle w:val="BodyText"/>
        <w:spacing w:line="240" w:lineRule="auto" w:before="49"/>
        <w:ind w:right="0"/>
        <w:jc w:val="left"/>
      </w:pPr>
      <w:r>
        <w:rPr/>
        <w:t>应付职工薪酬中属于拖欠性质的金额</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40" w:lineRule="auto" w:before="101"/>
        <w:ind w:right="1233"/>
        <w:jc w:val="left"/>
      </w:pPr>
      <w:r>
        <w:rPr/>
        <w:t>工会经费和职工教育经费金额</w:t>
      </w:r>
      <w:r>
        <w:rPr>
          <w:spacing w:val="-47"/>
        </w:rPr>
        <w:t> </w:t>
      </w:r>
      <w:r>
        <w:rPr>
          <w:rFonts w:ascii="Times New Roman" w:hAnsi="Times New Roman" w:cs="Times New Roman" w:eastAsia="Times New Roman" w:hint="default"/>
        </w:rPr>
        <w:t>211,506.10 </w:t>
      </w:r>
      <w:r>
        <w:rPr/>
        <w:t>元，非货币性福利金额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元，因解除劳动关系给予补偿</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应付职工薪酬预计发放时间、金额等安排：无。</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35</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23"/>
        <w:gridCol w:w="2789"/>
        <w:gridCol w:w="2645"/>
      </w:tblGrid>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123"/>
        <w:gridCol w:w="2789"/>
        <w:gridCol w:w="2657"/>
      </w:tblGrid>
      <w:tr>
        <w:trPr>
          <w:trHeight w:val="402"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659,462.36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807,388.07</w:t>
            </w:r>
          </w:p>
        </w:tc>
      </w:tr>
      <w:tr>
        <w:trPr>
          <w:trHeight w:val="402"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-14,999.96</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-294,519.98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-1,007,992.00</w:t>
            </w:r>
          </w:p>
        </w:tc>
      </w:tr>
      <w:tr>
        <w:trPr>
          <w:trHeight w:val="402"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113,369.41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75,978.85</w:t>
            </w: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47,836.95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71,049.17</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20,500.29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30,449.65</w:t>
            </w: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13,663.85</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545,312.92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-23,126.26</w:t>
            </w:r>
          </w:p>
        </w:tc>
      </w:tr>
    </w:tbl>
    <w:p>
      <w:pPr>
        <w:pStyle w:val="BodyText"/>
        <w:spacing w:line="240" w:lineRule="auto" w:before="49"/>
        <w:ind w:right="0"/>
        <w:jc w:val="left"/>
      </w:pPr>
      <w:r>
        <w:rPr/>
        <w:t>应交税费说明，所在地税务机关同意各分公司、分厂之间应纳税所得额相互调剂的，应说明税款计算过程</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36</w:t>
      </w:r>
      <w:r>
        <w:rPr/>
        <w:t>、应付利息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37</w:t>
      </w:r>
      <w:r>
        <w:rPr/>
        <w:t>、应付股利</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233,063.02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284,748.71</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120,346.69</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3058"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1,686.00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三至四年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1,686.00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四至五年</w:t>
            </w:r>
          </w:p>
        </w:tc>
        <w:tc>
          <w:tcPr>
            <w:tcW w:w="3058"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3058"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355,095.71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286,434.71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39</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40</w:t>
      </w:r>
      <w:r>
        <w:rPr/>
        <w:t>、一年内到期的非流动负债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41</w:t>
      </w:r>
      <w:r>
        <w:rPr/>
        <w:t>、其他流动负债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43</w:t>
      </w:r>
      <w:r>
        <w:rPr/>
        <w:t>、应付债券</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44</w:t>
      </w:r>
      <w:r>
        <w:rPr/>
        <w:t>、长期应付款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）金额前五名长期应付款情况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）长期应付款中的应付融资租赁款明细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58"/>
      </w:tblGrid>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高性能应用处理器芯片研发及产业化注</w:t>
            </w:r>
            <w:r>
              <w:rPr>
                <w:rFonts w:ascii="Times New Roman" w:hAnsi="Times New Roman" w:cs="Times New Roman" w:eastAsia="Times New Roman" w:hint="default"/>
                <w:sz w:val="18"/>
                <w:szCs w:val="18"/>
              </w:rPr>
              <w:t>(1)</w:t>
            </w:r>
          </w:p>
        </w:tc>
        <w:tc>
          <w:tcPr>
            <w:tcW w:w="2789"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2,860,000.00</w:t>
            </w:r>
          </w:p>
        </w:tc>
      </w:tr>
      <w:tr>
        <w:trPr>
          <w:trHeight w:val="715"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7"/>
              <w:jc w:val="left"/>
              <w:rPr>
                <w:rFonts w:ascii="Times New Roman" w:hAnsi="Times New Roman" w:cs="Times New Roman" w:eastAsia="Times New Roman" w:hint="default"/>
                <w:sz w:val="18"/>
                <w:szCs w:val="18"/>
              </w:rPr>
            </w:pPr>
            <w:r>
              <w:rPr>
                <w:rFonts w:ascii="宋体" w:hAnsi="宋体" w:cs="宋体" w:eastAsia="宋体" w:hint="default"/>
                <w:sz w:val="18"/>
                <w:szCs w:val="18"/>
              </w:rPr>
              <w:t>面向平板电脑的应用处理器芯片研发及产业化 注</w:t>
            </w:r>
            <w:r>
              <w:rPr>
                <w:rFonts w:ascii="Times New Roman" w:hAnsi="Times New Roman" w:cs="Times New Roman" w:eastAsia="Times New Roman" w:hint="default"/>
                <w:sz w:val="18"/>
                <w:szCs w:val="18"/>
              </w:rPr>
              <w:t>(2)</w:t>
            </w:r>
          </w:p>
        </w:tc>
        <w:tc>
          <w:tcPr>
            <w:tcW w:w="2789"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JZ4760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应用处理器芯片产业化注</w:t>
            </w:r>
            <w:r>
              <w:rPr>
                <w:rFonts w:ascii="Times New Roman" w:hAnsi="Times New Roman" w:cs="Times New Roman" w:eastAsia="Times New Roman" w:hint="default"/>
                <w:sz w:val="18"/>
                <w:szCs w:val="18"/>
              </w:rPr>
              <w:t>(3)</w:t>
            </w:r>
          </w:p>
        </w:tc>
        <w:tc>
          <w:tcPr>
            <w:tcW w:w="2789"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1,125,000.00</w:t>
            </w:r>
          </w:p>
        </w:tc>
      </w:tr>
      <w:tr>
        <w:trPr>
          <w:trHeight w:val="716"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7"/>
              <w:jc w:val="left"/>
              <w:rPr>
                <w:rFonts w:ascii="Times New Roman" w:hAnsi="Times New Roman" w:cs="Times New Roman" w:eastAsia="Times New Roman" w:hint="default"/>
                <w:sz w:val="18"/>
                <w:szCs w:val="18"/>
              </w:rPr>
            </w:pPr>
            <w:r>
              <w:rPr>
                <w:rFonts w:ascii="宋体" w:hAnsi="宋体" w:cs="宋体" w:eastAsia="宋体" w:hint="default"/>
                <w:sz w:val="18"/>
                <w:szCs w:val="18"/>
              </w:rPr>
              <w:t>面向电子书市场的高性能嵌入式处理器芯片研 发及产业化注</w:t>
            </w:r>
            <w:r>
              <w:rPr>
                <w:rFonts w:ascii="Times New Roman" w:hAnsi="Times New Roman" w:cs="Times New Roman" w:eastAsia="Times New Roman" w:hint="default"/>
                <w:sz w:val="18"/>
                <w:szCs w:val="18"/>
              </w:rPr>
              <w:t>(4)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163,000.00</w:t>
            </w:r>
          </w:p>
        </w:tc>
      </w:tr>
      <w:tr>
        <w:trPr>
          <w:trHeight w:val="71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7"/>
              <w:jc w:val="left"/>
              <w:rPr>
                <w:rFonts w:ascii="Times New Roman" w:hAnsi="Times New Roman" w:cs="Times New Roman" w:eastAsia="Times New Roman" w:hint="default"/>
                <w:sz w:val="18"/>
                <w:szCs w:val="18"/>
              </w:rPr>
            </w:pPr>
            <w:r>
              <w:rPr>
                <w:rFonts w:ascii="宋体" w:hAnsi="宋体" w:cs="宋体" w:eastAsia="宋体" w:hint="default"/>
                <w:sz w:val="18"/>
                <w:szCs w:val="18"/>
              </w:rPr>
              <w:t>面向电子书市场的高性能嵌入式处理器芯片研 发及产业化注</w:t>
            </w:r>
            <w:r>
              <w:rPr>
                <w:rFonts w:ascii="Times New Roman" w:hAnsi="Times New Roman" w:cs="Times New Roman" w:eastAsia="Times New Roman" w:hint="default"/>
                <w:sz w:val="18"/>
                <w:szCs w:val="18"/>
              </w:rPr>
              <w:t>(5)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429,000.00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多媒体处理器芯片的研发注</w:t>
            </w:r>
            <w:r>
              <w:rPr>
                <w:rFonts w:ascii="Times New Roman" w:hAnsi="Times New Roman" w:cs="Times New Roman" w:eastAsia="Times New Roman" w:hint="default"/>
                <w:sz w:val="18"/>
                <w:szCs w:val="18"/>
              </w:rPr>
              <w:t>(6)</w:t>
            </w:r>
          </w:p>
        </w:tc>
        <w:tc>
          <w:tcPr>
            <w:tcW w:w="2789"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462,000.00</w:t>
            </w:r>
          </w:p>
        </w:tc>
      </w:tr>
      <w:tr>
        <w:trPr>
          <w:trHeight w:val="71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7"/>
              <w:jc w:val="left"/>
              <w:rPr>
                <w:rFonts w:ascii="Times New Roman" w:hAnsi="Times New Roman" w:cs="Times New Roman" w:eastAsia="Times New Roman" w:hint="default"/>
                <w:sz w:val="18"/>
                <w:szCs w:val="18"/>
              </w:rPr>
            </w:pPr>
            <w:r>
              <w:rPr>
                <w:rFonts w:ascii="宋体" w:hAnsi="宋体" w:cs="宋体" w:eastAsia="宋体" w:hint="default"/>
                <w:sz w:val="18"/>
                <w:szCs w:val="18"/>
              </w:rPr>
              <w:t>面向智能手机的应用处理器芯片研发及产业化 注</w:t>
            </w:r>
            <w:r>
              <w:rPr>
                <w:rFonts w:ascii="Times New Roman" w:hAnsi="Times New Roman" w:cs="Times New Roman" w:eastAsia="Times New Roman" w:hint="default"/>
                <w:sz w:val="18"/>
                <w:szCs w:val="18"/>
              </w:rPr>
              <w:t>(7)</w:t>
            </w:r>
          </w:p>
        </w:tc>
        <w:tc>
          <w:tcPr>
            <w:tcW w:w="2789"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715"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基于国产</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的移动终端应用处理器芯片研发 注</w:t>
            </w:r>
            <w:r>
              <w:rPr>
                <w:rFonts w:ascii="Times New Roman" w:hAnsi="Times New Roman" w:cs="Times New Roman" w:eastAsia="Times New Roman" w:hint="default"/>
                <w:sz w:val="18"/>
                <w:szCs w:val="18"/>
              </w:rPr>
              <w:t>(8)</w:t>
            </w:r>
          </w:p>
        </w:tc>
        <w:tc>
          <w:tcPr>
            <w:tcW w:w="2789"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2,770,000.00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便携多媒体终端核心芯片的研发注</w:t>
            </w:r>
            <w:r>
              <w:rPr>
                <w:rFonts w:ascii="Times New Roman" w:hAnsi="Times New Roman" w:cs="Times New Roman" w:eastAsia="Times New Roman" w:hint="default"/>
                <w:sz w:val="18"/>
                <w:szCs w:val="18"/>
              </w:rPr>
              <w:t>(9)</w:t>
            </w:r>
          </w:p>
        </w:tc>
        <w:tc>
          <w:tcPr>
            <w:tcW w:w="2789"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13,850,000.00</w:t>
            </w:r>
          </w:p>
        </w:tc>
      </w:tr>
      <w:tr>
        <w:trPr>
          <w:trHeight w:val="40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集成电路设计企业研发能力项目补助注</w:t>
            </w:r>
            <w:r>
              <w:rPr>
                <w:rFonts w:ascii="Times New Roman" w:hAnsi="Times New Roman" w:cs="Times New Roman" w:eastAsia="Times New Roman" w:hint="default"/>
                <w:sz w:val="18"/>
                <w:szCs w:val="18"/>
              </w:rPr>
              <w:t>(10)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10,286,000.00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领军人才专项注</w:t>
            </w:r>
            <w:r>
              <w:rPr>
                <w:rFonts w:ascii="Times New Roman" w:hAnsi="Times New Roman" w:cs="Times New Roman" w:eastAsia="Times New Roman" w:hint="default"/>
                <w:sz w:val="18"/>
                <w:szCs w:val="18"/>
              </w:rPr>
              <w:t>(11)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双核移动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芯片研发及产业化注</w:t>
            </w:r>
            <w:r>
              <w:rPr>
                <w:rFonts w:ascii="Times New Roman" w:hAnsi="Times New Roman" w:cs="Times New Roman" w:eastAsia="Times New Roman" w:hint="default"/>
                <w:sz w:val="18"/>
                <w:szCs w:val="18"/>
              </w:rPr>
              <w:t>(12)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3,692,000.00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14,596,000.00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23,309,000.00</w:t>
            </w:r>
          </w:p>
        </w:tc>
      </w:tr>
    </w:tbl>
    <w:p>
      <w:pPr>
        <w:pStyle w:val="BodyText"/>
        <w:spacing w:line="357" w:lineRule="auto" w:before="49"/>
        <w:ind w:left="513" w:right="0" w:hanging="361"/>
        <w:jc w:val="left"/>
      </w:pPr>
      <w:r>
        <w:rPr/>
        <w:t>其他非流动负债说明，包括本报告期取得的各类与资产相关、与收益相关的政府补助及其期末金额 </w:t>
      </w:r>
      <w:r>
        <w:rPr>
          <w:spacing w:val="-1"/>
        </w:rPr>
        <w:t>注</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20</w:t>
      </w:r>
      <w:r>
        <w:rPr>
          <w:spacing w:val="-1"/>
        </w:rPr>
        <w:t>日，本公司与信息产业部电子信息产业发展基金管理办公室签订《集成电路产业研究与开发专项资</w:t>
      </w:r>
    </w:p>
    <w:p>
      <w:pPr>
        <w:pStyle w:val="BodyText"/>
        <w:spacing w:line="201" w:lineRule="exact"/>
        <w:ind w:right="0"/>
        <w:jc w:val="left"/>
      </w:pPr>
      <w:r>
        <w:rPr/>
        <w:t>金研发资助项目协议书》，合同约定：鉴于本公司向工业和信息化部申请承担高性能应用处理器芯片研发及产业化项目的执</w:t>
      </w:r>
    </w:p>
    <w:p>
      <w:pPr>
        <w:pStyle w:val="BodyText"/>
        <w:spacing w:line="240" w:lineRule="auto" w:before="76"/>
        <w:ind w:right="0"/>
        <w:jc w:val="left"/>
      </w:pPr>
      <w:r>
        <w:rPr/>
        <w:t>行而给予本公司总额为</w:t>
      </w:r>
      <w:r>
        <w:rPr>
          <w:rFonts w:ascii="Times New Roman" w:hAnsi="Times New Roman" w:cs="Times New Roman" w:eastAsia="Times New Roman" w:hint="default"/>
        </w:rPr>
        <w:t>12,000,000.00</w:t>
      </w:r>
      <w:r>
        <w:rPr/>
        <w:t>元的资助。根据工业和信息化部文件</w:t>
      </w:r>
      <w:r>
        <w:rPr>
          <w:rFonts w:ascii="Times New Roman" w:hAnsi="Times New Roman" w:cs="Times New Roman" w:eastAsia="Times New Roman" w:hint="default"/>
        </w:rPr>
        <w:t>-</w:t>
      </w:r>
      <w:r>
        <w:rPr/>
        <w:t>工信部财</w:t>
      </w:r>
      <w:r>
        <w:rPr>
          <w:rFonts w:ascii="Times New Roman" w:hAnsi="Times New Roman" w:cs="Times New Roman" w:eastAsia="Times New Roman" w:hint="default"/>
        </w:rPr>
        <w:t>(2010)461</w:t>
      </w:r>
      <w:r>
        <w:rPr/>
        <w:t>号《工业和信息化部关于下达</w:t>
      </w:r>
    </w:p>
    <w:p>
      <w:pPr>
        <w:spacing w:after="0" w:line="240" w:lineRule="auto"/>
        <w:jc w:val="left"/>
        <w:sectPr>
          <w:footerReference w:type="default" r:id="rId14"/>
          <w:pgSz w:w="11910" w:h="16840"/>
          <w:pgMar w:footer="980" w:header="877" w:top="1060" w:bottom="116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190"/>
        <w:jc w:val="both"/>
      </w:pPr>
      <w:r>
        <w:rPr>
          <w:rFonts w:ascii="Times New Roman" w:hAnsi="Times New Roman" w:cs="Times New Roman" w:eastAsia="Times New Roman" w:hint="default"/>
          <w:spacing w:val="-1"/>
        </w:rPr>
        <w:t>2010</w:t>
      </w:r>
      <w:r>
        <w:rPr>
          <w:spacing w:val="-1"/>
        </w:rPr>
        <w:t>年度集成电路产业研究与开发专项资金使用计划的通知》，本公司于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22</w:t>
      </w:r>
      <w:r>
        <w:rPr>
          <w:spacing w:val="-1"/>
        </w:rPr>
        <w:t>日收到工信部专项拨款</w:t>
      </w:r>
      <w:r>
        <w:rPr>
          <w:rFonts w:ascii="Times New Roman" w:hAnsi="Times New Roman" w:cs="Times New Roman" w:eastAsia="Times New Roman" w:hint="default"/>
          <w:spacing w:val="-1"/>
        </w:rPr>
        <w:t>12,000,000.00</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元，根据上述项目合同约定的完成进度，本公司于</w:t>
      </w:r>
      <w:r>
        <w:rPr>
          <w:rFonts w:ascii="Times New Roman" w:hAnsi="Times New Roman" w:cs="Times New Roman" w:eastAsia="Times New Roman" w:hint="default"/>
        </w:rPr>
        <w:t>2012</w:t>
      </w:r>
      <w:r>
        <w:rPr/>
        <w:t>年结转营业外收入</w:t>
      </w:r>
      <w:r>
        <w:rPr>
          <w:rFonts w:ascii="Times New Roman" w:hAnsi="Times New Roman" w:cs="Times New Roman" w:eastAsia="Times New Roman" w:hint="default"/>
        </w:rPr>
        <w:t>2,860,000.00</w:t>
      </w:r>
      <w:r>
        <w:rPr/>
        <w:t>元，截至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日余额为</w:t>
      </w:r>
      <w:r>
        <w:rPr>
          <w:rFonts w:ascii="Times New Roman" w:hAnsi="Times New Roman" w:cs="Times New Roman" w:eastAsia="Times New Roman" w:hint="default"/>
        </w:rPr>
        <w:t>0.00</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t>元；</w:t>
      </w:r>
    </w:p>
    <w:p>
      <w:pPr>
        <w:pStyle w:val="BodyText"/>
        <w:spacing w:line="300" w:lineRule="auto" w:before="31"/>
        <w:ind w:right="191" w:firstLine="360"/>
        <w:jc w:val="both"/>
      </w:pPr>
      <w:r>
        <w:rPr>
          <w:spacing w:val="-1"/>
        </w:rPr>
        <w:t>注</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7</w:t>
      </w:r>
      <w:r>
        <w:rPr>
          <w:spacing w:val="-1"/>
        </w:rPr>
        <w:t>月，本公司与北京市经济和信息化委员会签定《面向平板电脑的应用处理器芯片研发及产业化项目合同</w:t>
      </w:r>
      <w:r>
        <w:rPr/>
        <w:t> 书》，根据北京市经济和信息化委员会文件京经信委发（</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200</w:t>
      </w:r>
      <w:r>
        <w:rPr/>
        <w:t>号《北京市经济和信息化委员会关于下达</w:t>
      </w:r>
      <w:r>
        <w:rPr>
          <w:rFonts w:ascii="Times New Roman" w:hAnsi="Times New Roman" w:cs="Times New Roman" w:eastAsia="Times New Roman" w:hint="default"/>
        </w:rPr>
        <w:t>2010</w:t>
      </w:r>
      <w:r>
        <w:rPr/>
        <w:t>年度第二</w:t>
      </w:r>
      <w:r>
        <w:rPr>
          <w:spacing w:val="-85"/>
        </w:rPr>
        <w:t> </w:t>
      </w:r>
      <w:r>
        <w:rPr>
          <w:spacing w:val="-85"/>
        </w:rPr>
      </w:r>
      <w:r>
        <w:rPr/>
        <w:t>批中小企业发展专项资金计划的通知》，本公司于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月收到北京经济和信息化委员会项目拨款</w:t>
      </w:r>
      <w:r>
        <w:rPr>
          <w:rFonts w:ascii="Times New Roman" w:hAnsi="Times New Roman" w:cs="Times New Roman" w:eastAsia="Times New Roman" w:hint="default"/>
        </w:rPr>
        <w:t>1,800,000.00</w:t>
      </w:r>
      <w:r>
        <w:rPr/>
        <w:t>元，根据</w:t>
      </w:r>
      <w:r>
        <w:rPr>
          <w:spacing w:val="-43"/>
        </w:rPr>
        <w:t> </w:t>
      </w:r>
      <w:r>
        <w:rPr/>
        <w:t>项目合同约定的完成进度，本公司于</w:t>
      </w:r>
      <w:r>
        <w:rPr>
          <w:rFonts w:ascii="Times New Roman" w:hAnsi="Times New Roman" w:cs="Times New Roman" w:eastAsia="Times New Roman" w:hint="default"/>
        </w:rPr>
        <w:t>2012</w:t>
      </w:r>
      <w:r>
        <w:rPr/>
        <w:t>年结转营业外收入</w:t>
      </w:r>
      <w:r>
        <w:rPr>
          <w:rFonts w:ascii="Times New Roman" w:hAnsi="Times New Roman" w:cs="Times New Roman" w:eastAsia="Times New Roman" w:hint="default"/>
        </w:rPr>
        <w:t>450,000.00</w:t>
      </w:r>
      <w:r>
        <w:rPr/>
        <w:t>元，截至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日余额为</w:t>
      </w:r>
      <w:r>
        <w:rPr>
          <w:rFonts w:ascii="Times New Roman" w:hAnsi="Times New Roman" w:cs="Times New Roman" w:eastAsia="Times New Roman" w:hint="default"/>
        </w:rPr>
        <w:t>0.00</w:t>
      </w:r>
      <w:r>
        <w:rPr/>
        <w:t>元；</w:t>
      </w:r>
    </w:p>
    <w:p>
      <w:pPr>
        <w:pStyle w:val="BodyText"/>
        <w:spacing w:line="300" w:lineRule="auto" w:before="13"/>
        <w:ind w:right="189" w:firstLine="360"/>
        <w:jc w:val="both"/>
      </w:pPr>
      <w:r>
        <w:rPr/>
        <w:t>注</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月，本公司与中关村科技园区海淀园管理委员会签订《</w:t>
      </w:r>
      <w:r>
        <w:rPr>
          <w:rFonts w:ascii="Times New Roman" w:hAnsi="Times New Roman" w:cs="Times New Roman" w:eastAsia="Times New Roman" w:hint="default"/>
        </w:rPr>
        <w:t>2010</w:t>
      </w:r>
      <w:r>
        <w:rPr/>
        <w:t>年海淀区促进重点创新型企业发展专项资 </w:t>
      </w:r>
      <w:r>
        <w:rPr>
          <w:spacing w:val="-2"/>
        </w:rPr>
        <w:t>金项目合同书》，根据中关村科技园区海淀园管理委员会海园发（</w:t>
      </w:r>
      <w:r>
        <w:rPr>
          <w:rFonts w:ascii="Times New Roman" w:hAnsi="Times New Roman" w:cs="Times New Roman" w:eastAsia="Times New Roman" w:hint="default"/>
          <w:spacing w:val="-2"/>
        </w:rPr>
        <w:t>2010</w:t>
      </w:r>
      <w:r>
        <w:rPr>
          <w:spacing w:val="-2"/>
        </w:rPr>
        <w:t>）</w:t>
      </w:r>
      <w:r>
        <w:rPr>
          <w:rFonts w:ascii="Times New Roman" w:hAnsi="Times New Roman" w:cs="Times New Roman" w:eastAsia="Times New Roman" w:hint="default"/>
          <w:spacing w:val="-2"/>
        </w:rPr>
        <w:t>35</w:t>
      </w:r>
      <w:r>
        <w:rPr>
          <w:spacing w:val="-2"/>
        </w:rPr>
        <w:t>号《</w:t>
      </w:r>
      <w:r>
        <w:rPr>
          <w:rFonts w:ascii="Times New Roman" w:hAnsi="Times New Roman" w:cs="Times New Roman" w:eastAsia="Times New Roman" w:hint="default"/>
          <w:spacing w:val="-2"/>
        </w:rPr>
        <w:t>2010</w:t>
      </w:r>
      <w:r>
        <w:rPr>
          <w:spacing w:val="-2"/>
        </w:rPr>
        <w:t>年海淀区促进重点创新型企业发展专项</w:t>
      </w:r>
      <w:r>
        <w:rPr>
          <w:spacing w:val="-58"/>
        </w:rPr>
        <w:t> </w:t>
      </w:r>
      <w:r>
        <w:rPr>
          <w:spacing w:val="-58"/>
        </w:rPr>
      </w:r>
      <w:r>
        <w:rPr/>
        <w:t>资金支持公告》，本公司于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月收到专项拨款</w:t>
      </w:r>
      <w:r>
        <w:rPr>
          <w:rFonts w:ascii="Times New Roman" w:hAnsi="Times New Roman" w:cs="Times New Roman" w:eastAsia="Times New Roman" w:hint="default"/>
        </w:rPr>
        <w:t>3,000,000.00</w:t>
      </w:r>
      <w:r>
        <w:rPr/>
        <w:t>元，根据项目合同约定的完成进度，本公司于</w:t>
      </w:r>
      <w:r>
        <w:rPr>
          <w:rFonts w:ascii="Times New Roman" w:hAnsi="Times New Roman" w:cs="Times New Roman" w:eastAsia="Times New Roman" w:hint="default"/>
        </w:rPr>
        <w:t>2012</w:t>
      </w:r>
      <w:r>
        <w:rPr/>
        <w:t>年结转</w:t>
      </w:r>
      <w:r>
        <w:rPr>
          <w:spacing w:val="-49"/>
        </w:rPr>
        <w:t> </w:t>
      </w:r>
      <w:r>
        <w:rPr/>
        <w:t>营业外收入</w:t>
      </w:r>
      <w:r>
        <w:rPr>
          <w:rFonts w:ascii="Times New Roman" w:hAnsi="Times New Roman" w:cs="Times New Roman" w:eastAsia="Times New Roman" w:hint="default"/>
        </w:rPr>
        <w:t>1,125,000.00</w:t>
      </w:r>
      <w:r>
        <w:rPr/>
        <w:t>元，截至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日余额为</w:t>
      </w:r>
      <w:r>
        <w:rPr>
          <w:rFonts w:ascii="Times New Roman" w:hAnsi="Times New Roman" w:cs="Times New Roman" w:eastAsia="Times New Roman" w:hint="default"/>
        </w:rPr>
        <w:t>0.00</w:t>
      </w:r>
      <w:r>
        <w:rPr/>
        <w:t>元；</w:t>
      </w:r>
    </w:p>
    <w:p>
      <w:pPr>
        <w:pStyle w:val="BodyText"/>
        <w:spacing w:line="300" w:lineRule="auto" w:before="13"/>
        <w:ind w:right="94" w:firstLine="360"/>
        <w:jc w:val="left"/>
      </w:pPr>
      <w:r>
        <w:rPr/>
        <w:t>注</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月，本公司与中关村科技园区管理委员会签订《中关村科技园区小企业创新支持资金（中关村移动互联 网产业集群专项）无偿资助项目合同》（立项代码：</w:t>
      </w:r>
      <w:r>
        <w:rPr>
          <w:rFonts w:ascii="Times New Roman" w:hAnsi="Times New Roman" w:cs="Times New Roman" w:eastAsia="Times New Roman" w:hint="default"/>
        </w:rPr>
        <w:t>10ZJ29</w:t>
      </w:r>
      <w:r>
        <w:rPr/>
        <w:t>），合同约定：中关村科技园区管理委员会向本公司承担的</w:t>
      </w:r>
      <w:r>
        <w:rPr>
          <w:spacing w:val="-44"/>
        </w:rPr>
        <w:t> </w:t>
      </w:r>
      <w:r>
        <w:rPr>
          <w:rFonts w:ascii="Times New Roman" w:hAnsi="Times New Roman" w:cs="Times New Roman" w:eastAsia="Times New Roman" w:hint="default"/>
        </w:rPr>
        <w:t>“</w:t>
      </w:r>
      <w:r>
        <w:rPr/>
        <w:t>面 向电子书市场的高性能嵌入式处理器芯片研发及产业化</w:t>
      </w:r>
      <w:r>
        <w:rPr>
          <w:rFonts w:ascii="Times New Roman" w:hAnsi="Times New Roman" w:cs="Times New Roman" w:eastAsia="Times New Roman" w:hint="default"/>
        </w:rPr>
        <w:t>”</w:t>
      </w:r>
      <w:r>
        <w:rPr/>
        <w:t>项目无偿提供</w:t>
      </w:r>
      <w:r>
        <w:rPr>
          <w:rFonts w:ascii="Times New Roman" w:hAnsi="Times New Roman" w:cs="Times New Roman" w:eastAsia="Times New Roman" w:hint="default"/>
        </w:rPr>
        <w:t>300,000.00</w:t>
      </w:r>
      <w:r>
        <w:rPr/>
        <w:t>元的资金资助，首次拨付</w:t>
      </w:r>
      <w:r>
        <w:rPr>
          <w:rFonts w:ascii="Times New Roman" w:hAnsi="Times New Roman" w:cs="Times New Roman" w:eastAsia="Times New Roman" w:hint="default"/>
        </w:rPr>
        <w:t>70%</w:t>
      </w:r>
      <w:r>
        <w:rPr/>
        <w:t>即</w:t>
      </w:r>
      <w:r>
        <w:rPr>
          <w:rFonts w:ascii="Times New Roman" w:hAnsi="Times New Roman" w:cs="Times New Roman" w:eastAsia="Times New Roman" w:hint="default"/>
        </w:rPr>
        <w:t>210,000.00</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t>元，项目验收合格后拨付</w:t>
      </w:r>
      <w:r>
        <w:rPr>
          <w:rFonts w:ascii="Times New Roman" w:hAnsi="Times New Roman" w:cs="Times New Roman" w:eastAsia="Times New Roman" w:hint="default"/>
        </w:rPr>
        <w:t>90,000.00</w:t>
      </w:r>
      <w:r>
        <w:rPr/>
        <w:t>元，本公司于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日收到专项拨款</w:t>
      </w:r>
      <w:r>
        <w:rPr>
          <w:rFonts w:ascii="Times New Roman" w:hAnsi="Times New Roman" w:cs="Times New Roman" w:eastAsia="Times New Roman" w:hint="default"/>
        </w:rPr>
        <w:t>210,000.00</w:t>
      </w:r>
      <w:r>
        <w:rPr/>
        <w:t>元；根据项目合同约定的完成进度， 本公司于</w:t>
      </w:r>
      <w:r>
        <w:rPr>
          <w:rFonts w:ascii="Times New Roman" w:hAnsi="Times New Roman" w:cs="Times New Roman" w:eastAsia="Times New Roman" w:hint="default"/>
        </w:rPr>
        <w:t>2012</w:t>
      </w:r>
      <w:r>
        <w:rPr/>
        <w:t>年结转营业外收入</w:t>
      </w:r>
      <w:r>
        <w:rPr>
          <w:rFonts w:ascii="Times New Roman" w:hAnsi="Times New Roman" w:cs="Times New Roman" w:eastAsia="Times New Roman" w:hint="default"/>
        </w:rPr>
        <w:t>140,000.00</w:t>
      </w:r>
      <w:r>
        <w:rPr/>
        <w:t>元，截至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日余额为</w:t>
      </w:r>
      <w:r>
        <w:rPr>
          <w:rFonts w:ascii="Times New Roman" w:hAnsi="Times New Roman" w:cs="Times New Roman" w:eastAsia="Times New Roman" w:hint="default"/>
        </w:rPr>
        <w:t>23,000.00</w:t>
      </w:r>
      <w:r>
        <w:rPr/>
        <w:t>元；</w:t>
      </w:r>
    </w:p>
    <w:p>
      <w:pPr>
        <w:pStyle w:val="BodyText"/>
        <w:spacing w:line="300" w:lineRule="auto" w:before="13"/>
        <w:ind w:right="186" w:firstLine="360"/>
        <w:jc w:val="both"/>
      </w:pPr>
      <w:r>
        <w:rPr>
          <w:spacing w:val="-1"/>
        </w:rPr>
        <w:t>注</w:t>
      </w: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2</w:t>
      </w:r>
      <w:r>
        <w:rPr>
          <w:spacing w:val="-1"/>
        </w:rPr>
        <w:t>月，本公司与科技部科技型中小企业技术创新基金管理中心、中关村科技园区管理委员会签订《科技型</w:t>
      </w:r>
      <w:r>
        <w:rPr/>
        <w:t> 中小企业技术创新基金无偿资助项目合同书》（立项代码：</w:t>
      </w:r>
      <w:r>
        <w:rPr>
          <w:rFonts w:ascii="Times New Roman" w:hAnsi="Times New Roman" w:cs="Times New Roman" w:eastAsia="Times New Roman" w:hint="default"/>
        </w:rPr>
        <w:t>11C26221100094</w:t>
      </w:r>
      <w:r>
        <w:rPr/>
        <w:t>），合同约定：科技部科技型中小企业技术创</w:t>
      </w:r>
      <w:r>
        <w:rPr>
          <w:spacing w:val="-35"/>
        </w:rPr>
        <w:t> </w:t>
      </w:r>
      <w:r>
        <w:rPr>
          <w:spacing w:val="-35"/>
        </w:rPr>
      </w:r>
      <w:r>
        <w:rPr/>
        <w:t>新基金管理中心、中关村科技园区管理委员会向本公司承担的</w:t>
      </w:r>
      <w:r>
        <w:rPr>
          <w:spacing w:val="20"/>
        </w:rPr>
        <w:t> </w:t>
      </w:r>
      <w:r>
        <w:rPr>
          <w:rFonts w:ascii="Times New Roman" w:hAnsi="Times New Roman" w:cs="Times New Roman" w:eastAsia="Times New Roman" w:hint="default"/>
        </w:rPr>
        <w:t>“</w:t>
      </w:r>
      <w:r>
        <w:rPr/>
        <w:t>面向电子书市场的高性能嵌入式处理器芯片研发及产业化</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项目无偿提供</w:t>
      </w:r>
      <w:r>
        <w:rPr>
          <w:rFonts w:ascii="Times New Roman" w:hAnsi="Times New Roman" w:cs="Times New Roman" w:eastAsia="Times New Roman" w:hint="default"/>
        </w:rPr>
        <w:t>700,000.00</w:t>
      </w:r>
      <w:r>
        <w:rPr/>
        <w:t>元的资金资助，首次拨付</w:t>
      </w:r>
      <w:r>
        <w:rPr>
          <w:rFonts w:ascii="Times New Roman" w:hAnsi="Times New Roman" w:cs="Times New Roman" w:eastAsia="Times New Roman" w:hint="default"/>
        </w:rPr>
        <w:t>70%</w:t>
      </w:r>
      <w:r>
        <w:rPr/>
        <w:t>即</w:t>
      </w:r>
      <w:r>
        <w:rPr>
          <w:rFonts w:ascii="Times New Roman" w:hAnsi="Times New Roman" w:cs="Times New Roman" w:eastAsia="Times New Roman" w:hint="default"/>
        </w:rPr>
        <w:t>490,000.00</w:t>
      </w:r>
      <w:r>
        <w:rPr/>
        <w:t>元，项目验收合格后拨付</w:t>
      </w:r>
      <w:r>
        <w:rPr>
          <w:rFonts w:ascii="Times New Roman" w:hAnsi="Times New Roman" w:cs="Times New Roman" w:eastAsia="Times New Roman" w:hint="default"/>
        </w:rPr>
        <w:t>210,000.00</w:t>
      </w:r>
      <w:r>
        <w:rPr/>
        <w:t>元，本公司于</w:t>
      </w:r>
      <w:r>
        <w:rPr>
          <w:rFonts w:ascii="Times New Roman" w:hAnsi="Times New Roman" w:cs="Times New Roman" w:eastAsia="Times New Roman" w:hint="default"/>
        </w:rPr>
        <w:t>2011</w:t>
      </w:r>
      <w:r>
        <w:rPr/>
        <w:t>年</w:t>
      </w:r>
      <w:r>
        <w:rPr>
          <w:spacing w:val="-58"/>
        </w:rPr>
        <w:t> </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9</w:t>
      </w:r>
      <w:r>
        <w:rPr>
          <w:spacing w:val="-3"/>
        </w:rPr>
        <w:t>日收到专项拨款</w:t>
      </w:r>
      <w:r>
        <w:rPr>
          <w:rFonts w:ascii="Times New Roman" w:hAnsi="Times New Roman" w:cs="Times New Roman" w:eastAsia="Times New Roman" w:hint="default"/>
          <w:spacing w:val="-3"/>
        </w:rPr>
        <w:t>490,000.00</w:t>
      </w:r>
      <w:r>
        <w:rPr>
          <w:spacing w:val="-3"/>
        </w:rPr>
        <w:t>元；根据项目合同约定的完成进度，本公司于</w:t>
      </w:r>
      <w:r>
        <w:rPr>
          <w:rFonts w:ascii="Times New Roman" w:hAnsi="Times New Roman" w:cs="Times New Roman" w:eastAsia="Times New Roman" w:hint="default"/>
          <w:spacing w:val="-3"/>
        </w:rPr>
        <w:t>2012</w:t>
      </w:r>
      <w:r>
        <w:rPr>
          <w:spacing w:val="-3"/>
        </w:rPr>
        <w:t>年结转营业外收入</w:t>
      </w:r>
      <w:r>
        <w:rPr>
          <w:rFonts w:ascii="Times New Roman" w:hAnsi="Times New Roman" w:cs="Times New Roman" w:eastAsia="Times New Roman" w:hint="default"/>
          <w:spacing w:val="-3"/>
        </w:rPr>
        <w:t>368,000.00</w:t>
      </w:r>
      <w:r>
        <w:rPr>
          <w:spacing w:val="-3"/>
        </w:rPr>
        <w:t>元，截至</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日余额为</w:t>
      </w:r>
      <w:r>
        <w:rPr>
          <w:rFonts w:ascii="Times New Roman" w:hAnsi="Times New Roman" w:cs="Times New Roman" w:eastAsia="Times New Roman" w:hint="default"/>
        </w:rPr>
        <w:t>61,000.00</w:t>
      </w:r>
      <w:r>
        <w:rPr/>
        <w:t>元；</w:t>
      </w:r>
    </w:p>
    <w:p>
      <w:pPr>
        <w:pStyle w:val="BodyText"/>
        <w:spacing w:line="300" w:lineRule="auto" w:before="13"/>
        <w:ind w:right="0" w:firstLine="360"/>
        <w:jc w:val="left"/>
      </w:pPr>
      <w:r>
        <w:rPr>
          <w:spacing w:val="2"/>
        </w:rPr>
        <w:t>注</w:t>
      </w: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w:t>
      </w:r>
      <w:r>
        <w:rPr>
          <w:spacing w:val="2"/>
        </w:rPr>
        <w:t>日，本公司与北京市海淀区科学技术委员会签定《北京市海淀区科技项目任务书》（项目编号： </w:t>
      </w:r>
      <w:r>
        <w:rPr>
          <w:rFonts w:ascii="Times New Roman" w:hAnsi="Times New Roman" w:cs="Times New Roman" w:eastAsia="Times New Roman" w:hint="default"/>
          <w:spacing w:val="-1"/>
        </w:rPr>
        <w:t>K20110025</w:t>
      </w:r>
      <w:r>
        <w:rPr>
          <w:spacing w:val="-1"/>
        </w:rPr>
        <w:t>），任务书约定：海淀区科学技术委员会为本公司承担的</w:t>
      </w:r>
      <w:r>
        <w:rPr>
          <w:rFonts w:ascii="Times New Roman" w:hAnsi="Times New Roman" w:cs="Times New Roman" w:eastAsia="Times New Roman" w:hint="default"/>
          <w:spacing w:val="-1"/>
        </w:rPr>
        <w:t>“</w:t>
      </w:r>
      <w:r>
        <w:rPr>
          <w:spacing w:val="-1"/>
        </w:rPr>
        <w:t>多媒体处理器芯片的研发</w:t>
      </w:r>
      <w:r>
        <w:rPr>
          <w:rFonts w:ascii="Times New Roman" w:hAnsi="Times New Roman" w:cs="Times New Roman" w:eastAsia="Times New Roman" w:hint="default"/>
          <w:spacing w:val="-1"/>
        </w:rPr>
        <w:t>”</w:t>
      </w:r>
      <w:r>
        <w:rPr>
          <w:spacing w:val="-1"/>
        </w:rPr>
        <w:t>项目提供补助</w:t>
      </w:r>
      <w:r>
        <w:rPr>
          <w:rFonts w:ascii="Times New Roman" w:hAnsi="Times New Roman" w:cs="Times New Roman" w:eastAsia="Times New Roman" w:hint="default"/>
          <w:spacing w:val="-1"/>
        </w:rPr>
        <w:t>500,000.00</w:t>
      </w:r>
      <w:r>
        <w:rPr>
          <w:spacing w:val="-1"/>
        </w:rPr>
        <w:t>元，</w:t>
      </w:r>
      <w:r>
        <w:rPr>
          <w:spacing w:val="-43"/>
        </w:rPr>
        <w:t> </w:t>
      </w:r>
      <w:r>
        <w:rPr>
          <w:spacing w:val="-3"/>
        </w:rPr>
        <w:t>本公司于</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15</w:t>
      </w:r>
      <w:r>
        <w:rPr>
          <w:spacing w:val="-3"/>
        </w:rPr>
        <w:t>日收到北京市海淀区科学技术委员会拨款</w:t>
      </w:r>
      <w:r>
        <w:rPr>
          <w:rFonts w:ascii="Times New Roman" w:hAnsi="Times New Roman" w:cs="Times New Roman" w:eastAsia="Times New Roman" w:hint="default"/>
          <w:spacing w:val="-3"/>
        </w:rPr>
        <w:t>500,000.00</w:t>
      </w:r>
      <w:r>
        <w:rPr>
          <w:spacing w:val="-3"/>
        </w:rPr>
        <w:t>元；根据项目合同约定的完成进度，本公司于</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年结转营业外收入</w:t>
      </w:r>
      <w:r>
        <w:rPr>
          <w:rFonts w:ascii="Times New Roman" w:hAnsi="Times New Roman" w:cs="Times New Roman" w:eastAsia="Times New Roman" w:hint="default"/>
        </w:rPr>
        <w:t>462,000.00</w:t>
      </w:r>
      <w:r>
        <w:rPr/>
        <w:t>元，截止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日余额为</w:t>
      </w:r>
      <w:r>
        <w:rPr>
          <w:rFonts w:ascii="Times New Roman" w:hAnsi="Times New Roman" w:cs="Times New Roman" w:eastAsia="Times New Roman" w:hint="default"/>
        </w:rPr>
        <w:t>0.00</w:t>
      </w:r>
      <w:r>
        <w:rPr/>
        <w:t>元；</w:t>
      </w:r>
    </w:p>
    <w:p>
      <w:pPr>
        <w:pStyle w:val="BodyText"/>
        <w:spacing w:line="300" w:lineRule="auto" w:before="13"/>
        <w:ind w:right="188" w:firstLine="360"/>
        <w:jc w:val="both"/>
      </w:pPr>
      <w:r>
        <w:rPr/>
        <w:t>注</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月，本公司与北京市经济和信息化委员会签定《北京市工业发展资金拨款项目合同书》，合同约定： 北京市经济和信息化委员会为本公司承担的</w:t>
      </w:r>
      <w:r>
        <w:rPr>
          <w:rFonts w:ascii="Times New Roman" w:hAnsi="Times New Roman" w:cs="Times New Roman" w:eastAsia="Times New Roman" w:hint="default"/>
        </w:rPr>
        <w:t>“</w:t>
      </w:r>
      <w:r>
        <w:rPr/>
        <w:t>面向智能手机的应用处理器芯片研发及产业化</w:t>
      </w:r>
      <w:r>
        <w:rPr>
          <w:rFonts w:ascii="Times New Roman" w:hAnsi="Times New Roman" w:cs="Times New Roman" w:eastAsia="Times New Roman" w:hint="default"/>
        </w:rPr>
        <w:t>”</w:t>
      </w:r>
      <w:r>
        <w:rPr/>
        <w:t>项目补助</w:t>
      </w:r>
      <w:r>
        <w:rPr>
          <w:rFonts w:ascii="Times New Roman" w:hAnsi="Times New Roman" w:cs="Times New Roman" w:eastAsia="Times New Roman" w:hint="default"/>
        </w:rPr>
        <w:t>1,400,000.00</w:t>
      </w:r>
      <w:r>
        <w:rPr/>
        <w:t>元，本公</w:t>
      </w:r>
      <w:r>
        <w:rPr>
          <w:spacing w:val="-26"/>
        </w:rPr>
        <w:t> </w:t>
      </w:r>
      <w:r>
        <w:rPr>
          <w:spacing w:val="-26"/>
        </w:rPr>
      </w:r>
      <w:r>
        <w:rPr/>
        <w:t>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日收到北京市经济和信息化委员会拨款</w:t>
      </w:r>
      <w:r>
        <w:rPr>
          <w:rFonts w:ascii="Times New Roman" w:hAnsi="Times New Roman" w:cs="Times New Roman" w:eastAsia="Times New Roman" w:hint="default"/>
        </w:rPr>
        <w:t>1,400,000.00</w:t>
      </w:r>
      <w:r>
        <w:rPr/>
        <w:t>元，根据项目合同约定的完成进度，本公司于</w:t>
      </w:r>
      <w:r>
        <w:rPr>
          <w:rFonts w:ascii="Times New Roman" w:hAnsi="Times New Roman" w:cs="Times New Roman" w:eastAsia="Times New Roman" w:hint="default"/>
        </w:rPr>
        <w:t>2012</w:t>
      </w:r>
      <w:r>
        <w:rPr/>
        <w:t>年</w:t>
      </w:r>
      <w:r>
        <w:rPr>
          <w:spacing w:val="-43"/>
        </w:rPr>
        <w:t> </w:t>
      </w:r>
      <w:r>
        <w:rPr/>
        <w:t>结转营业外收入</w:t>
      </w:r>
      <w:r>
        <w:rPr>
          <w:rFonts w:ascii="Times New Roman" w:hAnsi="Times New Roman" w:cs="Times New Roman" w:eastAsia="Times New Roman" w:hint="default"/>
        </w:rPr>
        <w:t>1,200,000.00</w:t>
      </w:r>
      <w:r>
        <w:rPr/>
        <w:t>元，截至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日余额为</w:t>
      </w:r>
      <w:r>
        <w:rPr>
          <w:rFonts w:ascii="Times New Roman" w:hAnsi="Times New Roman" w:cs="Times New Roman" w:eastAsia="Times New Roman" w:hint="default"/>
        </w:rPr>
        <w:t>0.00</w:t>
      </w:r>
      <w:r>
        <w:rPr/>
        <w:t>元；</w:t>
      </w:r>
    </w:p>
    <w:p>
      <w:pPr>
        <w:pStyle w:val="BodyText"/>
        <w:spacing w:line="300" w:lineRule="auto" w:before="13"/>
        <w:ind w:right="189" w:firstLine="360"/>
        <w:jc w:val="both"/>
      </w:pPr>
      <w:r>
        <w:rPr>
          <w:spacing w:val="6"/>
        </w:rPr>
        <w:t>注</w:t>
      </w:r>
      <w:r>
        <w:rPr>
          <w:rFonts w:ascii="Times New Roman" w:hAnsi="Times New Roman" w:cs="Times New Roman" w:eastAsia="Times New Roman" w:hint="default"/>
          <w:spacing w:val="6"/>
        </w:rPr>
        <w:t>(8)</w:t>
      </w:r>
      <w:r>
        <w:rPr>
          <w:spacing w:val="6"/>
        </w:rPr>
        <w:t>：</w:t>
      </w:r>
      <w:r>
        <w:rPr>
          <w:spacing w:val="-7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4"/>
        </w:rPr>
        <w:t> </w:t>
      </w:r>
      <w:r>
        <w:rPr>
          <w:spacing w:val="5"/>
        </w:rPr>
        <w:t>年</w:t>
      </w:r>
      <w:r>
        <w:rPr>
          <w:rFonts w:ascii="Times New Roman" w:hAnsi="Times New Roman" w:cs="Times New Roman" w:eastAsia="Times New Roman" w:hint="default"/>
          <w:spacing w:val="5"/>
        </w:rPr>
        <w:t>12</w:t>
      </w:r>
      <w:r>
        <w:rPr>
          <w:rFonts w:ascii="Times New Roman" w:hAnsi="Times New Roman" w:cs="Times New Roman" w:eastAsia="Times New Roman" w:hint="default"/>
          <w:spacing w:val="-24"/>
        </w:rPr>
        <w:t> </w:t>
      </w:r>
      <w:r>
        <w:rPr/>
        <w:t>月</w:t>
      </w:r>
      <w:r>
        <w:rPr>
          <w:spacing w:val="-71"/>
        </w:rPr>
        <w:t> </w:t>
      </w:r>
      <w:r>
        <w:rPr>
          <w:rFonts w:ascii="Times New Roman" w:hAnsi="Times New Roman" w:cs="Times New Roman" w:eastAsia="Times New Roman" w:hint="default"/>
        </w:rPr>
        <w:t>12</w:t>
      </w:r>
      <w:r>
        <w:rPr>
          <w:rFonts w:ascii="Times New Roman" w:hAnsi="Times New Roman" w:cs="Times New Roman" w:eastAsia="Times New Roman" w:hint="default"/>
          <w:spacing w:val="-24"/>
        </w:rPr>
        <w:t> </w:t>
      </w:r>
      <w:r>
        <w:rPr>
          <w:spacing w:val="8"/>
        </w:rPr>
        <w:t>日，</w:t>
      </w:r>
      <w:r>
        <w:rPr>
          <w:spacing w:val="-71"/>
        </w:rPr>
        <w:t> </w:t>
      </w:r>
      <w:r>
        <w:rPr>
          <w:spacing w:val="15"/>
        </w:rPr>
        <w:t>本公司与北京市科学技术委员会签订《</w:t>
      </w:r>
      <w:r>
        <w:rPr>
          <w:spacing w:val="-68"/>
        </w:rPr>
        <w:t> </w:t>
      </w:r>
      <w:r>
        <w:rPr>
          <w:spacing w:val="15"/>
        </w:rPr>
        <w:t>北京市科技计划课题任务书》（</w:t>
      </w:r>
      <w:r>
        <w:rPr>
          <w:spacing w:val="-71"/>
        </w:rPr>
        <w:t> </w:t>
      </w:r>
      <w:r>
        <w:rPr>
          <w:spacing w:val="13"/>
        </w:rPr>
        <w:t>课题编号：</w:t>
      </w:r>
      <w:r>
        <w:rPr/>
        <w:t> </w:t>
      </w:r>
      <w:r>
        <w:rPr>
          <w:rFonts w:ascii="Times New Roman" w:hAnsi="Times New Roman" w:cs="Times New Roman" w:eastAsia="Times New Roman" w:hint="default"/>
        </w:rPr>
        <w:t>Z111100066511008</w:t>
      </w:r>
      <w:r>
        <w:rPr/>
        <w:t>），合同约定：北京市科学技术委员会为本公司承担的</w:t>
      </w:r>
      <w:r>
        <w:rPr>
          <w:rFonts w:ascii="Times New Roman" w:hAnsi="Times New Roman" w:cs="Times New Roman" w:eastAsia="Times New Roman" w:hint="default"/>
        </w:rPr>
        <w:t>“</w:t>
      </w:r>
      <w:r>
        <w:rPr/>
        <w:t>基于国产</w:t>
      </w:r>
      <w:r>
        <w:rPr>
          <w:rFonts w:ascii="Times New Roman" w:hAnsi="Times New Roman" w:cs="Times New Roman" w:eastAsia="Times New Roman" w:hint="default"/>
        </w:rPr>
        <w:t>CPU</w:t>
      </w:r>
      <w:r>
        <w:rPr/>
        <w:t>的移动终端应用处理器芯片研发</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项目提供经费支持</w:t>
      </w:r>
      <w:r>
        <w:rPr>
          <w:rFonts w:ascii="Times New Roman" w:hAnsi="Times New Roman" w:cs="Times New Roman" w:eastAsia="Times New Roman" w:hint="default"/>
        </w:rPr>
        <w:t>3,000,000.00</w:t>
      </w:r>
      <w:r>
        <w:rPr/>
        <w:t>元，本公司于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日收到拨款</w:t>
      </w:r>
      <w:r>
        <w:rPr>
          <w:rFonts w:ascii="Times New Roman" w:hAnsi="Times New Roman" w:cs="Times New Roman" w:eastAsia="Times New Roman" w:hint="default"/>
        </w:rPr>
        <w:t>3,000,000.00</w:t>
      </w:r>
      <w:r>
        <w:rPr/>
        <w:t>元；根据项目合同约定的完成进度，本公 司于</w:t>
      </w:r>
      <w:r>
        <w:rPr>
          <w:rFonts w:ascii="Times New Roman" w:hAnsi="Times New Roman" w:cs="Times New Roman" w:eastAsia="Times New Roman" w:hint="default"/>
        </w:rPr>
        <w:t>2012</w:t>
      </w:r>
      <w:r>
        <w:rPr/>
        <w:t>年结转营业外收入</w:t>
      </w:r>
      <w:r>
        <w:rPr>
          <w:rFonts w:ascii="Times New Roman" w:hAnsi="Times New Roman" w:cs="Times New Roman" w:eastAsia="Times New Roman" w:hint="default"/>
        </w:rPr>
        <w:t>2,770,000.00</w:t>
      </w:r>
      <w:r>
        <w:rPr/>
        <w:t>元，截至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日余额为</w:t>
      </w:r>
      <w:r>
        <w:rPr>
          <w:rFonts w:ascii="Times New Roman" w:hAnsi="Times New Roman" w:cs="Times New Roman" w:eastAsia="Times New Roman" w:hint="default"/>
        </w:rPr>
        <w:t>0.00</w:t>
      </w:r>
      <w:r>
        <w:rPr/>
        <w:t>元；</w:t>
      </w:r>
    </w:p>
    <w:p>
      <w:pPr>
        <w:pStyle w:val="BodyText"/>
        <w:spacing w:line="300" w:lineRule="auto" w:before="13"/>
        <w:ind w:right="189" w:firstLine="360"/>
        <w:jc w:val="both"/>
      </w:pPr>
      <w:r>
        <w:rPr/>
        <w:t>注</w:t>
      </w:r>
      <w:r>
        <w:rPr>
          <w:rFonts w:ascii="Times New Roman" w:hAnsi="Times New Roman" w:cs="Times New Roman" w:eastAsia="Times New Roman" w:hint="default"/>
        </w:rPr>
        <w:t>(9)</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月，本公司与工业和信息化部电子发展基金管理办公室签订《集成电路产业研究与开发专项资金研发 </w:t>
      </w:r>
      <w:r>
        <w:rPr>
          <w:spacing w:val="12"/>
        </w:rPr>
        <w:t>资助项目协议书》，协议约定：工业和信息化部为本公司承担</w:t>
      </w:r>
      <w:r>
        <w:rPr>
          <w:rFonts w:ascii="Times New Roman" w:hAnsi="Times New Roman" w:cs="Times New Roman" w:eastAsia="Times New Roman" w:hint="default"/>
          <w:spacing w:val="12"/>
        </w:rPr>
        <w:t>“</w:t>
      </w:r>
      <w:r>
        <w:rPr>
          <w:spacing w:val="12"/>
        </w:rPr>
        <w:t>便携多媒体终端核心芯片的研发</w:t>
      </w:r>
      <w:r>
        <w:rPr>
          <w:rFonts w:ascii="Times New Roman" w:hAnsi="Times New Roman" w:cs="Times New Roman" w:eastAsia="Times New Roman" w:hint="default"/>
          <w:spacing w:val="12"/>
        </w:rPr>
        <w:t>”</w:t>
      </w:r>
      <w:r>
        <w:rPr>
          <w:spacing w:val="12"/>
        </w:rPr>
        <w:t>项目提供经费资助</w:t>
      </w:r>
      <w:r>
        <w:rPr>
          <w:spacing w:val="-70"/>
        </w:rPr>
        <w:t> </w:t>
      </w:r>
      <w:r>
        <w:rPr>
          <w:spacing w:val="-70"/>
        </w:rPr>
      </w:r>
      <w:r>
        <w:rPr>
          <w:rFonts w:ascii="Times New Roman" w:hAnsi="Times New Roman" w:cs="Times New Roman" w:eastAsia="Times New Roman" w:hint="default"/>
        </w:rPr>
        <w:t>15,000,000.00</w:t>
      </w:r>
      <w:r>
        <w:rPr/>
        <w:t>元，本公司于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日收到拨款</w:t>
      </w:r>
      <w:r>
        <w:rPr>
          <w:rFonts w:ascii="Times New Roman" w:hAnsi="Times New Roman" w:cs="Times New Roman" w:eastAsia="Times New Roman" w:hint="default"/>
        </w:rPr>
        <w:t>15,000,000.00</w:t>
      </w:r>
      <w:r>
        <w:rPr/>
        <w:t>元，根据项目合同约定的完成进度，本公司于</w:t>
      </w:r>
      <w:r>
        <w:rPr>
          <w:rFonts w:ascii="Times New Roman" w:hAnsi="Times New Roman" w:cs="Times New Roman" w:eastAsia="Times New Roman" w:hint="default"/>
        </w:rPr>
        <w:t>2012</w:t>
      </w:r>
      <w:r>
        <w:rPr/>
        <w:t>年结转 营业外收入</w:t>
      </w:r>
      <w:r>
        <w:rPr>
          <w:rFonts w:ascii="Times New Roman" w:hAnsi="Times New Roman" w:cs="Times New Roman" w:eastAsia="Times New Roman" w:hint="default"/>
        </w:rPr>
        <w:t>13,850,000.00</w:t>
      </w:r>
      <w:r>
        <w:rPr/>
        <w:t>元，截至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日余额为</w:t>
      </w:r>
      <w:r>
        <w:rPr>
          <w:rFonts w:ascii="Times New Roman" w:hAnsi="Times New Roman" w:cs="Times New Roman" w:eastAsia="Times New Roman" w:hint="default"/>
        </w:rPr>
        <w:t>0.00</w:t>
      </w:r>
      <w:r>
        <w:rPr/>
        <w:t>元；</w:t>
      </w:r>
    </w:p>
    <w:p>
      <w:pPr>
        <w:pStyle w:val="BodyText"/>
        <w:spacing w:line="300" w:lineRule="auto" w:before="13"/>
        <w:ind w:right="191" w:firstLine="360"/>
        <w:jc w:val="both"/>
      </w:pPr>
      <w:r>
        <w:rPr>
          <w:spacing w:val="-1"/>
        </w:rPr>
        <w:t>注</w:t>
      </w:r>
      <w:r>
        <w:rPr>
          <w:rFonts w:ascii="Times New Roman" w:hAnsi="Times New Roman" w:cs="Times New Roman" w:eastAsia="Times New Roman" w:hint="default"/>
          <w:spacing w:val="-1"/>
        </w:rPr>
        <w:t>(10)</w:t>
      </w:r>
      <w:r>
        <w:rPr>
          <w:spacing w:val="-1"/>
        </w:rPr>
        <w:t>：</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月，财政部下发文件《财政部关于下达</w:t>
      </w:r>
      <w:r>
        <w:rPr>
          <w:rFonts w:ascii="Times New Roman" w:hAnsi="Times New Roman" w:cs="Times New Roman" w:eastAsia="Times New Roman" w:hint="default"/>
          <w:spacing w:val="-1"/>
        </w:rPr>
        <w:t>2011</w:t>
      </w:r>
      <w:r>
        <w:rPr>
          <w:spacing w:val="-1"/>
        </w:rPr>
        <w:t>年集成电路设计企业研发能力专项补助资金的通知》（财</w:t>
      </w:r>
      <w:r>
        <w:rPr/>
        <w:t> </w:t>
      </w:r>
      <w:r>
        <w:rPr>
          <w:spacing w:val="-2"/>
        </w:rPr>
        <w:t>建【</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1058</w:t>
      </w:r>
      <w:r>
        <w:rPr>
          <w:spacing w:val="-2"/>
        </w:rPr>
        <w:t>号），文件中声明：北京市发展和改革委员会为本公司承担的</w:t>
      </w:r>
      <w:r>
        <w:rPr>
          <w:rFonts w:ascii="Times New Roman" w:hAnsi="Times New Roman" w:cs="Times New Roman" w:eastAsia="Times New Roman" w:hint="default"/>
          <w:spacing w:val="-2"/>
        </w:rPr>
        <w:t>“</w:t>
      </w:r>
      <w:r>
        <w:rPr>
          <w:spacing w:val="-2"/>
        </w:rPr>
        <w:t>集成电路设计企业研发能力</w:t>
      </w:r>
      <w:r>
        <w:rPr>
          <w:rFonts w:ascii="Times New Roman" w:hAnsi="Times New Roman" w:cs="Times New Roman" w:eastAsia="Times New Roman" w:hint="default"/>
          <w:spacing w:val="-2"/>
        </w:rPr>
        <w:t>”</w:t>
      </w:r>
      <w:r>
        <w:rPr>
          <w:spacing w:val="-2"/>
        </w:rPr>
        <w:t>项目提供经费资</w:t>
      </w:r>
      <w:r>
        <w:rPr>
          <w:spacing w:val="-42"/>
        </w:rPr>
        <w:t> </w:t>
      </w:r>
      <w:r>
        <w:rPr>
          <w:spacing w:val="-2"/>
        </w:rPr>
        <w:t>助</w:t>
      </w:r>
      <w:r>
        <w:rPr>
          <w:rFonts w:ascii="Times New Roman" w:hAnsi="Times New Roman" w:cs="Times New Roman" w:eastAsia="Times New Roman" w:hint="default"/>
          <w:spacing w:val="-2"/>
        </w:rPr>
        <w:t>15,000,000.00</w:t>
      </w:r>
      <w:r>
        <w:rPr>
          <w:spacing w:val="-2"/>
        </w:rPr>
        <w:t>元，本公司于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22</w:t>
      </w:r>
      <w:r>
        <w:rPr>
          <w:spacing w:val="-2"/>
        </w:rPr>
        <w:t>日收到北京市发展和改革委员会拨款</w:t>
      </w:r>
      <w:r>
        <w:rPr>
          <w:rFonts w:ascii="Times New Roman" w:hAnsi="Times New Roman" w:cs="Times New Roman" w:eastAsia="Times New Roman" w:hint="default"/>
          <w:spacing w:val="-2"/>
        </w:rPr>
        <w:t>15,000,000.00</w:t>
      </w:r>
      <w:r>
        <w:rPr>
          <w:spacing w:val="-2"/>
        </w:rPr>
        <w:t>元，根据项目的完成进度，本公</w:t>
      </w:r>
      <w:r>
        <w:rPr>
          <w:spacing w:val="-43"/>
        </w:rPr>
        <w:t> </w:t>
      </w:r>
      <w:r>
        <w:rPr>
          <w:spacing w:val="-43"/>
        </w:rPr>
      </w:r>
      <w:r>
        <w:rPr/>
        <w:t>司于</w:t>
      </w:r>
      <w:r>
        <w:rPr>
          <w:rFonts w:ascii="Times New Roman" w:hAnsi="Times New Roman" w:cs="Times New Roman" w:eastAsia="Times New Roman" w:hint="default"/>
        </w:rPr>
        <w:t>2012</w:t>
      </w:r>
      <w:r>
        <w:rPr/>
        <w:t>年结转营业外收入</w:t>
      </w:r>
      <w:r>
        <w:rPr>
          <w:rFonts w:ascii="Times New Roman" w:hAnsi="Times New Roman" w:cs="Times New Roman" w:eastAsia="Times New Roman" w:hint="default"/>
        </w:rPr>
        <w:t>4,714,000.00</w:t>
      </w:r>
      <w:r>
        <w:rPr/>
        <w:t>元，截至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日余额为</w:t>
      </w:r>
      <w:r>
        <w:rPr>
          <w:rFonts w:ascii="Times New Roman" w:hAnsi="Times New Roman" w:cs="Times New Roman" w:eastAsia="Times New Roman" w:hint="default"/>
        </w:rPr>
        <w:t>10,286,000.00</w:t>
      </w:r>
      <w:r>
        <w:rPr/>
        <w:t>元；</w:t>
      </w:r>
    </w:p>
    <w:p>
      <w:pPr>
        <w:pStyle w:val="BodyText"/>
        <w:spacing w:line="300" w:lineRule="auto" w:before="13"/>
        <w:ind w:right="188" w:firstLine="360"/>
        <w:jc w:val="both"/>
      </w:pPr>
      <w:r>
        <w:rPr>
          <w:spacing w:val="-2"/>
        </w:rPr>
        <w:t>注（</w:t>
      </w:r>
      <w:r>
        <w:rPr>
          <w:rFonts w:ascii="Times New Roman" w:hAnsi="Times New Roman" w:cs="Times New Roman" w:eastAsia="Times New Roman" w:hint="default"/>
          <w:spacing w:val="-2"/>
        </w:rPr>
        <w:t>11</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月，本公司与北京市科学技术委员会签订《北京市科技专项工作任务书》，协议约定：北京市科学</w:t>
      </w:r>
      <w:r>
        <w:rPr/>
        <w:t> 技术委员会为本公司承担的</w:t>
      </w:r>
      <w:r>
        <w:rPr>
          <w:rFonts w:ascii="Times New Roman" w:hAnsi="Times New Roman" w:cs="Times New Roman" w:eastAsia="Times New Roman" w:hint="default"/>
        </w:rPr>
        <w:t>“</w:t>
      </w:r>
      <w:r>
        <w:rPr/>
        <w:t>科技北京百名领军人才培养工程</w:t>
      </w:r>
      <w:r>
        <w:rPr>
          <w:rFonts w:ascii="Times New Roman" w:hAnsi="Times New Roman" w:cs="Times New Roman" w:eastAsia="Times New Roman" w:hint="default"/>
        </w:rPr>
        <w:t>-</w:t>
      </w:r>
      <w:r>
        <w:rPr/>
        <w:t>领军人才</w:t>
      </w:r>
      <w:r>
        <w:rPr>
          <w:rFonts w:ascii="Times New Roman" w:hAnsi="Times New Roman" w:cs="Times New Roman" w:eastAsia="Times New Roman" w:hint="default"/>
        </w:rPr>
        <w:t>-</w:t>
      </w:r>
      <w:r>
        <w:rPr/>
        <w:t>刘强</w:t>
      </w:r>
      <w:r>
        <w:rPr>
          <w:rFonts w:ascii="Times New Roman" w:hAnsi="Times New Roman" w:cs="Times New Roman" w:eastAsia="Times New Roman" w:hint="default"/>
        </w:rPr>
        <w:t>-</w:t>
      </w:r>
      <w:r>
        <w:rPr>
          <w:rFonts w:ascii="Times New Roman" w:hAnsi="Times New Roman" w:cs="Times New Roman" w:eastAsia="Times New Roman" w:hint="default"/>
        </w:rPr>
        <w:t>201206”</w:t>
      </w:r>
      <w:r>
        <w:rPr/>
        <w:t>项目提供经费资助</w:t>
      </w:r>
      <w:r>
        <w:rPr>
          <w:rFonts w:ascii="Times New Roman" w:hAnsi="Times New Roman" w:cs="Times New Roman" w:eastAsia="Times New Roman" w:hint="default"/>
        </w:rPr>
        <w:t>550,000.00</w:t>
      </w:r>
      <w:r>
        <w:rPr/>
        <w:t>元，本公</w:t>
      </w:r>
    </w:p>
    <w:p>
      <w:pPr>
        <w:spacing w:after="0" w:line="300" w:lineRule="auto"/>
        <w:jc w:val="both"/>
        <w:sectPr>
          <w:footerReference w:type="default" r:id="rId15"/>
          <w:pgSz w:w="11910" w:h="16840"/>
          <w:pgMar w:footer="980" w:header="877" w:top="1060" w:bottom="1160" w:left="980" w:right="940"/>
          <w:pgNumType w:start="101"/>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spacing w:val="5"/>
        </w:rPr>
        <w:t>司于</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12</w:t>
      </w:r>
      <w:r>
        <w:rPr>
          <w:spacing w:val="5"/>
        </w:rPr>
        <w:t>月收到北京市科学技术委员会拨款</w:t>
      </w:r>
      <w:r>
        <w:rPr>
          <w:rFonts w:ascii="Times New Roman" w:hAnsi="Times New Roman" w:cs="Times New Roman" w:eastAsia="Times New Roman" w:hint="default"/>
          <w:spacing w:val="5"/>
        </w:rPr>
        <w:t>550,000.00</w:t>
      </w:r>
      <w:r>
        <w:rPr>
          <w:spacing w:val="5"/>
        </w:rPr>
        <w:t>元，根据项目的完成进度，本公司于</w:t>
      </w:r>
      <w:r>
        <w:rPr>
          <w:rFonts w:ascii="Times New Roman" w:hAnsi="Times New Roman" w:cs="Times New Roman" w:eastAsia="Times New Roman" w:hint="default"/>
          <w:spacing w:val="5"/>
        </w:rPr>
        <w:t>2012</w:t>
      </w:r>
      <w:r>
        <w:rPr>
          <w:spacing w:val="5"/>
        </w:rPr>
        <w:t>年结转营业外收入</w:t>
      </w:r>
    </w:p>
    <w:p>
      <w:pPr>
        <w:pStyle w:val="BodyText"/>
        <w:spacing w:line="340" w:lineRule="auto" w:before="63"/>
        <w:ind w:left="496" w:right="0" w:hanging="344"/>
        <w:jc w:val="left"/>
      </w:pPr>
      <w:r>
        <w:rPr>
          <w:rFonts w:ascii="Times New Roman" w:hAnsi="Times New Roman" w:cs="Times New Roman" w:eastAsia="Times New Roman" w:hint="default"/>
        </w:rPr>
        <w:t>16,000.00</w:t>
      </w:r>
      <w:r>
        <w:rPr/>
        <w:t>元，截至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日余额为</w:t>
      </w:r>
      <w:r>
        <w:rPr>
          <w:rFonts w:ascii="Times New Roman" w:hAnsi="Times New Roman" w:cs="Times New Roman" w:eastAsia="Times New Roman" w:hint="default"/>
        </w:rPr>
        <w:t>534,000.00</w:t>
      </w:r>
      <w:r>
        <w:rPr/>
        <w:t>元； </w:t>
      </w:r>
      <w:r>
        <w:rPr>
          <w:spacing w:val="-2"/>
        </w:rPr>
        <w:t>注（</w:t>
      </w:r>
      <w:r>
        <w:rPr>
          <w:rFonts w:ascii="Times New Roman" w:hAnsi="Times New Roman" w:cs="Times New Roman" w:eastAsia="Times New Roman" w:hint="default"/>
          <w:spacing w:val="-2"/>
        </w:rPr>
        <w:t>12</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月，本公司与工业和信息化部电子发展基金管理办公室签订《集成电路产业研究与开发专项资金研</w:t>
      </w:r>
    </w:p>
    <w:p>
      <w:pPr>
        <w:pStyle w:val="BodyText"/>
        <w:spacing w:line="228" w:lineRule="exact"/>
        <w:ind w:right="0"/>
        <w:jc w:val="left"/>
      </w:pPr>
      <w:r>
        <w:rPr/>
        <w:t>发资助项目协议书》，协议约定：工业和信息化部为本公司承担</w:t>
      </w:r>
      <w:r>
        <w:rPr>
          <w:rFonts w:ascii="Times New Roman" w:hAnsi="Times New Roman" w:cs="Times New Roman" w:eastAsia="Times New Roman" w:hint="default"/>
        </w:rPr>
        <w:t>“</w:t>
      </w:r>
      <w:r>
        <w:rPr/>
        <w:t>双核移动</w:t>
      </w:r>
      <w:r>
        <w:rPr>
          <w:rFonts w:ascii="Times New Roman" w:hAnsi="Times New Roman" w:cs="Times New Roman" w:eastAsia="Times New Roman" w:hint="default"/>
        </w:rPr>
        <w:t>CPU</w:t>
      </w:r>
      <w:r>
        <w:rPr/>
        <w:t>芯片研发及产业化</w:t>
      </w:r>
      <w:r>
        <w:rPr>
          <w:rFonts w:ascii="Times New Roman" w:hAnsi="Times New Roman" w:cs="Times New Roman" w:eastAsia="Times New Roman" w:hint="default"/>
        </w:rPr>
        <w:t>”</w:t>
      </w:r>
      <w:r>
        <w:rPr/>
        <w:t>项目提供经费资助</w:t>
      </w:r>
    </w:p>
    <w:p>
      <w:pPr>
        <w:pStyle w:val="BodyText"/>
        <w:spacing w:line="300" w:lineRule="auto" w:before="63"/>
        <w:ind w:right="144"/>
        <w:jc w:val="left"/>
      </w:pPr>
      <w:r>
        <w:rPr>
          <w:rFonts w:ascii="Times New Roman" w:hAnsi="Times New Roman" w:cs="Times New Roman" w:eastAsia="Times New Roman" w:hint="default"/>
        </w:rPr>
        <w:t>4,000,000.00</w:t>
      </w:r>
      <w:r>
        <w:rPr/>
        <w:t>元，本公司与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日收到工业和信息化部拨款</w:t>
      </w:r>
      <w:r>
        <w:rPr>
          <w:rFonts w:ascii="Times New Roman" w:hAnsi="Times New Roman" w:cs="Times New Roman" w:eastAsia="Times New Roman" w:hint="default"/>
        </w:rPr>
        <w:t>4,000,000.00</w:t>
      </w:r>
      <w:r>
        <w:rPr/>
        <w:t>元，根据项目的完成进度，本公司于</w:t>
      </w:r>
      <w:r>
        <w:rPr>
          <w:rFonts w:ascii="Times New Roman" w:hAnsi="Times New Roman" w:cs="Times New Roman" w:eastAsia="Times New Roman" w:hint="default"/>
        </w:rPr>
        <w:t>2012</w:t>
      </w:r>
      <w:r>
        <w:rPr/>
        <w:t>年 结转营业外收入</w:t>
      </w:r>
      <w:r>
        <w:rPr>
          <w:rFonts w:ascii="Times New Roman" w:hAnsi="Times New Roman" w:cs="Times New Roman" w:eastAsia="Times New Roman" w:hint="default"/>
        </w:rPr>
        <w:t>308,000.00</w:t>
      </w:r>
      <w:r>
        <w:rPr/>
        <w:t>元，截至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日余额为</w:t>
      </w:r>
      <w:r>
        <w:rPr>
          <w:rFonts w:ascii="Times New Roman" w:hAnsi="Times New Roman" w:cs="Times New Roman" w:eastAsia="Times New Roman" w:hint="default"/>
        </w:rPr>
        <w:t>3,692,000.00</w:t>
      </w:r>
      <w:r>
        <w:rPr/>
        <w:t>元。</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47</w:t>
      </w:r>
      <w:r>
        <w:rPr/>
        <w:t>、股本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995"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80,000,000.00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24,000,000.00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24,000,000.00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104,000,000.00</w:t>
            </w:r>
          </w:p>
        </w:tc>
      </w:tr>
    </w:tbl>
    <w:p>
      <w:pPr>
        <w:pStyle w:val="BodyText"/>
        <w:spacing w:line="240" w:lineRule="auto" w:before="49"/>
        <w:ind w:right="0"/>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3"/>
        </w:rPr>
        <w:t> </w:t>
      </w:r>
      <w:r>
        <w:rPr>
          <w:rFonts w:ascii="Times New Roman" w:hAnsi="Times New Roman" w:cs="Times New Roman" w:eastAsia="Times New Roman" w:hint="default"/>
        </w:rPr>
        <w:t>3</w:t>
      </w:r>
    </w:p>
    <w:p>
      <w:pPr>
        <w:pStyle w:val="BodyText"/>
        <w:spacing w:line="360" w:lineRule="auto" w:before="60"/>
        <w:ind w:left="513" w:right="0" w:hanging="361"/>
        <w:jc w:val="left"/>
      </w:pPr>
      <w:r>
        <w:rPr/>
        <w:t>年的股份有限公司，设立前的年份只需说明净资产情况；有限责任公司整体变更为股份公司应说明公司设立时的验资情况 </w:t>
      </w:r>
      <w:r>
        <w:rPr>
          <w:spacing w:val="-1"/>
        </w:rPr>
        <w:t>注：根据</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27</w:t>
      </w:r>
      <w:r>
        <w:rPr>
          <w:spacing w:val="-1"/>
        </w:rPr>
        <w:t>日召开的</w:t>
      </w:r>
      <w:r>
        <w:rPr>
          <w:rFonts w:ascii="Times New Roman" w:hAnsi="Times New Roman" w:cs="Times New Roman" w:eastAsia="Times New Roman" w:hint="default"/>
          <w:spacing w:val="-1"/>
        </w:rPr>
        <w:t>2011</w:t>
      </w:r>
      <w:r>
        <w:rPr>
          <w:spacing w:val="-1"/>
        </w:rPr>
        <w:t>年年度股东大会会议决议，本公司申请增加注册资本人民币</w:t>
      </w:r>
      <w:r>
        <w:rPr>
          <w:rFonts w:ascii="Times New Roman" w:hAnsi="Times New Roman" w:cs="Times New Roman" w:eastAsia="Times New Roman" w:hint="default"/>
          <w:spacing w:val="-1"/>
        </w:rPr>
        <w:t>2,400</w:t>
      </w:r>
      <w:r>
        <w:rPr>
          <w:spacing w:val="-1"/>
        </w:rPr>
        <w:t>万元，由资本公积</w:t>
      </w:r>
    </w:p>
    <w:p>
      <w:pPr>
        <w:pStyle w:val="BodyText"/>
        <w:spacing w:line="212" w:lineRule="exact"/>
        <w:ind w:right="0"/>
        <w:jc w:val="left"/>
      </w:pPr>
      <w:r>
        <w:rPr/>
        <w:t>转增股本，转增基准日期为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日，变更后的股本为人民币</w:t>
      </w:r>
      <w:r>
        <w:rPr>
          <w:rFonts w:ascii="Times New Roman" w:hAnsi="Times New Roman" w:cs="Times New Roman" w:eastAsia="Times New Roman" w:hint="default"/>
        </w:rPr>
        <w:t>10,400</w:t>
      </w:r>
      <w:r>
        <w:rPr/>
        <w:t>万元。上述出资经北京兴华会计师事务所有限责</w:t>
      </w:r>
    </w:p>
    <w:p>
      <w:pPr>
        <w:pStyle w:val="BodyText"/>
        <w:spacing w:line="240" w:lineRule="auto" w:before="63"/>
        <w:ind w:right="0"/>
        <w:jc w:val="left"/>
      </w:pPr>
      <w:r>
        <w:rPr/>
        <w:t>任公司出具的</w:t>
      </w:r>
      <w:r>
        <w:rPr>
          <w:rFonts w:ascii="Times New Roman" w:hAnsi="Times New Roman" w:cs="Times New Roman" w:eastAsia="Times New Roman" w:hint="default"/>
        </w:rPr>
        <w:t>“[2012]</w:t>
      </w:r>
      <w:r>
        <w:rPr/>
        <w:t>京会兴验字第</w:t>
      </w:r>
      <w:r>
        <w:rPr>
          <w:rFonts w:ascii="Times New Roman" w:hAnsi="Times New Roman" w:cs="Times New Roman" w:eastAsia="Times New Roman" w:hint="default"/>
        </w:rPr>
        <w:t>01010117</w:t>
      </w:r>
      <w:r>
        <w:rPr/>
        <w:t>号验资报告</w:t>
      </w:r>
      <w:r>
        <w:rPr>
          <w:rFonts w:ascii="Times New Roman" w:hAnsi="Times New Roman" w:cs="Times New Roman" w:eastAsia="Times New Roman" w:hint="default"/>
        </w:rPr>
        <w:t>”</w:t>
      </w:r>
      <w:r>
        <w:rPr/>
        <w:t>验证。</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48</w:t>
      </w:r>
      <w:r>
        <w:rPr/>
        <w:t>、库存股</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819,817,178.85</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795,817,178.85</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819,817,178.85</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795,817,178.85</w:t>
            </w:r>
          </w:p>
        </w:tc>
      </w:tr>
    </w:tbl>
    <w:p>
      <w:pPr>
        <w:pStyle w:val="BodyText"/>
        <w:spacing w:line="240" w:lineRule="auto" w:before="49"/>
        <w:ind w:right="0"/>
        <w:jc w:val="both"/>
      </w:pPr>
      <w:r>
        <w:rPr/>
        <w:t>资本公积说明：无。</w:t>
      </w:r>
    </w:p>
    <w:p>
      <w:pPr>
        <w:pStyle w:val="BodyText"/>
        <w:spacing w:line="300" w:lineRule="auto" w:before="115"/>
        <w:ind w:right="202"/>
        <w:jc w:val="both"/>
      </w:pPr>
      <w:r>
        <w:rPr/>
        <w:t>注：根据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日召开的</w:t>
      </w:r>
      <w:r>
        <w:rPr>
          <w:rFonts w:ascii="Times New Roman" w:hAnsi="Times New Roman" w:cs="Times New Roman" w:eastAsia="Times New Roman" w:hint="default"/>
        </w:rPr>
        <w:t>2011</w:t>
      </w:r>
      <w:r>
        <w:rPr/>
        <w:t>年年度股东大会会议决议，本公司申请增加注册资本人民币</w:t>
      </w:r>
      <w:r>
        <w:rPr>
          <w:rFonts w:ascii="Times New Roman" w:hAnsi="Times New Roman" w:cs="Times New Roman" w:eastAsia="Times New Roman" w:hint="default"/>
        </w:rPr>
        <w:t>24,000,000.00</w:t>
      </w:r>
      <w:r>
        <w:rPr/>
        <w:t>元，由资本公 积转增股本，转增基准日期为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日，变更后的股本为人民币</w:t>
      </w:r>
      <w:r>
        <w:rPr>
          <w:rFonts w:ascii="Times New Roman" w:hAnsi="Times New Roman" w:cs="Times New Roman" w:eastAsia="Times New Roman" w:hint="default"/>
        </w:rPr>
        <w:t>104,000,000.00</w:t>
      </w:r>
      <w:r>
        <w:rPr/>
        <w:t>元。上述出资经北京兴华会计师事务 所有限责任公司出具的</w:t>
      </w:r>
      <w:r>
        <w:rPr>
          <w:rFonts w:ascii="Times New Roman" w:hAnsi="Times New Roman" w:cs="Times New Roman" w:eastAsia="Times New Roman" w:hint="default"/>
        </w:rPr>
        <w:t>“[2012]</w:t>
      </w:r>
      <w:r>
        <w:rPr/>
        <w:t>京会兴验字第</w:t>
      </w:r>
      <w:r>
        <w:rPr>
          <w:rFonts w:ascii="Times New Roman" w:hAnsi="Times New Roman" w:cs="Times New Roman" w:eastAsia="Times New Roman" w:hint="default"/>
        </w:rPr>
        <w:t>01010117</w:t>
      </w:r>
      <w:r>
        <w:rPr/>
        <w:t>号验资报告</w:t>
      </w:r>
      <w:r>
        <w:rPr>
          <w:rFonts w:ascii="Times New Roman" w:hAnsi="Times New Roman" w:cs="Times New Roman" w:eastAsia="Times New Roman" w:hint="default"/>
        </w:rPr>
        <w:t>”</w:t>
      </w:r>
      <w:r>
        <w:rPr/>
        <w:t>验证。</w:t>
      </w:r>
    </w:p>
    <w:p>
      <w:pPr>
        <w:spacing w:line="240" w:lineRule="auto" w:before="4"/>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17,923,145.21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5,535,761.46</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7" w:right="0"/>
              <w:jc w:val="left"/>
              <w:rPr>
                <w:rFonts w:ascii="Times New Roman" w:hAnsi="Times New Roman" w:cs="Times New Roman" w:eastAsia="Times New Roman" w:hint="default"/>
                <w:sz w:val="18"/>
                <w:szCs w:val="18"/>
              </w:rPr>
            </w:pPr>
            <w:r>
              <w:rPr>
                <w:rFonts w:ascii="Times New Roman"/>
                <w:sz w:val="18"/>
              </w:rPr>
              <w:t>23,458,906.67</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17,923,145.21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5,535,761.46</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23,458,906.67</w:t>
            </w:r>
          </w:p>
        </w:tc>
      </w:tr>
    </w:tbl>
    <w:p>
      <w:pPr>
        <w:pStyle w:val="BodyText"/>
        <w:spacing w:line="240" w:lineRule="auto" w:before="49"/>
        <w:ind w:right="0"/>
        <w:jc w:val="left"/>
      </w:pPr>
      <w:r>
        <w:rPr/>
        <w:t>盈余公积说明，用盈余公积转增股本、弥补亏损、分派股利的，应说明有关决议</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52</w:t>
      </w:r>
      <w:r>
        <w:rPr/>
        <w:t>、一般风险准备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41"/>
        <w:gridCol w:w="2122"/>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166,863,724.26</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47,875,614.78</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5,535,761.46</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48,000,000.00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161,203,577.58</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调整年初未分配利润明细：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2)</w:t>
      </w:r>
      <w:r>
        <w:rPr/>
        <w:t>、由于会计政策变更，影响年初未分配利润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4"/>
        <w:ind w:right="0"/>
        <w:jc w:val="left"/>
      </w:pPr>
      <w:r>
        <w:rPr>
          <w:rFonts w:ascii="Times New Roman" w:hAnsi="Times New Roman" w:cs="Times New Roman" w:eastAsia="Times New Roman" w:hint="default"/>
        </w:rPr>
        <w:t>3)</w:t>
      </w:r>
      <w:r>
        <w:rPr/>
        <w:t>、由于重大会计差错更正，影响年初未分配利润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26" w:lineRule="auto" w:before="101"/>
        <w:ind w:right="0"/>
        <w:jc w:val="left"/>
      </w:pPr>
      <w:r>
        <w:rPr>
          <w:rFonts w:ascii="Times New Roman" w:hAnsi="Times New Roman" w:cs="Times New Roman" w:eastAsia="Times New Roman" w:hint="default"/>
        </w:rPr>
        <w:t>5)</w:t>
      </w:r>
      <w:r>
        <w:rPr/>
        <w:t>、其他调整合计影响年初未分配利润元。</w:t>
      </w:r>
      <w:r>
        <w:rPr>
          <w:w w:val="99"/>
        </w:rPr>
        <w:t> </w:t>
      </w:r>
      <w:r>
        <w:rPr>
          <w:spacing w:val="-2"/>
        </w:rPr>
        <w:t>未分配利润说明，对于首次公开发行证券的公司，如果发行前的滚存利润经股东大会决议由新老股东共同享有，应明确予以</w:t>
      </w:r>
      <w:r>
        <w:rPr>
          <w:spacing w:val="-62"/>
        </w:rPr>
        <w:t> </w:t>
      </w:r>
      <w:r>
        <w:rPr>
          <w:spacing w:val="-62"/>
        </w:rPr>
      </w:r>
      <w:r>
        <w:rPr>
          <w:spacing w:val="-2"/>
        </w:rPr>
        <w:t>说明；如果发行前的滚存利润经股东大会决议在发行前进行分配并由老股东享有，公司应明确披露应付股利中老股东享有的</w:t>
      </w:r>
      <w:r>
        <w:rPr>
          <w:spacing w:val="-65"/>
        </w:rPr>
        <w:t> </w:t>
      </w:r>
      <w:r>
        <w:rPr>
          <w:spacing w:val="-65"/>
        </w:rPr>
      </w:r>
      <w:r>
        <w:rPr/>
        <w:t>经审计的利润数</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106,933,127.74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168,232,374.76</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55,867,695.52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73,594,924.81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消费电子</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32,534,451.38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17,159,989.91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78,046,251.59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34,967,322.96</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教育电子</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60,999,557.62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31,135,992.39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77,261,385.26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33,469,910.08</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移动互联网终端</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9,979,927.08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7,272,405.95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4,400,745.02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2,560,354.42</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3,419,191.66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299,307.27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8,523,992.89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2,597,337.35</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106,933,127.74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55,867,695.52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168,232,374.76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73,594,924.81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芯片</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101,227,593.19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52,953,922.02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160,781,663.87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71,232,752.54</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2,409,314.41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5,030,000.00</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3,296,220.14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2,913,773.50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2,420,710.89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2,362,172.27</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106,933,127.74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55,867,695.52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168,232,374.76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73,594,924.81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102,821,387.13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55,128,485.01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147,302,059.45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64,957,739.02</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4,111,740.61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739,210.51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20,930,315.31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8,637,185.79</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106,933,127.74</w:t>
            </w:r>
            <w:r>
              <w:rPr>
                <w:rFonts w:ascii="Times New Roman"/>
                <w:sz w:val="18"/>
              </w:rPr>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55,867,695.52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168,232,374.76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73,594,924.81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21"/>
        <w:gridCol w:w="2976"/>
        <w:gridCol w:w="3473"/>
      </w:tblGrid>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4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深圳市华辉进出口贸易有限公司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45,469,585.16</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42.52%</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步步高教育电子有限公司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36,383,771.75</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34.02%</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东莞市中控电子技术有限公司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9,047,908.20</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8.46%</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深圳市新天邑科技有限公司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5,458,016.61</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深圳市中控生物识别技术有限公司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2,563,709.01</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98,922,990.73</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92.51%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营业收入的说明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55</w:t>
      </w:r>
      <w:r>
        <w:rPr/>
        <w:t>、合同项目收入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56</w:t>
      </w:r>
      <w:r>
        <w:rPr/>
        <w:t>、营业税金及附加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2"/>
        <w:gridCol w:w="2003"/>
        <w:gridCol w:w="1863"/>
        <w:gridCol w:w="2921"/>
      </w:tblGrid>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125,465.76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251,500.00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542,853.31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1,055,105.13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233,364.99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452,173.62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154,387.38</w:t>
            </w:r>
          </w:p>
        </w:tc>
        <w:tc>
          <w:tcPr>
            <w:tcW w:w="186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1,056,071.44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1,758,778.75</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营业税金及附加的说明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1,641,162.16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528,502.90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1,961,642.24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3,402,096.33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55,868.74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164,293.60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138,745.44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172,653.18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其他销售费用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267,630.83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3,811,459.58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4,535,176.84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58</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122,702.77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125,513.97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796,054.42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236,568.94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435,690.67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844,472.60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5,735,080.84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4,564,303.63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166,159.97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163,185.59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3,357,089.28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2,462,125.48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689,963.09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130,247.40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2,151,328.43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1,577,500.00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研究开发费用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56,323,666.53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43,610,461.79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480,084.90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211,761.82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657,603.96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219,201.32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370,393.98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1,294,890.41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71,285,818.84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55,440,232.95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-29,811,826.93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-13,511,047.78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汇兑净损益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-66,750.89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57,665.83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49,537.68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5,205.49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11,154.96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-29,755,725.64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-13,517,106.03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60</w:t>
      </w:r>
      <w:r>
        <w:rPr/>
        <w:t>、公允价值变动收益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61</w:t>
      </w:r>
      <w:r>
        <w:rPr/>
        <w:t>、投资收益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5"/>
        <w:gridCol w:w="2525"/>
        <w:gridCol w:w="2777"/>
      </w:tblGrid>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5"/>
        <w:gridCol w:w="2525"/>
        <w:gridCol w:w="2789"/>
      </w:tblGrid>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433,204.67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217,503.64</w:t>
            </w:r>
          </w:p>
        </w:tc>
      </w:tr>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433,204.67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217,503.64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4"/>
        <w:gridCol w:w="1956"/>
        <w:gridCol w:w="2160"/>
        <w:gridCol w:w="2161"/>
      </w:tblGrid>
      <w:tr>
        <w:trPr>
          <w:trHeight w:val="161" w:hRule="exact"/>
        </w:trPr>
        <w:tc>
          <w:tcPr>
            <w:tcW w:w="3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1" w:hRule="exact"/>
        </w:trPr>
        <w:tc>
          <w:tcPr>
            <w:tcW w:w="3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44,523,630.00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12,916,000.00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44,523,630.00</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3,970,434.23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7,902,041.55</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25,232.83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2,208.93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84,232.83</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48,578,297.06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20,820,250.48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44,607,862.83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820"/>
        <w:gridCol w:w="1702"/>
        <w:gridCol w:w="1702"/>
        <w:gridCol w:w="1416"/>
      </w:tblGrid>
      <w:tr>
        <w:trPr>
          <w:trHeight w:val="401"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移动数字电视的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SOC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芯片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JZ4750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研发项目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高性能应用处理器芯片研发及产业化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7,140,000.00</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面向平板电脑的应用处理器芯片研发及产业化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JZ4760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应用处理器芯片产业化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面向电子书市场的高性能嵌入式处理器芯片研发及产业化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47,000.00</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面向电子书市场的高性能嵌入式处理器芯片研发及产业化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61,000.00</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多媒体处理器芯片的研发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38,000.00</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面向智能手机的应用处理器芯片研发及产业化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基于国产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的移动终端应用处理器芯片研发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230,000.00</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便携多媒体终端核心芯片的研发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13,850,000.00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1,150,000.00</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集成电路设计企业研发能力项目补助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4,714,000.00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基于国产软硬件的手机解决方案及样机研制</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高性能多媒体处理器芯片研发及产业化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基于国产工艺和国产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芯片研发及产业化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5,494,100.00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双核移动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芯片研发及产业化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领军人才专项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教育电子产品芯片研发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贷款贴息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150,790.00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820"/>
        <w:gridCol w:w="1702"/>
        <w:gridCol w:w="1702"/>
        <w:gridCol w:w="1416"/>
      </w:tblGrid>
      <w:tr>
        <w:trPr>
          <w:trHeight w:val="40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进口贴息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315,740.00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集成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EPD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模块的电子书应用处理器芯片研发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150,000.00</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44,523,630.00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12,916,000.00</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71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2"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2,271.03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20,186.98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2,271.03</w:t>
            </w:r>
          </w:p>
        </w:tc>
      </w:tr>
      <w:tr>
        <w:trPr>
          <w:trHeight w:val="404"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2,271.03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20,186.98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2,271.03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4,054,129.06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5,505,279.37</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880,885.52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-2,767,455.05</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4,935,014.58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2,737,824.32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7"/>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6097"/>
        <w:gridCol w:w="1844"/>
        <w:gridCol w:w="1699"/>
      </w:tblGrid>
      <w:tr>
        <w:trPr>
          <w:trHeight w:val="34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5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年度</w:t>
            </w:r>
            <w:r>
              <w:rPr>
                <w:rFonts w:ascii="宋体" w:hAnsi="宋体" w:cs="宋体" w:eastAsia="宋体" w:hint="default"/>
                <w:sz w:val="18"/>
                <w:szCs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4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基本每股收益和稀释每股收益计算</w:t>
            </w:r>
          </w:p>
        </w:tc>
        <w:tc>
          <w:tcPr>
            <w:tcW w:w="184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一）分子：</w:t>
            </w:r>
          </w:p>
        </w:tc>
        <w:tc>
          <w:tcPr>
            <w:tcW w:w="184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归属于公司普通股股东的净利润</w:t>
            </w:r>
            <w:r>
              <w:rPr>
                <w:rFonts w:ascii="Times New Roman" w:hAnsi="Times New Roman" w:cs="Times New Roman" w:eastAsia="Times New Roman" w:hint="default"/>
                <w:sz w:val="18"/>
                <w:szCs w:val="18"/>
              </w:rPr>
              <w:t>(P0)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47,875,614.78</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64,265,102.98</w:t>
            </w:r>
          </w:p>
        </w:tc>
      </w:tr>
      <w:tr>
        <w:trPr>
          <w:trHeight w:val="346"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调整：优先股股利及其它工具影响</w:t>
            </w:r>
          </w:p>
        </w:tc>
        <w:tc>
          <w:tcPr>
            <w:tcW w:w="184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基本每股收益计算中归属于母公司普通股股东的损益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47,875,614.78</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64,265,102.98</w:t>
            </w:r>
          </w:p>
        </w:tc>
      </w:tr>
      <w:tr>
        <w:trPr>
          <w:trHeight w:val="34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扣除非经常性损益后的归属于母公司普通股股东净利润</w:t>
            </w:r>
            <w:r>
              <w:rPr>
                <w:rFonts w:ascii="Times New Roman" w:hAnsi="Times New Roman" w:cs="Times New Roman" w:eastAsia="Times New Roman" w:hint="default"/>
                <w:sz w:val="18"/>
                <w:szCs w:val="18"/>
              </w:rPr>
              <w:t>(P1)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7,730,809.26</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52,335,946.70</w:t>
            </w:r>
          </w:p>
        </w:tc>
      </w:tr>
      <w:tr>
        <w:trPr>
          <w:trHeight w:val="346"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调整：与稀释性潜在普通股相关的股利和利息</w:t>
            </w:r>
          </w:p>
        </w:tc>
        <w:tc>
          <w:tcPr>
            <w:tcW w:w="184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因稀释性潜在普通股转换引起的收益或费用上的变化</w:t>
            </w:r>
          </w:p>
        </w:tc>
        <w:tc>
          <w:tcPr>
            <w:tcW w:w="184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稀释每股收益计算中归属于母公司普通股股东的损益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47,875,614.78</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64,265,102.98</w:t>
            </w:r>
          </w:p>
        </w:tc>
      </w:tr>
      <w:tr>
        <w:trPr>
          <w:trHeight w:val="34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稀释每股收益核算中扣除非经常性损益后的归属于母公司普通股股东净利润</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7,730,809.26</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52,335,946.70</w:t>
            </w:r>
          </w:p>
        </w:tc>
      </w:tr>
      <w:tr>
        <w:trPr>
          <w:trHeight w:val="346"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二）分母：</w:t>
            </w:r>
          </w:p>
        </w:tc>
        <w:tc>
          <w:tcPr>
            <w:tcW w:w="184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报告期初股份总数（</w:t>
            </w:r>
            <w:r>
              <w:rPr>
                <w:rFonts w:ascii="Times New Roman" w:hAnsi="Times New Roman" w:cs="Times New Roman" w:eastAsia="Times New Roman" w:hint="default"/>
                <w:sz w:val="18"/>
                <w:szCs w:val="18"/>
              </w:rPr>
              <w:t>S0)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104,000,000.00</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78,000,000.00</w:t>
            </w:r>
          </w:p>
        </w:tc>
      </w:tr>
      <w:tr>
        <w:trPr>
          <w:trHeight w:val="34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报告期因公积金转增股本或股票股利分配等增加股份数</w:t>
            </w:r>
            <w:r>
              <w:rPr>
                <w:rFonts w:ascii="Times New Roman" w:hAnsi="Times New Roman" w:cs="Times New Roman" w:eastAsia="Times New Roman" w:hint="default"/>
                <w:sz w:val="18"/>
                <w:szCs w:val="18"/>
              </w:rPr>
              <w:t>(S1)</w:t>
            </w:r>
          </w:p>
        </w:tc>
        <w:tc>
          <w:tcPr>
            <w:tcW w:w="184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报告期因发行新股或债转股等增加股份数</w:t>
            </w:r>
            <w:r>
              <w:rPr>
                <w:rFonts w:ascii="Times New Roman" w:hAnsi="Times New Roman" w:cs="Times New Roman" w:eastAsia="Times New Roman" w:hint="default"/>
                <w:sz w:val="18"/>
                <w:szCs w:val="18"/>
              </w:rPr>
              <w:t>(Si)</w:t>
            </w:r>
          </w:p>
        </w:tc>
        <w:tc>
          <w:tcPr>
            <w:tcW w:w="184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26,000,000.00</w:t>
            </w:r>
          </w:p>
        </w:tc>
      </w:tr>
      <w:tr>
        <w:trPr>
          <w:trHeight w:val="34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增加股份下一月份起至报告期期末的累计月份数</w:t>
            </w:r>
            <w:r>
              <w:rPr>
                <w:rFonts w:ascii="Times New Roman" w:hAnsi="Times New Roman" w:cs="Times New Roman" w:eastAsia="Times New Roman" w:hint="default"/>
                <w:sz w:val="18"/>
                <w:szCs w:val="18"/>
              </w:rPr>
              <w:t>(Mi)</w:t>
            </w:r>
          </w:p>
        </w:tc>
        <w:tc>
          <w:tcPr>
            <w:tcW w:w="184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7</w:t>
            </w:r>
          </w:p>
        </w:tc>
      </w:tr>
      <w:tr>
        <w:trPr>
          <w:trHeight w:val="34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报告期月份数</w:t>
            </w:r>
            <w:r>
              <w:rPr>
                <w:rFonts w:ascii="Times New Roman" w:hAnsi="Times New Roman" w:cs="Times New Roman" w:eastAsia="Times New Roman" w:hint="default"/>
                <w:sz w:val="18"/>
                <w:szCs w:val="18"/>
              </w:rPr>
              <w:t>(M0)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6097"/>
        <w:gridCol w:w="1844"/>
        <w:gridCol w:w="1699"/>
      </w:tblGrid>
      <w:tr>
        <w:trPr>
          <w:trHeight w:val="34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报告期末股份总数</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104,000,000.00</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104,000,000.00</w:t>
            </w:r>
          </w:p>
        </w:tc>
      </w:tr>
      <w:tr>
        <w:trPr>
          <w:trHeight w:val="346"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折股后股份总数</w:t>
            </w:r>
          </w:p>
        </w:tc>
        <w:tc>
          <w:tcPr>
            <w:tcW w:w="184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折股后股本增长系数</w:t>
            </w:r>
          </w:p>
        </w:tc>
        <w:tc>
          <w:tcPr>
            <w:tcW w:w="184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基本每股收益计算中当期发行在外普通股的加权平均数</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(S)=(S0+S1+Si*Mi/M0)*</w:t>
            </w:r>
            <w:r>
              <w:rPr>
                <w:rFonts w:ascii="宋体" w:hAnsi="宋体" w:cs="宋体" w:eastAsia="宋体" w:hint="default"/>
                <w:sz w:val="18"/>
                <w:szCs w:val="18"/>
              </w:rPr>
              <w:t>折股后股本增长系数</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104,000,000.00</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93,166,666.67</w:t>
            </w:r>
          </w:p>
        </w:tc>
      </w:tr>
      <w:tr>
        <w:trPr>
          <w:trHeight w:val="34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加：所有稀释性潜在普通股转换成普通股时的加权平均数</w:t>
            </w:r>
          </w:p>
        </w:tc>
        <w:tc>
          <w:tcPr>
            <w:tcW w:w="184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稀释每股收益计算中当期发行在外普通股加权平均数</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104,000,000.00</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93,166,666.67</w:t>
            </w:r>
          </w:p>
        </w:tc>
      </w:tr>
      <w:tr>
        <w:trPr>
          <w:trHeight w:val="34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三）每股收益</w:t>
            </w:r>
          </w:p>
        </w:tc>
        <w:tc>
          <w:tcPr>
            <w:tcW w:w="184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、基本每股收益</w:t>
            </w:r>
          </w:p>
        </w:tc>
        <w:tc>
          <w:tcPr>
            <w:tcW w:w="184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）归属于公司普通股股东的净利润</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0.4603</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0.6898</w:t>
            </w:r>
          </w:p>
        </w:tc>
      </w:tr>
      <w:tr>
        <w:trPr>
          <w:trHeight w:val="34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）扣除非经常性损益后归属于公司普通股股东的净利润</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0.0743</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0.5617</w:t>
            </w:r>
          </w:p>
        </w:tc>
      </w:tr>
      <w:tr>
        <w:trPr>
          <w:trHeight w:val="346"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、稀释每股收益</w:t>
            </w:r>
          </w:p>
        </w:tc>
        <w:tc>
          <w:tcPr>
            <w:tcW w:w="184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）归属于公司普通股股东的净利润</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0.4603</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0.6898</w:t>
            </w:r>
          </w:p>
        </w:tc>
      </w:tr>
      <w:tr>
        <w:trPr>
          <w:trHeight w:val="34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）扣除非经常性损益后归属于公司普通股股东的净利润</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0.0743</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0.5617</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67</w:t>
      </w:r>
      <w:r>
        <w:rPr/>
        <w:t>、其他综合收益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29"/>
        <w:gridCol w:w="2536"/>
        <w:gridCol w:w="2393"/>
      </w:tblGrid>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外币财务报表折算差额</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-456,214.78</w:t>
            </w:r>
          </w:p>
        </w:tc>
      </w:tr>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小计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-456,214.78</w:t>
            </w:r>
          </w:p>
        </w:tc>
      </w:tr>
      <w:tr>
        <w:trPr>
          <w:trHeight w:val="401"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-456,214.78</w:t>
            </w:r>
          </w:p>
        </w:tc>
      </w:tr>
    </w:tbl>
    <w:p>
      <w:pPr>
        <w:pStyle w:val="BodyText"/>
        <w:spacing w:line="240" w:lineRule="auto" w:before="49"/>
        <w:ind w:right="0"/>
        <w:jc w:val="left"/>
      </w:pPr>
      <w:r>
        <w:rPr/>
        <w:t>其他综合收益说明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17,278,888.87</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21,382,862.83</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14,512,000.00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2,763,581.59</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55,937,333.29</w:t>
            </w:r>
          </w:p>
        </w:tc>
      </w:tr>
    </w:tbl>
    <w:p>
      <w:pPr>
        <w:pStyle w:val="BodyText"/>
        <w:spacing w:line="240" w:lineRule="auto" w:before="49"/>
        <w:ind w:right="0"/>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3,788,817.98</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26,617,187.80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62,691.99</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2,271.03</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3,722,172.61</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34,193,141.41</w:t>
            </w:r>
          </w:p>
        </w:tc>
      </w:tr>
    </w:tbl>
    <w:p>
      <w:pPr>
        <w:pStyle w:val="BodyText"/>
        <w:spacing w:line="240" w:lineRule="auto" w:before="49"/>
        <w:ind w:right="0"/>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56,683.38</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56,683.38</w:t>
            </w:r>
          </w:p>
        </w:tc>
      </w:tr>
    </w:tbl>
    <w:p>
      <w:pPr>
        <w:pStyle w:val="BodyText"/>
        <w:spacing w:line="240" w:lineRule="auto" w:before="49"/>
        <w:ind w:right="0"/>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47,875,614.78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64,265,102.98</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433,204.67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217,503.64</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937,884.14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584,737.61</w:t>
            </w:r>
          </w:p>
        </w:tc>
      </w:tr>
    </w:tbl>
    <w:p>
      <w:pPr>
        <w:spacing w:after="0" w:line="240" w:lineRule="auto"/>
        <w:jc w:val="right"/>
        <w:rPr>
          <w:rFonts w:ascii="Times New Roman" w:hAnsi="Times New Roman" w:cs="Times New Roman" w:eastAsia="Times New Roman" w:hint="default"/>
          <w:sz w:val="18"/>
          <w:szCs w:val="18"/>
        </w:rPr>
        <w:sectPr>
          <w:footerReference w:type="default" r:id="rId16"/>
          <w:pgSz w:w="11910" w:h="16840"/>
          <w:pgMar w:footer="980" w:header="877" w:top="1060" w:bottom="1160" w:left="980" w:right="980"/>
          <w:pgNumType w:start="11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663,103.64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219,201.32</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1,502,421.60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626,009.01</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880,885.52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-2,767,455.05</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-13,946,623.32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-14,573,012.00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4,908,080.73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-14,234,377.93</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-8,197,013.48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6,720,627.44</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35,057,558.28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41,058,337.02</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929,782,178.74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984,635,710.87</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984,635,710.87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143,154,940.83</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-54,853,532.13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841,480,770.04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left="1546" w:right="0"/>
              <w:jc w:val="left"/>
              <w:rPr>
                <w:rFonts w:ascii="Times New Roman" w:hAnsi="Times New Roman" w:cs="Times New Roman" w:eastAsia="Times New Roman" w:hint="default"/>
                <w:sz w:val="18"/>
                <w:szCs w:val="18"/>
              </w:rPr>
            </w:pPr>
            <w:r>
              <w:rPr>
                <w:rFonts w:ascii="Times New Roman"/>
                <w:sz w:val="18"/>
              </w:rPr>
              <w:t>3,000,000.00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929,782,178.74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984,635,710.87</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38,495.26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68,265.14</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929,743,683.48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984,567,445.73</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929,782,178.74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984,635,710.87</w:t>
            </w:r>
          </w:p>
        </w:tc>
      </w:tr>
    </w:tbl>
    <w:p>
      <w:pPr>
        <w:pStyle w:val="BodyText"/>
        <w:spacing w:line="240" w:lineRule="auto" w:before="49"/>
        <w:ind w:right="0"/>
        <w:jc w:val="left"/>
      </w:pPr>
      <w:r>
        <w:rPr/>
        <w:t>现金流量表补充资料的说明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70</w:t>
      </w:r>
      <w:r>
        <w:rPr/>
        <w:t>、所有者权益变动表项目注释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980" w:top="1060" w:bottom="1160" w:left="980" w:right="980"/>
        </w:sectPr>
      </w:pPr>
    </w:p>
    <w:p>
      <w:pPr>
        <w:spacing w:line="240" w:lineRule="auto" w:before="8"/>
        <w:rPr>
          <w:rFonts w:ascii="宋体" w:hAnsi="宋体" w:cs="宋体" w:eastAsia="宋体" w:hint="default"/>
          <w:sz w:val="23"/>
          <w:szCs w:val="23"/>
        </w:rPr>
      </w:pPr>
    </w:p>
    <w:p>
      <w:pPr>
        <w:spacing w:line="506" w:lineRule="auto" w:before="26"/>
        <w:ind w:left="152" w:right="3135" w:firstLine="0"/>
        <w:jc w:val="left"/>
        <w:rPr>
          <w:rFonts w:ascii="宋体" w:hAnsi="宋体" w:cs="宋体" w:eastAsia="宋体" w:hint="default"/>
          <w:sz w:val="18"/>
          <w:szCs w:val="18"/>
        </w:rPr>
      </w:pPr>
      <w:r>
        <w:rPr>
          <w:rFonts w:ascii="宋体" w:hAnsi="宋体" w:cs="宋体" w:eastAsia="宋体" w:hint="default"/>
          <w:b/>
          <w:bCs/>
          <w:sz w:val="24"/>
          <w:szCs w:val="24"/>
        </w:rPr>
        <w:t>八、资产证券化业务的会计处理</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、说明资产证券化业务的主要交易安排及其会计处理、破产隔离条款</w:t>
      </w:r>
      <w:r>
        <w:rPr>
          <w:rFonts w:ascii="宋体" w:hAnsi="宋体" w:cs="宋体" w:eastAsia="宋体" w:hint="default"/>
          <w:b/>
          <w:bCs/>
          <w:spacing w:val="-75"/>
          <w:sz w:val="21"/>
          <w:szCs w:val="21"/>
        </w:rPr>
        <w:t> </w:t>
      </w:r>
      <w:r>
        <w:rPr>
          <w:rFonts w:ascii="宋体" w:hAnsi="宋体" w:cs="宋体" w:eastAsia="宋体" w:hint="default"/>
          <w:b/>
          <w:bCs/>
          <w:spacing w:val="-75"/>
          <w:sz w:val="21"/>
          <w:szCs w:val="21"/>
        </w:rPr>
      </w:r>
      <w:r>
        <w:rPr>
          <w:rFonts w:ascii="宋体" w:hAnsi="宋体" w:cs="宋体" w:eastAsia="宋体" w:hint="default"/>
          <w:sz w:val="18"/>
          <w:szCs w:val="18"/>
        </w:rPr>
        <w:t>无。</w:t>
      </w:r>
    </w:p>
    <w:p>
      <w:pPr>
        <w:pStyle w:val="Heading4"/>
        <w:spacing w:line="240" w:lineRule="auto" w:before="156"/>
        <w:ind w:right="3135"/>
        <w:jc w:val="left"/>
        <w:rPr>
          <w:b w:val="0"/>
          <w:bCs w:val="0"/>
        </w:rPr>
      </w:pPr>
      <w:r>
        <w:rPr>
          <w:rFonts w:ascii="Times New Roman" w:hAnsi="Times New Roman" w:cs="Times New Roman" w:eastAsia="Times New Roman" w:hint="default"/>
        </w:rPr>
        <w:t>2</w:t>
      </w:r>
      <w:r>
        <w:rPr/>
        <w:t>、公司不具有控制权但实质上承担其风险的特殊目的主体情况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3135"/>
        <w:jc w:val="left"/>
      </w:pPr>
      <w:r>
        <w:rPr/>
        <w:t>无。</w:t>
      </w:r>
    </w:p>
    <w:p>
      <w:pPr>
        <w:spacing w:line="240" w:lineRule="auto" w:before="1"/>
        <w:rPr>
          <w:rFonts w:ascii="宋体" w:hAnsi="宋体" w:cs="宋体" w:eastAsia="宋体" w:hint="default"/>
          <w:sz w:val="25"/>
          <w:szCs w:val="25"/>
        </w:rPr>
      </w:pPr>
    </w:p>
    <w:p>
      <w:pPr>
        <w:pStyle w:val="Heading2"/>
        <w:spacing w:line="240" w:lineRule="auto"/>
        <w:ind w:right="3135"/>
        <w:jc w:val="left"/>
        <w:rPr>
          <w:b w:val="0"/>
          <w:bCs w:val="0"/>
        </w:rPr>
      </w:pPr>
      <w:r>
        <w:rPr/>
        <w:t>九、关联方及关联交易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3135"/>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07"/>
        <w:gridCol w:w="1135"/>
        <w:gridCol w:w="869"/>
        <w:gridCol w:w="871"/>
        <w:gridCol w:w="869"/>
        <w:gridCol w:w="872"/>
        <w:gridCol w:w="869"/>
        <w:gridCol w:w="871"/>
        <w:gridCol w:w="869"/>
        <w:gridCol w:w="871"/>
        <w:gridCol w:w="862"/>
      </w:tblGrid>
      <w:tr>
        <w:trPr>
          <w:trHeight w:val="1338"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69" w:right="77" w:hanging="92"/>
              <w:jc w:val="left"/>
              <w:rPr>
                <w:rFonts w:ascii="宋体" w:hAnsi="宋体" w:cs="宋体" w:eastAsia="宋体" w:hint="default"/>
                <w:sz w:val="18"/>
                <w:szCs w:val="18"/>
              </w:rPr>
            </w:pPr>
            <w:r>
              <w:rPr>
                <w:rFonts w:ascii="宋体" w:hAnsi="宋体" w:cs="宋体" w:eastAsia="宋体" w:hint="default"/>
                <w:sz w:val="18"/>
                <w:szCs w:val="18"/>
              </w:rPr>
              <w:t>母公司 名称</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40" w:right="67"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67"/>
              <w:jc w:val="center"/>
              <w:rPr>
                <w:rFonts w:ascii="宋体" w:hAnsi="宋体" w:cs="宋体" w:eastAsia="宋体" w:hint="default"/>
                <w:sz w:val="18"/>
                <w:szCs w:val="18"/>
              </w:rPr>
            </w:pPr>
            <w:r>
              <w:rPr>
                <w:rFonts w:ascii="宋体" w:hAnsi="宋体" w:cs="宋体" w:eastAsia="宋体" w:hint="default"/>
                <w:sz w:val="18"/>
                <w:szCs w:val="18"/>
              </w:rPr>
              <w:t>母公司对 本企业的 持股比例</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8"/>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71"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401" w:hRule="exact"/>
        </w:trPr>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7"/>
              <w:jc w:val="right"/>
              <w:rPr>
                <w:rFonts w:ascii="宋体" w:hAnsi="宋体" w:cs="宋体" w:eastAsia="宋体" w:hint="default"/>
                <w:sz w:val="18"/>
                <w:szCs w:val="18"/>
              </w:rPr>
            </w:pPr>
            <w:r>
              <w:rPr>
                <w:rFonts w:ascii="宋体" w:hAnsi="宋体" w:cs="宋体" w:eastAsia="宋体" w:hint="default"/>
                <w:sz w:val="18"/>
                <w:szCs w:val="18"/>
              </w:rPr>
              <w:t>实际控制人</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22.62%</w:t>
            </w:r>
          </w:p>
        </w:tc>
        <w:tc>
          <w:tcPr>
            <w:tcW w:w="87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实际控制人</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15%</w:t>
            </w:r>
          </w:p>
        </w:tc>
        <w:tc>
          <w:tcPr>
            <w:tcW w:w="87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3135"/>
        <w:jc w:val="left"/>
      </w:pPr>
      <w:r>
        <w:rPr/>
        <w:t>本企业的母公司情况的说明</w:t>
      </w:r>
    </w:p>
    <w:p>
      <w:pPr>
        <w:spacing w:line="240" w:lineRule="auto" w:before="0"/>
        <w:rPr>
          <w:rFonts w:ascii="宋体" w:hAnsi="宋体" w:cs="宋体" w:eastAsia="宋体" w:hint="default"/>
          <w:sz w:val="18"/>
          <w:szCs w:val="18"/>
        </w:rPr>
      </w:pPr>
    </w:p>
    <w:p>
      <w:pPr>
        <w:pStyle w:val="Heading4"/>
        <w:spacing w:line="240" w:lineRule="auto" w:before="118"/>
        <w:ind w:right="3135"/>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1136"/>
        <w:gridCol w:w="886"/>
        <w:gridCol w:w="674"/>
        <w:gridCol w:w="708"/>
        <w:gridCol w:w="958"/>
        <w:gridCol w:w="886"/>
        <w:gridCol w:w="709"/>
        <w:gridCol w:w="850"/>
        <w:gridCol w:w="958"/>
      </w:tblGrid>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8"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7" w:hanging="92"/>
              <w:jc w:val="left"/>
              <w:rPr>
                <w:rFonts w:ascii="宋体" w:hAnsi="宋体" w:cs="宋体" w:eastAsia="宋体" w:hint="default"/>
                <w:sz w:val="18"/>
                <w:szCs w:val="18"/>
              </w:rPr>
            </w:pPr>
            <w:r>
              <w:rPr>
                <w:rFonts w:ascii="宋体" w:hAnsi="宋体" w:cs="宋体" w:eastAsia="宋体" w:hint="default"/>
                <w:sz w:val="18"/>
                <w:szCs w:val="18"/>
              </w:rPr>
              <w:t>法定代 表人</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77"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4" w:right="59"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 例</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北京君正集成电路（香 港）集团有限公司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1"/>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95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万港币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深圳君正时代集成电路 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1"/>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集成电路开 发、销售</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68759411-5</w:t>
            </w:r>
          </w:p>
        </w:tc>
      </w:tr>
    </w:tbl>
    <w:p>
      <w:pPr>
        <w:spacing w:line="240" w:lineRule="auto" w:before="3"/>
        <w:rPr>
          <w:rFonts w:ascii="宋体" w:hAnsi="宋体" w:cs="宋体" w:eastAsia="宋体" w:hint="default"/>
          <w:sz w:val="19"/>
          <w:szCs w:val="19"/>
        </w:rPr>
      </w:pPr>
    </w:p>
    <w:p>
      <w:pPr>
        <w:pStyle w:val="Heading4"/>
        <w:spacing w:line="240" w:lineRule="auto" w:before="36"/>
        <w:ind w:right="3135"/>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3135"/>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3135"/>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3135"/>
        <w:jc w:val="left"/>
      </w:pPr>
      <w:r>
        <w:rPr/>
        <w:t>无。</w:t>
      </w:r>
    </w:p>
    <w:p>
      <w:pPr>
        <w:spacing w:after="0" w:line="240" w:lineRule="auto"/>
        <w:jc w:val="left"/>
        <w:sectPr>
          <w:pgSz w:w="11910" w:h="16840"/>
          <w:pgMar w:header="877" w:footer="980" w:top="1060" w:bottom="1160" w:left="980" w:right="90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spacing w:line="506" w:lineRule="auto" w:before="0"/>
        <w:ind w:left="152" w:right="7772" w:firstLine="0"/>
        <w:jc w:val="left"/>
        <w:rPr>
          <w:rFonts w:ascii="宋体" w:hAnsi="宋体" w:cs="宋体" w:eastAsia="宋体" w:hint="default"/>
          <w:sz w:val="18"/>
          <w:szCs w:val="18"/>
        </w:rPr>
      </w:pPr>
      <w:r>
        <w:rPr>
          <w:rFonts w:ascii="宋体" w:hAnsi="宋体" w:cs="宋体" w:eastAsia="宋体" w:hint="default"/>
          <w:b/>
          <w:bCs/>
          <w:sz w:val="24"/>
          <w:szCs w:val="24"/>
        </w:rPr>
        <w:t>十、股份支付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b/>
          <w:bCs/>
          <w:w w:val="100"/>
          <w:sz w:val="21"/>
          <w:szCs w:val="21"/>
        </w:rPr>
        <w:t> </w:t>
      </w:r>
      <w:r>
        <w:rPr>
          <w:rFonts w:ascii="宋体" w:hAnsi="宋体" w:cs="宋体" w:eastAsia="宋体" w:hint="default"/>
          <w:sz w:val="18"/>
          <w:szCs w:val="18"/>
        </w:rPr>
        <w:t>无。</w:t>
      </w:r>
    </w:p>
    <w:p>
      <w:pPr>
        <w:pStyle w:val="Heading4"/>
        <w:spacing w:line="240" w:lineRule="auto" w:before="156"/>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w:t>
      </w:r>
      <w:r>
        <w:rPr/>
        <w:t>、以股份支付服务情况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w:t>
      </w:r>
      <w:r>
        <w:rPr/>
        <w:t>、股份支付的修改、终止情况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
        <w:rPr>
          <w:rFonts w:ascii="宋体" w:hAnsi="宋体" w:cs="宋体" w:eastAsia="宋体" w:hint="default"/>
          <w:sz w:val="25"/>
          <w:szCs w:val="25"/>
        </w:rPr>
      </w:pPr>
    </w:p>
    <w:p>
      <w:pPr>
        <w:spacing w:line="506" w:lineRule="auto" w:before="0"/>
        <w:ind w:left="152" w:right="5078" w:firstLine="0"/>
        <w:jc w:val="left"/>
        <w:rPr>
          <w:rFonts w:ascii="宋体" w:hAnsi="宋体" w:cs="宋体" w:eastAsia="宋体" w:hint="default"/>
          <w:sz w:val="18"/>
          <w:szCs w:val="18"/>
        </w:rPr>
      </w:pPr>
      <w:r>
        <w:rPr>
          <w:rFonts w:ascii="宋体" w:hAnsi="宋体" w:cs="宋体" w:eastAsia="宋体" w:hint="default"/>
          <w:b/>
          <w:bCs/>
          <w:sz w:val="24"/>
          <w:szCs w:val="24"/>
        </w:rPr>
        <w:t>十一、或有事项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、未决诉讼或仲裁形成的或有负债及其财务影响</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18"/>
          <w:szCs w:val="18"/>
        </w:rPr>
        <w:t>无。</w:t>
      </w:r>
    </w:p>
    <w:p>
      <w:pPr>
        <w:pStyle w:val="Heading4"/>
        <w:spacing w:line="240" w:lineRule="auto" w:before="153"/>
        <w:ind w:right="0"/>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spacing w:line="506" w:lineRule="auto" w:before="0"/>
        <w:ind w:left="152" w:right="8087" w:firstLine="0"/>
        <w:jc w:val="left"/>
        <w:rPr>
          <w:rFonts w:ascii="宋体" w:hAnsi="宋体" w:cs="宋体" w:eastAsia="宋体" w:hint="default"/>
          <w:sz w:val="18"/>
          <w:szCs w:val="18"/>
        </w:rPr>
      </w:pPr>
      <w:r>
        <w:rPr>
          <w:rFonts w:ascii="宋体" w:hAnsi="宋体" w:cs="宋体" w:eastAsia="宋体" w:hint="default"/>
          <w:b/>
          <w:bCs/>
          <w:sz w:val="24"/>
          <w:szCs w:val="24"/>
        </w:rPr>
        <w:t>十二、承诺事项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、重大承诺事项</w:t>
      </w:r>
      <w:r>
        <w:rPr>
          <w:rFonts w:ascii="宋体" w:hAnsi="宋体" w:cs="宋体" w:eastAsia="宋体" w:hint="default"/>
          <w:b/>
          <w:bCs/>
          <w:spacing w:val="-103"/>
          <w:sz w:val="21"/>
          <w:szCs w:val="21"/>
        </w:rPr>
        <w:t> </w:t>
      </w:r>
      <w:r>
        <w:rPr>
          <w:rFonts w:ascii="宋体" w:hAnsi="宋体" w:cs="宋体" w:eastAsia="宋体" w:hint="default"/>
          <w:sz w:val="18"/>
          <w:szCs w:val="18"/>
        </w:rPr>
        <w:t>无。</w:t>
      </w:r>
    </w:p>
    <w:p>
      <w:pPr>
        <w:pStyle w:val="Heading4"/>
        <w:spacing w:line="240" w:lineRule="auto" w:before="156"/>
        <w:ind w:right="0"/>
        <w:jc w:val="left"/>
        <w:rPr>
          <w:b w:val="0"/>
          <w:bCs w:val="0"/>
        </w:rPr>
      </w:pPr>
      <w:r>
        <w:rPr>
          <w:rFonts w:ascii="Times New Roman" w:hAnsi="Times New Roman" w:cs="Times New Roman" w:eastAsia="Times New Roman" w:hint="default"/>
        </w:rPr>
        <w:t>2</w:t>
      </w:r>
      <w:r>
        <w:rPr/>
        <w:t>、前期承诺履行情况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十三、资产负债表日后事项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w:t>
      </w:r>
      <w:r>
        <w:rPr>
          <w:spacing w:val="-63"/>
        </w:rPr>
        <w:t> </w:t>
      </w:r>
      <w:r>
        <w:rPr/>
        <w:t>重要的资产负债表日后事项说明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w:t>
      </w:r>
      <w:r>
        <w:rPr/>
        <w:t>、</w:t>
      </w:r>
      <w:r>
        <w:rPr>
          <w:spacing w:val="-63"/>
        </w:rPr>
        <w:t> </w:t>
      </w:r>
      <w:r>
        <w:rPr/>
        <w:t>资产负债表日后利润分配情况说明</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4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31,200,000.00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w:t>
      </w:r>
      <w:r>
        <w:rPr>
          <w:spacing w:val="-64"/>
        </w:rPr>
        <w:t> </w:t>
      </w:r>
      <w:r>
        <w:rPr/>
        <w:t>其他资产负债表日后事项说明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
        <w:rPr>
          <w:rFonts w:ascii="宋体" w:hAnsi="宋体" w:cs="宋体" w:eastAsia="宋体" w:hint="default"/>
          <w:sz w:val="25"/>
          <w:szCs w:val="25"/>
        </w:rPr>
      </w:pPr>
    </w:p>
    <w:p>
      <w:pPr>
        <w:spacing w:line="506" w:lineRule="auto" w:before="0"/>
        <w:ind w:left="152" w:right="7605" w:firstLine="0"/>
        <w:jc w:val="left"/>
        <w:rPr>
          <w:rFonts w:ascii="宋体" w:hAnsi="宋体" w:cs="宋体" w:eastAsia="宋体" w:hint="default"/>
          <w:sz w:val="18"/>
          <w:szCs w:val="18"/>
        </w:rPr>
      </w:pPr>
      <w:r>
        <w:rPr>
          <w:rFonts w:ascii="宋体" w:hAnsi="宋体" w:cs="宋体" w:eastAsia="宋体" w:hint="default"/>
          <w:b/>
          <w:bCs/>
          <w:sz w:val="24"/>
          <w:szCs w:val="24"/>
        </w:rPr>
        <w:t>十四、其他重要事项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b/>
          <w:bCs/>
          <w:w w:val="100"/>
          <w:sz w:val="21"/>
          <w:szCs w:val="21"/>
        </w:rPr>
        <w:t> </w:t>
      </w:r>
      <w:r>
        <w:rPr>
          <w:rFonts w:ascii="宋体" w:hAnsi="宋体" w:cs="宋体" w:eastAsia="宋体" w:hint="default"/>
          <w:sz w:val="18"/>
          <w:szCs w:val="18"/>
        </w:rPr>
        <w:t>无。</w:t>
      </w:r>
    </w:p>
    <w:p>
      <w:pPr>
        <w:pStyle w:val="Heading4"/>
        <w:spacing w:line="240" w:lineRule="auto" w:before="153"/>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3</w:t>
      </w:r>
      <w:r>
        <w:rPr/>
        <w:t>、企业合并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w:t>
      </w:r>
      <w:r>
        <w:rPr/>
        <w:t>、租赁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w:t>
      </w:r>
      <w:r>
        <w:rPr/>
        <w:t>、期末发行在外的、可转换为股份的金融工具</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8</w:t>
      </w:r>
      <w:r>
        <w:rPr/>
        <w:t>、年金计划主要内容及重大变化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十五、母公司财务报表主要项目注释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193"/>
        <w:gridCol w:w="533"/>
        <w:gridCol w:w="1327"/>
        <w:gridCol w:w="665"/>
        <w:gridCol w:w="1195"/>
        <w:gridCol w:w="665"/>
        <w:gridCol w:w="1328"/>
        <w:gridCol w:w="665"/>
      </w:tblGrid>
      <w:tr>
        <w:trPr>
          <w:trHeight w:val="403"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998" w:type="dxa"/>
            <w:vMerge/>
            <w:tcBorders>
              <w:left w:val="single" w:sz="4" w:space="0" w:color="000000"/>
              <w:right w:val="single" w:sz="4" w:space="0" w:color="000000"/>
            </w:tcBorders>
            <w:shd w:val="clear" w:color="auto" w:fill="D2D2D2"/>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组合一</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17,469,422.66</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199,674.51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30,169,095.40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17,469,422.66</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199,674.51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30,169,095.40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17,469,422.66</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199,674.51</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30,169,095.40</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980"/>
        </w:sectPr>
      </w:pPr>
    </w:p>
    <w:p>
      <w:pPr>
        <w:pStyle w:val="BodyText"/>
        <w:spacing w:line="357" w:lineRule="auto" w:before="49"/>
        <w:ind w:right="-20"/>
        <w:jc w:val="left"/>
      </w:pPr>
      <w:r>
        <w:rPr/>
        <w:t>应收账款种类的说明 期末单项金额重大并单项计提坏账准备的应收账款</w:t>
      </w:r>
    </w:p>
    <w:p>
      <w:pPr>
        <w:pStyle w:val="BodyText"/>
        <w:spacing w:line="340" w:lineRule="auto" w:before="2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w:t>
      </w:r>
      <w:r>
        <w:rPr>
          <w:spacing w:val="1"/>
        </w:rPr>
        <w:t> </w:t>
      </w:r>
      <w:r>
        <w:rPr/>
        <w:t>元</w:t>
      </w:r>
    </w:p>
    <w:p>
      <w:pPr>
        <w:spacing w:after="0" w:line="240" w:lineRule="auto"/>
        <w:jc w:val="left"/>
        <w:sectPr>
          <w:type w:val="continuous"/>
          <w:pgSz w:w="11910" w:h="16840"/>
          <w:pgMar w:top="880" w:bottom="280" w:left="980" w:right="980"/>
          <w:cols w:num="2" w:equalWidth="0">
            <w:col w:w="4113" w:space="4716"/>
            <w:col w:w="1121"/>
          </w:cols>
        </w:sectPr>
      </w:pP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995"/>
        <w:gridCol w:w="662"/>
        <w:gridCol w:w="1462"/>
        <w:gridCol w:w="2126"/>
        <w:gridCol w:w="665"/>
        <w:gridCol w:w="1594"/>
      </w:tblGrid>
      <w:tr>
        <w:trPr>
          <w:trHeight w:val="401"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34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066" w:type="dxa"/>
            <w:vMerge/>
            <w:tcBorders>
              <w:left w:val="single" w:sz="4" w:space="0" w:color="000000"/>
              <w:right w:val="single" w:sz="4" w:space="0" w:color="000000"/>
            </w:tcBorders>
            <w:shd w:val="clear" w:color="auto" w:fill="D2D2D2"/>
          </w:tcPr>
          <w:p>
            <w:pPr/>
          </w:p>
        </w:tc>
        <w:tc>
          <w:tcPr>
            <w:tcW w:w="26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15,151,794.37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86.73%</w:t>
            </w:r>
          </w:p>
        </w:tc>
        <w:tc>
          <w:tcPr>
            <w:tcW w:w="146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30,169,095.40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641,766.40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32,088.32</w:t>
            </w:r>
          </w:p>
        </w:tc>
        <w:tc>
          <w:tcPr>
            <w:tcW w:w="21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 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15,793,560.77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32,088.32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30,169,095.40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1,675,861.89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167,586.19</w:t>
            </w:r>
          </w:p>
        </w:tc>
        <w:tc>
          <w:tcPr>
            <w:tcW w:w="21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17,469,422.66</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199,674.51</w:t>
            </w:r>
          </w:p>
        </w:tc>
        <w:tc>
          <w:tcPr>
            <w:tcW w:w="212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pacing w:val="-1"/>
                <w:sz w:val="18"/>
              </w:rPr>
              <w:t>30,169,095.40</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2" w:space="0" w:color="D2D2D2"/>
              <w:bottom w:val="single" w:sz="4" w:space="0" w:color="000000"/>
              <w:right w:val="single" w:sz="4" w:space="0" w:color="000000"/>
            </w:tcBorders>
          </w:tcPr>
          <w:p>
            <w:pPr/>
          </w:p>
        </w:tc>
      </w:tr>
    </w:tbl>
    <w:p>
      <w:pPr>
        <w:pStyle w:val="BodyText"/>
        <w:spacing w:line="240" w:lineRule="auto" w:before="49"/>
        <w:ind w:right="0"/>
        <w:jc w:val="left"/>
      </w:pPr>
      <w:r>
        <w:rPr/>
        <w:t>组合中，采用余额百分比法计提坏账准备的应收账款</w:t>
      </w:r>
    </w:p>
    <w:p>
      <w:pPr>
        <w:pStyle w:val="BodyText"/>
        <w:spacing w:line="340" w:lineRule="auto" w:before="115"/>
        <w:ind w:right="5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40" w:lineRule="auto" w:before="39"/>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spacing w:after="0" w:line="340" w:lineRule="auto"/>
        <w:jc w:val="left"/>
        <w:sectPr>
          <w:type w:val="continuous"/>
          <w:pgSz w:w="11910" w:h="16840"/>
          <w:pgMar w:top="880" w:bottom="2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7"/>
        <w:gridCol w:w="1702"/>
        <w:gridCol w:w="1702"/>
        <w:gridCol w:w="1561"/>
        <w:gridCol w:w="1699"/>
      </w:tblGrid>
      <w:tr>
        <w:trPr>
          <w:trHeight w:val="714"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21" w:right="31"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 例</w:t>
            </w:r>
            <w:r>
              <w:rPr>
                <w:rFonts w:ascii="Times New Roman" w:hAnsi="Times New Roman" w:cs="Times New Roman" w:eastAsia="Times New Roman" w:hint="default"/>
                <w:sz w:val="18"/>
                <w:szCs w:val="18"/>
              </w:rPr>
              <w:t>(%)</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深圳市华辉进出口贸易有限公司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7,043,566.65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40.32%</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步步高教育电子有限公司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3,885,411.02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22.24%</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深圳君正时代集成电路有限公司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3,280,514.70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18.78%</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创兴国际贸易（上海）有限公司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1,675,861.89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9.59%</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东莞市中控电子技术有限公司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940,302.00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16,825,656.26</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96.31%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5"/>
        <w:gridCol w:w="2268"/>
        <w:gridCol w:w="2127"/>
        <w:gridCol w:w="2432"/>
      </w:tblGrid>
      <w:tr>
        <w:trPr>
          <w:trHeight w:val="40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深圳君正时代集成电路有限公司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3,280,514.70</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18.78%</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3,280,514.70</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18.78%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不符合终止确认条件的应收账款的转移金额为</w:t>
      </w:r>
      <w:r>
        <w:rPr>
          <w:spacing w:val="-4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877"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69"/>
        <w:gridCol w:w="1455"/>
        <w:gridCol w:w="528"/>
        <w:gridCol w:w="1320"/>
        <w:gridCol w:w="528"/>
        <w:gridCol w:w="1322"/>
        <w:gridCol w:w="529"/>
        <w:gridCol w:w="1190"/>
        <w:gridCol w:w="526"/>
      </w:tblGrid>
      <w:tr>
        <w:trPr>
          <w:trHeight w:val="403" w:hRule="exact"/>
        </w:trPr>
        <w:tc>
          <w:tcPr>
            <w:tcW w:w="2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169" w:type="dxa"/>
            <w:vMerge/>
            <w:tcBorders>
              <w:left w:val="single" w:sz="4" w:space="0" w:color="000000"/>
              <w:right w:val="single" w:sz="4" w:space="0" w:color="000000"/>
            </w:tcBorders>
            <w:shd w:val="clear" w:color="auto" w:fill="D2D2D2"/>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6" w:hRule="exact"/>
        </w:trPr>
        <w:tc>
          <w:tcPr>
            <w:tcW w:w="2169" w:type="dxa"/>
            <w:vMerge/>
            <w:tcBorders>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27"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24"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6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3" w:hRule="exact"/>
        </w:trPr>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组合二</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19,699,338.78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1,933,091.63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9.81%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10,522,649.34</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811,374.73</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7.71%</w:t>
            </w:r>
          </w:p>
        </w:tc>
      </w:tr>
      <w:tr>
        <w:trPr>
          <w:trHeight w:val="401" w:hRule="exact"/>
        </w:trPr>
        <w:tc>
          <w:tcPr>
            <w:tcW w:w="2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19,699,338.78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1,933,091.63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9.81%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10,522,649.34</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811,374.73</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7.71%</w:t>
            </w:r>
          </w:p>
        </w:tc>
      </w:tr>
      <w:tr>
        <w:trPr>
          <w:trHeight w:val="403" w:hRule="exact"/>
        </w:trPr>
        <w:tc>
          <w:tcPr>
            <w:tcW w:w="2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19,699,338.78</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1,933,091.63</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10,522,649.34</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811,374.73</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980"/>
        </w:sectPr>
      </w:pPr>
    </w:p>
    <w:p>
      <w:pPr>
        <w:pStyle w:val="BodyText"/>
        <w:spacing w:line="357" w:lineRule="auto" w:before="49"/>
        <w:ind w:right="-20"/>
        <w:jc w:val="left"/>
      </w:pPr>
      <w:r>
        <w:rPr/>
        <w:t>其他应收款种类的说明 期末单项金额重大并单项计提坏账准备的其他应收款</w:t>
      </w:r>
    </w:p>
    <w:p>
      <w:pPr>
        <w:pStyle w:val="BodyText"/>
        <w:spacing w:line="340" w:lineRule="auto" w:before="2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w:t>
      </w:r>
      <w:r>
        <w:rPr>
          <w:spacing w:val="1"/>
        </w:rPr>
        <w:t> </w:t>
      </w:r>
      <w:r>
        <w:rPr/>
        <w:t>元</w:t>
      </w:r>
    </w:p>
    <w:p>
      <w:pPr>
        <w:spacing w:after="0" w:line="240" w:lineRule="auto"/>
        <w:jc w:val="left"/>
        <w:sectPr>
          <w:type w:val="continuous"/>
          <w:pgSz w:w="11910" w:h="16840"/>
          <w:pgMar w:top="880" w:bottom="28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56"/>
        <w:gridCol w:w="1799"/>
        <w:gridCol w:w="657"/>
        <w:gridCol w:w="1595"/>
        <w:gridCol w:w="1867"/>
        <w:gridCol w:w="660"/>
        <w:gridCol w:w="1725"/>
      </w:tblGrid>
      <w:tr>
        <w:trPr>
          <w:trHeight w:val="401" w:hRule="exact"/>
        </w:trPr>
        <w:tc>
          <w:tcPr>
            <w:tcW w:w="1256" w:type="dxa"/>
            <w:vMerge w:val="restart"/>
            <w:tcBorders>
              <w:top w:val="single" w:sz="4" w:space="0" w:color="000000"/>
              <w:left w:val="single" w:sz="4" w:space="0" w:color="000000"/>
              <w:right w:val="single" w:sz="4" w:space="0" w:color="000000"/>
            </w:tcBorders>
            <w:shd w:val="clear" w:color="auto" w:fill="D2D2D2"/>
          </w:tcPr>
          <w:p>
            <w:pPr/>
          </w:p>
        </w:tc>
        <w:tc>
          <w:tcPr>
            <w:tcW w:w="40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256" w:type="dxa"/>
            <w:vMerge/>
            <w:tcBorders>
              <w:left w:val="single" w:sz="4" w:space="0" w:color="000000"/>
              <w:bottom w:val="nil" w:sz="6" w:space="0" w:color="auto"/>
              <w:right w:val="single" w:sz="4" w:space="0" w:color="000000"/>
            </w:tcBorders>
            <w:shd w:val="clear" w:color="auto" w:fill="D2D2D2"/>
          </w:tcPr>
          <w:p>
            <w:pPr/>
          </w:p>
        </w:tc>
        <w:tc>
          <w:tcPr>
            <w:tcW w:w="24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vMerge w:val="restart"/>
            <w:tcBorders>
              <w:top w:val="single" w:sz="4" w:space="0" w:color="000000"/>
              <w:left w:val="single" w:sz="4" w:space="0" w:color="000000"/>
              <w:right w:val="single" w:sz="4" w:space="0" w:color="000000"/>
            </w:tcBorders>
            <w:shd w:val="clear" w:color="auto" w:fill="D2D2D2"/>
          </w:tcPr>
          <w:p>
            <w:pPr/>
          </w:p>
        </w:tc>
        <w:tc>
          <w:tcPr>
            <w:tcW w:w="2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5" w:type="dxa"/>
            <w:vMerge w:val="restart"/>
            <w:tcBorders>
              <w:top w:val="single" w:sz="4" w:space="0" w:color="000000"/>
              <w:left w:val="single" w:sz="4" w:space="0" w:color="000000"/>
              <w:right w:val="single" w:sz="4" w:space="0" w:color="000000"/>
            </w:tcBorders>
            <w:shd w:val="clear" w:color="auto" w:fill="D2D2D2"/>
          </w:tcPr>
          <w:p>
            <w:pPr/>
          </w:p>
        </w:tc>
      </w:tr>
      <w:tr>
        <w:trPr>
          <w:trHeight w:val="224" w:hRule="exact"/>
        </w:trPr>
        <w:tc>
          <w:tcPr>
            <w:tcW w:w="12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2456" w:type="dxa"/>
            <w:gridSpan w:val="2"/>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c>
          <w:tcPr>
            <w:tcW w:w="2527" w:type="dxa"/>
            <w:gridSpan w:val="2"/>
            <w:vMerge/>
            <w:tcBorders>
              <w:left w:val="single" w:sz="4" w:space="0" w:color="000000"/>
              <w:bottom w:val="single" w:sz="4" w:space="0" w:color="000000"/>
              <w:right w:val="single" w:sz="4" w:space="0" w:color="000000"/>
            </w:tcBorders>
            <w:shd w:val="clear" w:color="auto" w:fill="D2D2D2"/>
          </w:tcPr>
          <w:p>
            <w:pPr/>
          </w:p>
        </w:tc>
        <w:tc>
          <w:tcPr>
            <w:tcW w:w="1725"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256" w:type="dxa"/>
            <w:vMerge/>
            <w:tcBorders>
              <w:left w:val="single" w:sz="4" w:space="0" w:color="000000"/>
              <w:bottom w:val="single" w:sz="4" w:space="0" w:color="FFFFFF"/>
              <w:right w:val="single" w:sz="4" w:space="0" w:color="000000"/>
            </w:tcBorders>
            <w:shd w:val="clear" w:color="auto" w:fill="D2D2D2"/>
          </w:tcPr>
          <w:p>
            <w:pPr/>
          </w:p>
        </w:tc>
        <w:tc>
          <w:tcPr>
            <w:tcW w:w="1799"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5" w:right="0"/>
              <w:jc w:val="left"/>
              <w:rPr>
                <w:rFonts w:ascii="Times New Roman" w:hAnsi="Times New Roman" w:cs="Times New Roman" w:eastAsia="Times New Roman" w:hint="default"/>
                <w:sz w:val="18"/>
                <w:szCs w:val="18"/>
              </w:rPr>
            </w:pPr>
            <w:r>
              <w:rPr>
                <w:rFonts w:ascii="Times New Roman"/>
                <w:sz w:val="18"/>
              </w:rPr>
              <w:t>(%)</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8" w:right="0"/>
              <w:jc w:val="left"/>
              <w:rPr>
                <w:rFonts w:ascii="Times New Roman" w:hAnsi="Times New Roman" w:cs="Times New Roman" w:eastAsia="Times New Roman" w:hint="default"/>
                <w:sz w:val="18"/>
                <w:szCs w:val="18"/>
              </w:rPr>
            </w:pPr>
            <w:r>
              <w:rPr>
                <w:rFonts w:ascii="Times New Roman"/>
                <w:sz w:val="18"/>
              </w:rPr>
              <w:t>(%)</w:t>
            </w:r>
          </w:p>
        </w:tc>
        <w:tc>
          <w:tcPr>
            <w:tcW w:w="17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2" w:hRule="exact"/>
        </w:trPr>
        <w:tc>
          <w:tcPr>
            <w:tcW w:w="1256" w:type="dxa"/>
            <w:vMerge w:val="restart"/>
            <w:tcBorders>
              <w:top w:val="single" w:sz="4" w:space="0" w:color="FFFFFF"/>
              <w:left w:val="single" w:sz="4" w:space="0" w:color="000000"/>
              <w:right w:val="single" w:sz="4" w:space="0" w:color="000000"/>
            </w:tcBorders>
            <w:shd w:val="clear" w:color="auto" w:fill="D2D2D2"/>
          </w:tcPr>
          <w:p>
            <w:pPr/>
          </w:p>
        </w:tc>
        <w:tc>
          <w:tcPr>
            <w:tcW w:w="179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57"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c>
          <w:tcPr>
            <w:tcW w:w="18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0" w:type="dxa"/>
            <w:vMerge/>
            <w:tcBorders>
              <w:left w:val="single" w:sz="4" w:space="0" w:color="000000"/>
              <w:right w:val="single" w:sz="4" w:space="0" w:color="000000"/>
            </w:tcBorders>
            <w:shd w:val="clear" w:color="auto" w:fill="D2D2D2"/>
          </w:tcPr>
          <w:p>
            <w:pPr/>
          </w:p>
        </w:tc>
        <w:tc>
          <w:tcPr>
            <w:tcW w:w="1725"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56" w:type="dxa"/>
            <w:vMerge/>
            <w:tcBorders>
              <w:left w:val="single" w:sz="4" w:space="0" w:color="000000"/>
              <w:right w:val="single" w:sz="4" w:space="0" w:color="000000"/>
            </w:tcBorders>
            <w:shd w:val="clear" w:color="auto" w:fill="D2D2D2"/>
          </w:tcPr>
          <w:p>
            <w:pPr/>
          </w:p>
        </w:tc>
        <w:tc>
          <w:tcPr>
            <w:tcW w:w="1799" w:type="dxa"/>
            <w:vMerge/>
            <w:tcBorders>
              <w:left w:val="single" w:sz="4" w:space="0" w:color="000000"/>
              <w:bottom w:val="nil" w:sz="6" w:space="0" w:color="auto"/>
              <w:right w:val="single" w:sz="4" w:space="0" w:color="000000"/>
            </w:tcBorders>
            <w:shd w:val="clear" w:color="auto" w:fill="D2D2D2"/>
          </w:tcPr>
          <w:p>
            <w:pPr/>
          </w:p>
        </w:tc>
        <w:tc>
          <w:tcPr>
            <w:tcW w:w="657" w:type="dxa"/>
            <w:vMerge/>
            <w:tcBorders>
              <w:left w:val="single" w:sz="4" w:space="0" w:color="000000"/>
              <w:right w:val="single" w:sz="4" w:space="0" w:color="000000"/>
            </w:tcBorders>
            <w:shd w:val="clear" w:color="auto" w:fill="D2D2D2"/>
          </w:tcPr>
          <w:p>
            <w:pPr/>
          </w:p>
        </w:tc>
        <w:tc>
          <w:tcPr>
            <w:tcW w:w="1595" w:type="dxa"/>
            <w:vMerge w:val="restart"/>
            <w:tcBorders>
              <w:top w:val="nil" w:sz="6" w:space="0" w:color="auto"/>
              <w:left w:val="single" w:sz="4" w:space="0" w:color="000000"/>
              <w:right w:val="single" w:sz="4" w:space="0" w:color="000000"/>
            </w:tcBorders>
            <w:shd w:val="clear" w:color="auto" w:fill="D2D2D2"/>
          </w:tcPr>
          <w:p>
            <w:pPr/>
          </w:p>
        </w:tc>
        <w:tc>
          <w:tcPr>
            <w:tcW w:w="1867"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c>
          <w:tcPr>
            <w:tcW w:w="1725"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256" w:type="dxa"/>
            <w:vMerge/>
            <w:tcBorders>
              <w:left w:val="single" w:sz="4" w:space="0" w:color="000000"/>
              <w:bottom w:val="single" w:sz="4" w:space="0" w:color="000000"/>
              <w:right w:val="single" w:sz="4" w:space="0" w:color="000000"/>
            </w:tcBorders>
            <w:shd w:val="clear" w:color="auto" w:fill="D2D2D2"/>
          </w:tcPr>
          <w:p>
            <w:pPr/>
          </w:p>
        </w:tc>
        <w:tc>
          <w:tcPr>
            <w:tcW w:w="1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7"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8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1725" w:type="dxa"/>
            <w:vMerge/>
            <w:tcBorders>
              <w:left w:val="single" w:sz="4" w:space="0" w:color="000000"/>
              <w:bottom w:val="single" w:sz="4" w:space="0" w:color="000000"/>
              <w:right w:val="single" w:sz="4" w:space="0" w:color="000000"/>
            </w:tcBorders>
            <w:shd w:val="clear" w:color="auto" w:fill="D2D2D2"/>
          </w:tcPr>
          <w:p>
            <w:pPr/>
          </w:p>
        </w:tc>
      </w:tr>
      <w:tr>
        <w:trPr>
          <w:trHeight w:val="394"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5" w:right="0"/>
              <w:jc w:val="lef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7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9,191,893.04</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46.65%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459,594.65</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9,605,915.03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91.29%</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480,295.75</w:t>
            </w:r>
          </w:p>
        </w:tc>
      </w:tr>
      <w:tr>
        <w:trPr>
          <w:trHeight w:val="401"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9,590,711.43</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48.69%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959,071.14</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574,726.39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57,472.64</w:t>
            </w:r>
          </w:p>
        </w:tc>
      </w:tr>
      <w:tr>
        <w:trPr>
          <w:trHeight w:val="403"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574,726.39</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172,417.92</w:t>
            </w:r>
          </w:p>
        </w:tc>
        <w:tc>
          <w:tcPr>
            <w:tcW w:w="1867"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7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9" w:type="dxa"/>
            <w:tcBorders>
              <w:top w:val="single" w:sz="4" w:space="0" w:color="000000"/>
              <w:left w:val="single" w:sz="13" w:space="0" w:color="D2D2D2"/>
              <w:bottom w:val="single" w:sz="4" w:space="0" w:color="000000"/>
              <w:right w:val="single" w:sz="4" w:space="0" w:color="000000"/>
            </w:tcBorders>
          </w:tcPr>
          <w:p>
            <w:pPr/>
          </w:p>
        </w:tc>
        <w:tc>
          <w:tcPr>
            <w:tcW w:w="65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342,007.92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273,606.34</w:t>
            </w:r>
          </w:p>
        </w:tc>
      </w:tr>
      <w:tr>
        <w:trPr>
          <w:trHeight w:val="403"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342,007.92</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342,007.92</w:t>
            </w:r>
          </w:p>
        </w:tc>
        <w:tc>
          <w:tcPr>
            <w:tcW w:w="1867"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7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19,699,338.78</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1,933,091.63</w:t>
            </w:r>
          </w:p>
        </w:tc>
        <w:tc>
          <w:tcPr>
            <w:tcW w:w="186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10,522,649.34</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7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811,374.73</w:t>
            </w:r>
          </w:p>
        </w:tc>
      </w:tr>
    </w:tbl>
    <w:p>
      <w:pPr>
        <w:pStyle w:val="BodyText"/>
        <w:spacing w:line="240" w:lineRule="auto" w:before="49"/>
        <w:ind w:right="0"/>
        <w:jc w:val="left"/>
      </w:pPr>
      <w:r>
        <w:rPr/>
        <w:t>组合中，采用余额百分比法计提坏账准备的其他应收款</w:t>
      </w:r>
    </w:p>
    <w:p>
      <w:pPr>
        <w:pStyle w:val="BodyText"/>
        <w:spacing w:line="338" w:lineRule="auto" w:before="117"/>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spacing w:after="0" w:line="338" w:lineRule="auto"/>
        <w:jc w:val="left"/>
        <w:sectPr>
          <w:type w:val="continuous"/>
          <w:pgSz w:w="11910" w:h="16840"/>
          <w:pgMar w:top="880" w:bottom="280" w:left="980" w:right="980"/>
        </w:sectPr>
      </w:pPr>
    </w:p>
    <w:p>
      <w:pPr>
        <w:spacing w:line="240" w:lineRule="auto" w:before="9"/>
        <w:rPr>
          <w:rFonts w:ascii="宋体" w:hAnsi="宋体" w:cs="宋体" w:eastAsia="宋体" w:hint="default"/>
          <w:sz w:val="25"/>
          <w:szCs w:val="25"/>
        </w:rPr>
      </w:pPr>
    </w:p>
    <w:p>
      <w:pPr>
        <w:pStyle w:val="BodyText"/>
        <w:spacing w:line="340" w:lineRule="auto" w:before="44"/>
        <w:ind w:right="5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21"/>
        <w:gridCol w:w="1558"/>
        <w:gridCol w:w="1560"/>
        <w:gridCol w:w="1561"/>
        <w:gridCol w:w="1841"/>
      </w:tblGrid>
      <w:tr>
        <w:trPr>
          <w:trHeight w:val="71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02" w:right="103" w:hanging="49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 比例</w:t>
            </w:r>
            <w:r>
              <w:rPr>
                <w:rFonts w:ascii="Times New Roman" w:hAnsi="Times New Roman" w:cs="Times New Roman" w:eastAsia="Times New Roman" w:hint="default"/>
                <w:sz w:val="18"/>
                <w:szCs w:val="18"/>
              </w:rPr>
              <w:t>(%)</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深圳君正时代集成电路有限公司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18,525,200.00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94.04%</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北京中关村软件园发展有限责任公司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502,031.22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广州奥熠电子科技有限公司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北京首欣物业管理有限责任公司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105,553.96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0.54%</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北京中关村海外科技园有限责任公司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19,684,785.18</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4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99.93%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21"/>
        <w:gridCol w:w="2124"/>
        <w:gridCol w:w="1987"/>
        <w:gridCol w:w="2429"/>
      </w:tblGrid>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深圳君正时代集成电路有限公司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18,525,200.00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94.04%</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18,525,200.00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94.04%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left="172"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172" w:right="0"/>
        <w:jc w:val="left"/>
      </w:pPr>
      <w:r>
        <w:rPr/>
        <w:t>不符合终止确认条件的其他应收款项的转移金额为</w:t>
      </w:r>
      <w:r>
        <w:rPr>
          <w:spacing w:val="-4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4"/>
        <w:spacing w:line="240" w:lineRule="auto"/>
        <w:ind w:left="172" w:right="0"/>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72"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left="172"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7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994"/>
        <w:gridCol w:w="799"/>
        <w:gridCol w:w="1102"/>
        <w:gridCol w:w="1133"/>
        <w:gridCol w:w="425"/>
        <w:gridCol w:w="1136"/>
        <w:gridCol w:w="797"/>
        <w:gridCol w:w="619"/>
        <w:gridCol w:w="814"/>
        <w:gridCol w:w="533"/>
        <w:gridCol w:w="797"/>
        <w:gridCol w:w="619"/>
      </w:tblGrid>
      <w:tr>
        <w:trPr>
          <w:trHeight w:val="196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4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8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8" w:right="24"/>
              <w:jc w:val="left"/>
              <w:rPr>
                <w:rFonts w:ascii="宋体" w:hAnsi="宋体" w:cs="宋体" w:eastAsia="宋体" w:hint="default"/>
                <w:sz w:val="18"/>
                <w:szCs w:val="18"/>
              </w:rPr>
            </w:pPr>
            <w:r>
              <w:rPr>
                <w:rFonts w:ascii="宋体" w:hAnsi="宋体" w:cs="宋体" w:eastAsia="宋体" w:hint="default"/>
                <w:sz w:val="18"/>
                <w:szCs w:val="18"/>
              </w:rPr>
              <w:t>增减 变动</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5" w:right="31"/>
              <w:jc w:val="center"/>
              <w:rPr>
                <w:rFonts w:ascii="宋体" w:hAnsi="宋体" w:cs="宋体" w:eastAsia="宋体" w:hint="default"/>
                <w:sz w:val="18"/>
                <w:szCs w:val="18"/>
              </w:rPr>
            </w:pPr>
            <w:r>
              <w:rPr>
                <w:rFonts w:ascii="宋体" w:hAnsi="宋体" w:cs="宋体" w:eastAsia="宋体" w:hint="default"/>
                <w:sz w:val="18"/>
                <w:szCs w:val="18"/>
              </w:rPr>
              <w:t>在被投 资单位 表决权 比例</w:t>
            </w:r>
          </w:p>
          <w:p>
            <w:pPr>
              <w:pStyle w:val="TableParagraph"/>
              <w:spacing w:line="240" w:lineRule="auto" w:before="59"/>
              <w:ind w:right="0"/>
              <w:jc w:val="center"/>
              <w:rPr>
                <w:rFonts w:ascii="Times New Roman" w:hAnsi="Times New Roman" w:cs="Times New Roman" w:eastAsia="Times New Roman" w:hint="default"/>
                <w:sz w:val="18"/>
                <w:szCs w:val="18"/>
              </w:rPr>
            </w:pPr>
            <w:r>
              <w:rPr>
                <w:rFonts w:ascii="Times New Roman"/>
                <w:sz w:val="18"/>
              </w:rPr>
              <w:t>(%)</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 w:right="39"/>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83" w:right="77"/>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6" w:right="31"/>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133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8"/>
              <w:jc w:val="both"/>
              <w:rPr>
                <w:rFonts w:ascii="宋体" w:hAnsi="宋体" w:cs="宋体" w:eastAsia="宋体" w:hint="default"/>
                <w:sz w:val="18"/>
                <w:szCs w:val="18"/>
              </w:rPr>
            </w:pPr>
            <w:r>
              <w:rPr>
                <w:rFonts w:ascii="宋体" w:hAnsi="宋体" w:cs="宋体" w:eastAsia="宋体" w:hint="default"/>
                <w:sz w:val="18"/>
                <w:szCs w:val="18"/>
              </w:rPr>
              <w:t>北京君正集 成电路（香 港）集团有 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5,700,871.41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5,700,871.41</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5,700,871.41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100%</w:t>
            </w:r>
          </w:p>
        </w:tc>
        <w:tc>
          <w:tcPr>
            <w:tcW w:w="81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8"/>
              <w:jc w:val="both"/>
              <w:rPr>
                <w:rFonts w:ascii="宋体" w:hAnsi="宋体" w:cs="宋体" w:eastAsia="宋体" w:hint="default"/>
                <w:sz w:val="18"/>
                <w:szCs w:val="18"/>
              </w:rPr>
            </w:pPr>
            <w:r>
              <w:rPr>
                <w:rFonts w:ascii="宋体" w:hAnsi="宋体" w:cs="宋体" w:eastAsia="宋体" w:hint="default"/>
                <w:sz w:val="18"/>
                <w:szCs w:val="18"/>
              </w:rPr>
              <w:t>深圳君正时 代集成电路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100%</w:t>
            </w:r>
          </w:p>
        </w:tc>
        <w:tc>
          <w:tcPr>
            <w:tcW w:w="81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15,700,871.41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15,700,871.41</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15,700,871.41</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33" w:right="0"/>
              <w:jc w:val="left"/>
              <w:rPr>
                <w:rFonts w:ascii="Times New Roman" w:hAnsi="Times New Roman" w:cs="Times New Roman" w:eastAsia="Times New Roman" w:hint="default"/>
                <w:sz w:val="18"/>
                <w:szCs w:val="18"/>
              </w:rPr>
            </w:pPr>
            <w:r>
              <w:rPr>
                <w:rFonts w:ascii="Times New Roman"/>
                <w:sz w:val="18"/>
              </w:rPr>
              <w:t>--</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533" w:type="dxa"/>
            <w:tcBorders>
              <w:top w:val="single" w:sz="4" w:space="0" w:color="000000"/>
              <w:left w:val="single" w:sz="10" w:space="0" w:color="D2D2D2"/>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172" w:right="0"/>
        <w:jc w:val="left"/>
      </w:pPr>
      <w:r>
        <w:rPr/>
        <w:t>长期股权投资的说明：无。</w:t>
      </w:r>
    </w:p>
    <w:p>
      <w:pPr>
        <w:spacing w:line="240" w:lineRule="auto" w:before="0"/>
        <w:rPr>
          <w:rFonts w:ascii="宋体" w:hAnsi="宋体" w:cs="宋体" w:eastAsia="宋体" w:hint="default"/>
          <w:sz w:val="18"/>
          <w:szCs w:val="18"/>
        </w:rPr>
      </w:pPr>
    </w:p>
    <w:p>
      <w:pPr>
        <w:pStyle w:val="Heading4"/>
        <w:spacing w:line="240" w:lineRule="auto" w:before="120"/>
        <w:ind w:left="172"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72"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7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2502"/>
        <w:gridCol w:w="3468"/>
        <w:gridCol w:w="3589"/>
      </w:tblGrid>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105,984,835.29</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168,719,211.34</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105,984,835.29</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168,719,211.34</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54,543,903.05</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74,393,512.81</w:t>
            </w:r>
          </w:p>
        </w:tc>
      </w:tr>
    </w:tbl>
    <w:p>
      <w:pPr>
        <w:spacing w:line="240" w:lineRule="auto" w:before="3"/>
        <w:rPr>
          <w:rFonts w:ascii="宋体" w:hAnsi="宋体" w:cs="宋体" w:eastAsia="宋体" w:hint="default"/>
          <w:sz w:val="19"/>
          <w:szCs w:val="19"/>
        </w:rPr>
      </w:pPr>
    </w:p>
    <w:p>
      <w:pPr>
        <w:pStyle w:val="Heading4"/>
        <w:spacing w:line="240" w:lineRule="auto" w:before="36"/>
        <w:ind w:left="172"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7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260"/>
        <w:gridCol w:w="3723"/>
        <w:gridCol w:w="3575"/>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footerReference w:type="default" r:id="rId17"/>
          <w:pgSz w:w="11910" w:h="16840"/>
          <w:pgMar w:footer="980" w:header="877" w:top="1060" w:bottom="1160" w:left="960" w:right="960"/>
          <w:pgNumType w:start="1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消费电子</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31,880,525.90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15,247,388.38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78,021,616.17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34,953,249.86</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教育电子</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60,992,720.01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31,132,573.58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77,253,434.21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33,464,770.45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移动互联网终端</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9,675,223.69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7,767,517.83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4,054,074.15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2,596,989.96</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3,436,365.69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396,423.26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9,390,086.81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3,378,502.54</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105,984,835.29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54,543,903.05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168,719,211.34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74,393,512.81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芯片</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100,138,249.10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51,249,378.63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160,430,065.94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71,323,857.75</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2,409,314.41</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5,030,000.00</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3,437,271.78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3,294,524.42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3,259,145.40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3,069,655.06</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105,984,835.29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54,543,903.05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168,719,211.34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74,393,512.81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101,892,695.92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53,815,904.71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147,803,043.28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65,759,030.67</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4,092,139.37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727,998.34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20,916,168.06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8,634,482.14</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105,984,835.29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54,543,903.05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168,719,211.34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74,393,512.81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2922"/>
        <w:gridCol w:w="1865"/>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4"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步步高教育电子有限公司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36,383,771.75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34.33%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深圳市华辉进出口贸易有限公司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35,825,743.09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深圳君正时代集成电路有限公司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9,988,679.91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东莞市中控电子技术有限公司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9,047,908.20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深圳市新天邑科技有限公司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5,458,016.61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96,704,119.56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91.24%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营业收入的说明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500"/>
        <w:gridCol w:w="2534"/>
        <w:gridCol w:w="2525"/>
      </w:tblGrid>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9,219,970.00</w:t>
            </w: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持有至到期投资取得的投资收益期间取得的投资收益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持有可供出售金融资产等期间取得的投资收益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可供出售金融资产等取得的投资收益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2D2D2"/>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9,219,970.00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594"/>
        <w:gridCol w:w="2921"/>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北京君正集成电路（香港）集团有限公司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9,219,970.00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9,219,970.00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55,357,614.59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80,080,886.12</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1,321,391.41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679,868.69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812,647.91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482,498.31</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663,103.64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219,201.32</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1,502,421.60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626,009.01</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-9,219,970.00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980,252.58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-2,819,721.06</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-11,172,764.09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-12,963,532.19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-6,781,556.36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-20,887,872.34</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-9,707,538.54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-2,118,639.52</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32,975,572.74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34,078,728.34</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76" w:right="0"/>
              <w:jc w:val="left"/>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76" w:right="0"/>
              <w:jc w:val="left"/>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925,415,521.55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982,232,358.30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982,232,358.30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137,918,536.47</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-56,816,836.75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844,313,821.83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十六、补充资料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12"/>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3541"/>
        <w:gridCol w:w="2177"/>
        <w:gridCol w:w="1915"/>
        <w:gridCol w:w="1937"/>
      </w:tblGrid>
      <w:tr>
        <w:trPr>
          <w:trHeight w:val="184" w:hRule="exact"/>
        </w:trPr>
        <w:tc>
          <w:tcPr>
            <w:tcW w:w="3541"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35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541"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41"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4"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21" w:space="0" w:color="D2D2D2"/>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0.46</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8"/>
                <w:szCs w:val="18"/>
              </w:rPr>
            </w:pPr>
            <w:r>
              <w:rPr>
                <w:rFonts w:ascii="Times New Roman"/>
                <w:spacing w:val="-1"/>
                <w:sz w:val="18"/>
              </w:rPr>
              <w:t>0.46</w:t>
            </w:r>
          </w:p>
        </w:tc>
      </w:tr>
      <w:tr>
        <w:trPr>
          <w:trHeight w:val="715"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0.07</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tbl>
      <w:tblPr>
        <w:tblW w:w="0" w:type="auto"/>
        <w:jc w:val="left"/>
        <w:tblInd w:w="152" w:type="dxa"/>
        <w:tblLayout w:type="fixed"/>
        <w:tblCellMar>
          <w:top w:w="0" w:type="dxa"/>
          <w:left w:w="0" w:type="dxa"/>
          <w:bottom w:w="0" w:type="dxa"/>
          <w:right w:w="0" w:type="dxa"/>
        </w:tblCellMar>
        <w:tblLook w:val="01E0"/>
      </w:tblPr>
      <w:tblGrid>
        <w:gridCol w:w="1562"/>
        <w:gridCol w:w="1735"/>
        <w:gridCol w:w="4923"/>
      </w:tblGrid>
      <w:tr>
        <w:trPr>
          <w:trHeight w:val="647" w:hRule="exact"/>
        </w:trPr>
        <w:tc>
          <w:tcPr>
            <w:tcW w:w="1562" w:type="dxa"/>
            <w:tcBorders>
              <w:top w:val="nil" w:sz="6" w:space="0" w:color="auto"/>
              <w:left w:val="nil" w:sz="6" w:space="0" w:color="auto"/>
              <w:bottom w:val="single" w:sz="17" w:space="0" w:color="000000"/>
              <w:right w:val="nil" w:sz="6" w:space="0" w:color="auto"/>
            </w:tcBorders>
          </w:tcPr>
          <w:p>
            <w:pPr>
              <w:pStyle w:val="TableParagraph"/>
              <w:spacing w:line="180" w:lineRule="exact"/>
              <w:ind w:left="514" w:right="0"/>
              <w:jc w:val="left"/>
              <w:rPr>
                <w:rFonts w:ascii="宋体" w:hAnsi="宋体" w:cs="宋体" w:eastAsia="宋体" w:hint="default"/>
                <w:sz w:val="18"/>
                <w:szCs w:val="18"/>
              </w:rPr>
            </w:pPr>
            <w:r>
              <w:rPr>
                <w:rFonts w:ascii="宋体" w:hAnsi="宋体" w:cs="宋体" w:eastAsia="宋体" w:hint="default"/>
                <w:b/>
                <w:bCs/>
                <w:sz w:val="18"/>
                <w:szCs w:val="18"/>
              </w:rPr>
              <w:t>报表项目</w:t>
            </w:r>
            <w:r>
              <w:rPr>
                <w:rFonts w:ascii="宋体" w:hAnsi="宋体" w:cs="宋体" w:eastAsia="宋体" w:hint="default"/>
                <w:sz w:val="18"/>
                <w:szCs w:val="18"/>
              </w:rPr>
            </w:r>
          </w:p>
        </w:tc>
        <w:tc>
          <w:tcPr>
            <w:tcW w:w="1735" w:type="dxa"/>
            <w:tcBorders>
              <w:top w:val="nil" w:sz="6" w:space="0" w:color="auto"/>
              <w:left w:val="nil" w:sz="6" w:space="0" w:color="auto"/>
              <w:bottom w:val="single" w:sz="17" w:space="0" w:color="000000"/>
              <w:right w:val="nil" w:sz="6" w:space="0" w:color="auto"/>
            </w:tcBorders>
          </w:tcPr>
          <w:p>
            <w:pPr>
              <w:pStyle w:val="TableParagraph"/>
              <w:spacing w:line="180" w:lineRule="exact"/>
              <w:ind w:left="325" w:right="0"/>
              <w:jc w:val="left"/>
              <w:rPr>
                <w:rFonts w:ascii="宋体" w:hAnsi="宋体" w:cs="宋体" w:eastAsia="宋体" w:hint="default"/>
                <w:sz w:val="18"/>
                <w:szCs w:val="18"/>
              </w:rPr>
            </w:pPr>
            <w:r>
              <w:rPr>
                <w:rFonts w:ascii="宋体" w:hAnsi="宋体" w:cs="宋体" w:eastAsia="宋体" w:hint="default"/>
                <w:b/>
                <w:bCs/>
                <w:sz w:val="18"/>
                <w:szCs w:val="18"/>
              </w:rPr>
              <w:t>与上期增减变动</w:t>
            </w:r>
            <w:r>
              <w:rPr>
                <w:rFonts w:ascii="宋体" w:hAnsi="宋体" w:cs="宋体" w:eastAsia="宋体" w:hint="default"/>
                <w:sz w:val="18"/>
                <w:szCs w:val="18"/>
              </w:rPr>
            </w:r>
          </w:p>
        </w:tc>
        <w:tc>
          <w:tcPr>
            <w:tcW w:w="4923" w:type="dxa"/>
            <w:tcBorders>
              <w:top w:val="nil" w:sz="6" w:space="0" w:color="auto"/>
              <w:left w:val="nil" w:sz="6" w:space="0" w:color="auto"/>
              <w:bottom w:val="single" w:sz="17"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原因</w:t>
            </w:r>
            <w:r>
              <w:rPr>
                <w:rFonts w:ascii="宋体" w:hAnsi="宋体" w:cs="宋体" w:eastAsia="宋体" w:hint="default"/>
                <w:sz w:val="18"/>
                <w:szCs w:val="18"/>
              </w:rPr>
            </w:r>
          </w:p>
        </w:tc>
      </w:tr>
      <w:tr>
        <w:trPr>
          <w:trHeight w:val="446" w:hRule="exact"/>
        </w:trPr>
        <w:tc>
          <w:tcPr>
            <w:tcW w:w="1562" w:type="dxa"/>
            <w:tcBorders>
              <w:top w:val="single" w:sz="17" w:space="0" w:color="000000"/>
              <w:left w:val="nil" w:sz="6" w:space="0" w:color="auto"/>
              <w:bottom w:val="single" w:sz="17" w:space="0" w:color="000000"/>
              <w:right w:val="nil" w:sz="6" w:space="0" w:color="auto"/>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35" w:type="dxa"/>
            <w:tcBorders>
              <w:top w:val="single" w:sz="17" w:space="0" w:color="000000"/>
              <w:left w:val="nil" w:sz="6" w:space="0" w:color="auto"/>
              <w:bottom w:val="single" w:sz="17" w:space="0" w:color="000000"/>
              <w:right w:val="nil" w:sz="6" w:space="0" w:color="auto"/>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z w:val="18"/>
              </w:rPr>
              <w:t>-48.68%</w:t>
            </w:r>
          </w:p>
        </w:tc>
        <w:tc>
          <w:tcPr>
            <w:tcW w:w="4923" w:type="dxa"/>
            <w:tcBorders>
              <w:top w:val="single" w:sz="17" w:space="0" w:color="000000"/>
              <w:left w:val="nil" w:sz="6" w:space="0" w:color="auto"/>
              <w:bottom w:val="single" w:sz="17"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主要是</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季度营业收入较去年同期减少所致。</w:t>
            </w:r>
          </w:p>
        </w:tc>
      </w:tr>
      <w:tr>
        <w:trPr>
          <w:trHeight w:val="449" w:hRule="exact"/>
        </w:trPr>
        <w:tc>
          <w:tcPr>
            <w:tcW w:w="1562" w:type="dxa"/>
            <w:tcBorders>
              <w:top w:val="single" w:sz="17" w:space="0" w:color="000000"/>
              <w:left w:val="nil" w:sz="6" w:space="0" w:color="auto"/>
              <w:bottom w:val="single" w:sz="17" w:space="0" w:color="000000"/>
              <w:right w:val="nil" w:sz="6" w:space="0" w:color="auto"/>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35" w:type="dxa"/>
            <w:tcBorders>
              <w:top w:val="single" w:sz="17" w:space="0" w:color="000000"/>
              <w:left w:val="nil" w:sz="6" w:space="0" w:color="auto"/>
              <w:bottom w:val="single" w:sz="17" w:space="0" w:color="000000"/>
              <w:right w:val="nil" w:sz="6" w:space="0" w:color="auto"/>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z w:val="18"/>
              </w:rPr>
              <w:t>39.27%</w:t>
            </w:r>
          </w:p>
        </w:tc>
        <w:tc>
          <w:tcPr>
            <w:tcW w:w="4923" w:type="dxa"/>
            <w:tcBorders>
              <w:top w:val="single" w:sz="17" w:space="0" w:color="000000"/>
              <w:left w:val="nil" w:sz="6" w:space="0" w:color="auto"/>
              <w:bottom w:val="single" w:sz="17"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主要是公司预付设备采购款及支付投资款所致</w:t>
            </w:r>
          </w:p>
        </w:tc>
      </w:tr>
      <w:tr>
        <w:trPr>
          <w:trHeight w:val="449" w:hRule="exact"/>
        </w:trPr>
        <w:tc>
          <w:tcPr>
            <w:tcW w:w="1562" w:type="dxa"/>
            <w:tcBorders>
              <w:top w:val="single" w:sz="17" w:space="0" w:color="000000"/>
              <w:left w:val="nil" w:sz="6" w:space="0" w:color="auto"/>
              <w:bottom w:val="single" w:sz="17" w:space="0" w:color="000000"/>
              <w:right w:val="nil" w:sz="6" w:space="0" w:color="auto"/>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735" w:type="dxa"/>
            <w:tcBorders>
              <w:top w:val="single" w:sz="17" w:space="0" w:color="000000"/>
              <w:left w:val="nil" w:sz="6" w:space="0" w:color="auto"/>
              <w:bottom w:val="single" w:sz="17"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139.45%</w:t>
            </w:r>
          </w:p>
        </w:tc>
        <w:tc>
          <w:tcPr>
            <w:tcW w:w="4923" w:type="dxa"/>
            <w:tcBorders>
              <w:top w:val="single" w:sz="17" w:space="0" w:color="000000"/>
              <w:left w:val="nil" w:sz="6" w:space="0" w:color="auto"/>
              <w:bottom w:val="single" w:sz="17" w:space="0" w:color="000000"/>
              <w:right w:val="nil" w:sz="6" w:space="0" w:color="auto"/>
            </w:tcBorders>
          </w:tcPr>
          <w:p>
            <w:pPr>
              <w:pStyle w:val="TableParagraph"/>
              <w:spacing w:line="240" w:lineRule="auto" w:before="49"/>
              <w:ind w:left="9" w:right="0"/>
              <w:jc w:val="left"/>
              <w:rPr>
                <w:rFonts w:ascii="宋体" w:hAnsi="宋体" w:cs="宋体" w:eastAsia="宋体" w:hint="default"/>
                <w:sz w:val="18"/>
                <w:szCs w:val="18"/>
              </w:rPr>
            </w:pPr>
            <w:r>
              <w:rPr>
                <w:rFonts w:ascii="宋体" w:hAnsi="宋体" w:cs="宋体" w:eastAsia="宋体" w:hint="default"/>
                <w:sz w:val="18"/>
                <w:szCs w:val="18"/>
              </w:rPr>
              <w:t>主要原因是应收存款利息增加所致</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tbl>
      <w:tblPr>
        <w:tblW w:w="0" w:type="auto"/>
        <w:jc w:val="left"/>
        <w:tblInd w:w="152" w:type="dxa"/>
        <w:tblLayout w:type="fixed"/>
        <w:tblCellMar>
          <w:top w:w="0" w:type="dxa"/>
          <w:left w:w="0" w:type="dxa"/>
          <w:bottom w:w="0" w:type="dxa"/>
          <w:right w:w="0" w:type="dxa"/>
        </w:tblCellMar>
        <w:tblLook w:val="01E0"/>
      </w:tblPr>
      <w:tblGrid>
        <w:gridCol w:w="2144"/>
        <w:gridCol w:w="1153"/>
        <w:gridCol w:w="4922"/>
      </w:tblGrid>
      <w:tr>
        <w:trPr>
          <w:trHeight w:val="321" w:hRule="exact"/>
        </w:trPr>
        <w:tc>
          <w:tcPr>
            <w:tcW w:w="2144" w:type="dxa"/>
            <w:tcBorders>
              <w:top w:val="nil" w:sz="6" w:space="0" w:color="auto"/>
              <w:left w:val="nil" w:sz="6" w:space="0" w:color="auto"/>
              <w:bottom w:val="single" w:sz="17" w:space="0" w:color="000000"/>
              <w:right w:val="nil" w:sz="6" w:space="0" w:color="auto"/>
            </w:tcBorders>
          </w:tcPr>
          <w:p>
            <w:pPr>
              <w:pStyle w:val="TableParagraph"/>
              <w:spacing w:line="180" w:lineRule="exact"/>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53" w:type="dxa"/>
            <w:tcBorders>
              <w:top w:val="nil" w:sz="6" w:space="0" w:color="auto"/>
              <w:left w:val="nil" w:sz="6" w:space="0" w:color="auto"/>
              <w:bottom w:val="single" w:sz="17" w:space="0" w:color="000000"/>
              <w:right w:val="nil" w:sz="6" w:space="0" w:color="auto"/>
            </w:tcBorders>
          </w:tcPr>
          <w:p>
            <w:pPr>
              <w:pStyle w:val="TableParagraph"/>
              <w:spacing w:line="194" w:lineRule="exact"/>
              <w:ind w:right="8"/>
              <w:jc w:val="right"/>
              <w:rPr>
                <w:rFonts w:ascii="Times New Roman" w:hAnsi="Times New Roman" w:cs="Times New Roman" w:eastAsia="Times New Roman" w:hint="default"/>
                <w:sz w:val="18"/>
                <w:szCs w:val="18"/>
              </w:rPr>
            </w:pPr>
            <w:r>
              <w:rPr>
                <w:rFonts w:ascii="Times New Roman"/>
                <w:sz w:val="18"/>
              </w:rPr>
              <w:t>38.51%</w:t>
            </w:r>
          </w:p>
        </w:tc>
        <w:tc>
          <w:tcPr>
            <w:tcW w:w="4922" w:type="dxa"/>
            <w:tcBorders>
              <w:top w:val="nil" w:sz="6" w:space="0" w:color="auto"/>
              <w:left w:val="nil" w:sz="6" w:space="0" w:color="auto"/>
              <w:bottom w:val="single" w:sz="17" w:space="0" w:color="000000"/>
              <w:right w:val="nil" w:sz="6" w:space="0" w:color="auto"/>
            </w:tcBorders>
          </w:tcPr>
          <w:p>
            <w:pPr>
              <w:pStyle w:val="TableParagraph"/>
              <w:spacing w:line="180" w:lineRule="exact"/>
              <w:ind w:left="8" w:right="0"/>
              <w:jc w:val="left"/>
              <w:rPr>
                <w:rFonts w:ascii="宋体" w:hAnsi="宋体" w:cs="宋体" w:eastAsia="宋体" w:hint="default"/>
                <w:sz w:val="18"/>
                <w:szCs w:val="18"/>
              </w:rPr>
            </w:pPr>
            <w:r>
              <w:rPr>
                <w:rFonts w:ascii="宋体" w:hAnsi="宋体" w:cs="宋体" w:eastAsia="宋体" w:hint="default"/>
                <w:sz w:val="18"/>
                <w:szCs w:val="18"/>
              </w:rPr>
              <w:t>主要是公司新产品陆续投产所致</w:t>
            </w:r>
          </w:p>
        </w:tc>
      </w:tr>
      <w:tr>
        <w:trPr>
          <w:trHeight w:val="446" w:hRule="exact"/>
        </w:trPr>
        <w:tc>
          <w:tcPr>
            <w:tcW w:w="2144" w:type="dxa"/>
            <w:tcBorders>
              <w:top w:val="single" w:sz="17" w:space="0" w:color="000000"/>
              <w:left w:val="nil" w:sz="6" w:space="0" w:color="auto"/>
              <w:bottom w:val="single" w:sz="17" w:space="0" w:color="000000"/>
              <w:right w:val="nil" w:sz="6" w:space="0" w:color="auto"/>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53" w:type="dxa"/>
            <w:tcBorders>
              <w:top w:val="single" w:sz="17" w:space="0" w:color="000000"/>
              <w:left w:val="nil" w:sz="6" w:space="0" w:color="auto"/>
              <w:bottom w:val="single" w:sz="17" w:space="0" w:color="000000"/>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95.25%</w:t>
            </w:r>
          </w:p>
        </w:tc>
        <w:tc>
          <w:tcPr>
            <w:tcW w:w="4922" w:type="dxa"/>
            <w:tcBorders>
              <w:top w:val="single" w:sz="17" w:space="0" w:color="000000"/>
              <w:left w:val="nil" w:sz="6" w:space="0" w:color="auto"/>
              <w:bottom w:val="single" w:sz="17" w:space="0" w:color="000000"/>
              <w:right w:val="nil" w:sz="6" w:space="0" w:color="auto"/>
            </w:tcBorders>
          </w:tcPr>
          <w:p>
            <w:pPr>
              <w:pStyle w:val="TableParagraph"/>
              <w:spacing w:line="240" w:lineRule="auto" w:before="49"/>
              <w:ind w:left="8" w:right="0"/>
              <w:jc w:val="left"/>
              <w:rPr>
                <w:rFonts w:ascii="宋体" w:hAnsi="宋体" w:cs="宋体" w:eastAsia="宋体" w:hint="default"/>
                <w:sz w:val="18"/>
                <w:szCs w:val="18"/>
              </w:rPr>
            </w:pPr>
            <w:r>
              <w:rPr>
                <w:rFonts w:ascii="宋体" w:hAnsi="宋体" w:cs="宋体" w:eastAsia="宋体" w:hint="default"/>
                <w:sz w:val="18"/>
                <w:szCs w:val="18"/>
              </w:rPr>
              <w:t>主要是本年度采购研发用设备所致。</w:t>
            </w:r>
          </w:p>
        </w:tc>
      </w:tr>
      <w:tr>
        <w:trPr>
          <w:trHeight w:val="758" w:hRule="exact"/>
        </w:trPr>
        <w:tc>
          <w:tcPr>
            <w:tcW w:w="2144" w:type="dxa"/>
            <w:tcBorders>
              <w:top w:val="single" w:sz="17" w:space="0" w:color="000000"/>
              <w:left w:val="nil" w:sz="6" w:space="0" w:color="auto"/>
              <w:bottom w:val="single" w:sz="17" w:space="0" w:color="000000"/>
              <w:right w:val="nil" w:sz="6" w:space="0" w:color="auto"/>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53" w:type="dxa"/>
            <w:tcBorders>
              <w:top w:val="single" w:sz="17" w:space="0" w:color="000000"/>
              <w:left w:val="nil" w:sz="6" w:space="0" w:color="auto"/>
              <w:bottom w:val="single" w:sz="17" w:space="0" w:color="000000"/>
              <w:right w:val="nil" w:sz="6" w:space="0" w:color="auto"/>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z w:val="18"/>
              </w:rPr>
              <w:t>2457.98%</w:t>
            </w:r>
          </w:p>
        </w:tc>
        <w:tc>
          <w:tcPr>
            <w:tcW w:w="4922" w:type="dxa"/>
            <w:tcBorders>
              <w:top w:val="single" w:sz="17" w:space="0" w:color="000000"/>
              <w:left w:val="nil" w:sz="6" w:space="0" w:color="auto"/>
              <w:bottom w:val="single" w:sz="17" w:space="0" w:color="000000"/>
              <w:right w:val="nil" w:sz="6" w:space="0" w:color="auto"/>
            </w:tcBorders>
          </w:tcPr>
          <w:p>
            <w:pPr>
              <w:pStyle w:val="TableParagraph"/>
              <w:spacing w:line="297" w:lineRule="auto" w:before="51"/>
              <w:ind w:left="8" w:right="8"/>
              <w:jc w:val="left"/>
              <w:rPr>
                <w:rFonts w:ascii="宋体" w:hAnsi="宋体" w:cs="宋体" w:eastAsia="宋体" w:hint="default"/>
                <w:sz w:val="18"/>
                <w:szCs w:val="18"/>
              </w:rPr>
            </w:pPr>
            <w:r>
              <w:rPr>
                <w:rFonts w:ascii="宋体" w:hAnsi="宋体" w:cs="宋体" w:eastAsia="宋体" w:hint="default"/>
                <w:sz w:val="18"/>
                <w:szCs w:val="18"/>
              </w:rPr>
              <w:t>主要是公司享受</w:t>
            </w:r>
            <w:r>
              <w:rPr>
                <w:rFonts w:ascii="Times New Roman" w:hAnsi="Times New Roman" w:cs="Times New Roman" w:eastAsia="Times New Roman" w:hint="default"/>
                <w:sz w:val="18"/>
                <w:szCs w:val="18"/>
              </w:rPr>
              <w:t>3</w:t>
            </w:r>
            <w:r>
              <w:rPr>
                <w:rFonts w:ascii="宋体" w:hAnsi="宋体" w:cs="宋体" w:eastAsia="宋体" w:hint="default"/>
                <w:sz w:val="18"/>
                <w:szCs w:val="18"/>
              </w:rPr>
              <w:t>免</w:t>
            </w:r>
            <w:r>
              <w:rPr>
                <w:rFonts w:ascii="Times New Roman" w:hAnsi="Times New Roman" w:cs="Times New Roman" w:eastAsia="Times New Roman" w:hint="default"/>
                <w:sz w:val="18"/>
                <w:szCs w:val="18"/>
              </w:rPr>
              <w:t>3</w:t>
            </w:r>
            <w:r>
              <w:rPr>
                <w:rFonts w:ascii="宋体" w:hAnsi="宋体" w:cs="宋体" w:eastAsia="宋体" w:hint="default"/>
                <w:sz w:val="18"/>
                <w:szCs w:val="18"/>
              </w:rPr>
              <w:t>减半所得税税收优惠期满，本年度所得税</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税率按照</w:t>
            </w:r>
            <w:r>
              <w:rPr>
                <w:rFonts w:ascii="Times New Roman" w:hAnsi="Times New Roman" w:cs="Times New Roman" w:eastAsia="Times New Roman" w:hint="default"/>
                <w:sz w:val="18"/>
                <w:szCs w:val="18"/>
              </w:rPr>
              <w:t>10%</w:t>
            </w:r>
            <w:r>
              <w:rPr>
                <w:rFonts w:ascii="宋体" w:hAnsi="宋体" w:cs="宋体" w:eastAsia="宋体" w:hint="default"/>
                <w:sz w:val="18"/>
                <w:szCs w:val="18"/>
              </w:rPr>
              <w:t>计征，致企业所得税费用增加。</w:t>
            </w:r>
          </w:p>
        </w:tc>
      </w:tr>
      <w:tr>
        <w:trPr>
          <w:trHeight w:val="446" w:hRule="exact"/>
        </w:trPr>
        <w:tc>
          <w:tcPr>
            <w:tcW w:w="2144" w:type="dxa"/>
            <w:tcBorders>
              <w:top w:val="single" w:sz="17" w:space="0" w:color="000000"/>
              <w:left w:val="nil" w:sz="6" w:space="0" w:color="auto"/>
              <w:bottom w:val="single" w:sz="17" w:space="0" w:color="000000"/>
              <w:right w:val="nil" w:sz="6" w:space="0" w:color="auto"/>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53" w:type="dxa"/>
            <w:tcBorders>
              <w:top w:val="single" w:sz="17" w:space="0" w:color="000000"/>
              <w:left w:val="nil" w:sz="6" w:space="0" w:color="auto"/>
              <w:bottom w:val="single" w:sz="17" w:space="0" w:color="000000"/>
              <w:right w:val="nil" w:sz="6" w:space="0" w:color="auto"/>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z w:val="18"/>
              </w:rPr>
              <w:t>-37.38%</w:t>
            </w:r>
          </w:p>
        </w:tc>
        <w:tc>
          <w:tcPr>
            <w:tcW w:w="4922" w:type="dxa"/>
            <w:tcBorders>
              <w:top w:val="single" w:sz="17" w:space="0" w:color="000000"/>
              <w:left w:val="nil" w:sz="6" w:space="0" w:color="auto"/>
              <w:bottom w:val="single" w:sz="17" w:space="0" w:color="000000"/>
              <w:right w:val="nil" w:sz="6" w:space="0" w:color="auto"/>
            </w:tcBorders>
          </w:tcPr>
          <w:p>
            <w:pPr>
              <w:pStyle w:val="TableParagraph"/>
              <w:spacing w:line="240" w:lineRule="auto" w:before="51"/>
              <w:ind w:left="8" w:right="0"/>
              <w:jc w:val="left"/>
              <w:rPr>
                <w:rFonts w:ascii="宋体" w:hAnsi="宋体" w:cs="宋体" w:eastAsia="宋体" w:hint="default"/>
                <w:sz w:val="18"/>
                <w:szCs w:val="18"/>
              </w:rPr>
            </w:pPr>
            <w:r>
              <w:rPr>
                <w:rFonts w:ascii="宋体" w:hAnsi="宋体" w:cs="宋体" w:eastAsia="宋体" w:hint="default"/>
                <w:sz w:val="18"/>
                <w:szCs w:val="18"/>
              </w:rPr>
              <w:t>主要是政府补助结转至递延收益所致。</w:t>
            </w:r>
          </w:p>
        </w:tc>
      </w:tr>
      <w:tr>
        <w:trPr>
          <w:trHeight w:val="1073" w:hRule="exact"/>
        </w:trPr>
        <w:tc>
          <w:tcPr>
            <w:tcW w:w="2144" w:type="dxa"/>
            <w:tcBorders>
              <w:top w:val="single" w:sz="17" w:space="0" w:color="000000"/>
              <w:left w:val="nil" w:sz="6" w:space="0" w:color="auto"/>
              <w:bottom w:val="single" w:sz="17" w:space="0" w:color="000000"/>
              <w:right w:val="nil" w:sz="6" w:space="0" w:color="auto"/>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53" w:type="dxa"/>
            <w:tcBorders>
              <w:top w:val="single" w:sz="17" w:space="0" w:color="000000"/>
              <w:left w:val="nil" w:sz="6" w:space="0" w:color="auto"/>
              <w:bottom w:val="single" w:sz="17" w:space="0" w:color="000000"/>
              <w:right w:val="nil" w:sz="6" w:space="0" w:color="auto"/>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z w:val="18"/>
              </w:rPr>
              <w:t>-36.44%</w:t>
            </w:r>
          </w:p>
        </w:tc>
        <w:tc>
          <w:tcPr>
            <w:tcW w:w="4922" w:type="dxa"/>
            <w:tcBorders>
              <w:top w:val="single" w:sz="17" w:space="0" w:color="000000"/>
              <w:left w:val="nil" w:sz="6" w:space="0" w:color="auto"/>
              <w:bottom w:val="single" w:sz="17" w:space="0" w:color="000000"/>
              <w:right w:val="nil" w:sz="6" w:space="0" w:color="auto"/>
            </w:tcBorders>
          </w:tcPr>
          <w:p>
            <w:pPr>
              <w:pStyle w:val="TableParagraph"/>
              <w:spacing w:line="316" w:lineRule="auto" w:before="51"/>
              <w:ind w:left="8" w:right="12"/>
              <w:jc w:val="both"/>
              <w:rPr>
                <w:rFonts w:ascii="宋体" w:hAnsi="宋体" w:cs="宋体" w:eastAsia="宋体" w:hint="default"/>
                <w:sz w:val="18"/>
                <w:szCs w:val="18"/>
              </w:rPr>
            </w:pPr>
            <w:r>
              <w:rPr>
                <w:rFonts w:ascii="宋体" w:hAnsi="宋体" w:cs="宋体" w:eastAsia="宋体" w:hint="default"/>
                <w:sz w:val="18"/>
                <w:szCs w:val="18"/>
              </w:rPr>
              <w:t>主要是公司消费电子类产品的收入出现较大幅度下滑。同时，</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受软件生态等因素影响，公司在移动互联网终端产品市场的销</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售存在障碍，导致报告期内销售收入下降所致。</w:t>
            </w:r>
          </w:p>
        </w:tc>
      </w:tr>
      <w:tr>
        <w:trPr>
          <w:trHeight w:val="446" w:hRule="exact"/>
        </w:trPr>
        <w:tc>
          <w:tcPr>
            <w:tcW w:w="2144" w:type="dxa"/>
            <w:tcBorders>
              <w:top w:val="single" w:sz="17" w:space="0" w:color="000000"/>
              <w:left w:val="nil" w:sz="6" w:space="0" w:color="auto"/>
              <w:bottom w:val="single" w:sz="17" w:space="0" w:color="000000"/>
              <w:right w:val="nil" w:sz="6" w:space="0" w:color="auto"/>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153" w:type="dxa"/>
            <w:tcBorders>
              <w:top w:val="single" w:sz="17" w:space="0" w:color="000000"/>
              <w:left w:val="nil" w:sz="6" w:space="0" w:color="auto"/>
              <w:bottom w:val="single" w:sz="17" w:space="0" w:color="000000"/>
              <w:right w:val="nil" w:sz="6" w:space="0" w:color="auto"/>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-39.95%</w:t>
            </w:r>
          </w:p>
        </w:tc>
        <w:tc>
          <w:tcPr>
            <w:tcW w:w="4922" w:type="dxa"/>
            <w:tcBorders>
              <w:top w:val="single" w:sz="17" w:space="0" w:color="000000"/>
              <w:left w:val="nil" w:sz="6" w:space="0" w:color="auto"/>
              <w:bottom w:val="single" w:sz="17" w:space="0" w:color="000000"/>
              <w:right w:val="nil" w:sz="6" w:space="0" w:color="auto"/>
            </w:tcBorders>
          </w:tcPr>
          <w:p>
            <w:pPr>
              <w:pStyle w:val="TableParagraph"/>
              <w:spacing w:line="240" w:lineRule="auto" w:before="49"/>
              <w:ind w:left="8" w:right="0"/>
              <w:jc w:val="left"/>
              <w:rPr>
                <w:rFonts w:ascii="宋体" w:hAnsi="宋体" w:cs="宋体" w:eastAsia="宋体" w:hint="default"/>
                <w:sz w:val="18"/>
                <w:szCs w:val="18"/>
              </w:rPr>
            </w:pPr>
            <w:r>
              <w:rPr>
                <w:rFonts w:ascii="宋体" w:hAnsi="宋体" w:cs="宋体" w:eastAsia="宋体" w:hint="default"/>
                <w:sz w:val="18"/>
                <w:szCs w:val="18"/>
              </w:rPr>
              <w:t>收入下降，导致营业税金及附加减少。</w:t>
            </w:r>
          </w:p>
        </w:tc>
      </w:tr>
      <w:tr>
        <w:trPr>
          <w:trHeight w:val="447" w:hRule="exact"/>
        </w:trPr>
        <w:tc>
          <w:tcPr>
            <w:tcW w:w="2144" w:type="dxa"/>
            <w:tcBorders>
              <w:top w:val="single" w:sz="17" w:space="0" w:color="000000"/>
              <w:left w:val="nil" w:sz="6" w:space="0" w:color="auto"/>
              <w:bottom w:val="single" w:sz="17" w:space="0" w:color="000000"/>
              <w:right w:val="nil" w:sz="6" w:space="0" w:color="auto"/>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153" w:type="dxa"/>
            <w:tcBorders>
              <w:top w:val="single" w:sz="17" w:space="0" w:color="000000"/>
              <w:left w:val="nil" w:sz="6" w:space="0" w:color="auto"/>
              <w:bottom w:val="single" w:sz="17" w:space="0" w:color="000000"/>
              <w:right w:val="nil" w:sz="6" w:space="0" w:color="auto"/>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z w:val="18"/>
              </w:rPr>
              <w:t>28.58%</w:t>
            </w:r>
          </w:p>
        </w:tc>
        <w:tc>
          <w:tcPr>
            <w:tcW w:w="4922" w:type="dxa"/>
            <w:tcBorders>
              <w:top w:val="single" w:sz="17" w:space="0" w:color="000000"/>
              <w:left w:val="nil" w:sz="6" w:space="0" w:color="auto"/>
              <w:bottom w:val="single" w:sz="17" w:space="0" w:color="000000"/>
              <w:right w:val="nil" w:sz="6" w:space="0" w:color="auto"/>
            </w:tcBorders>
          </w:tcPr>
          <w:p>
            <w:pPr>
              <w:pStyle w:val="TableParagraph"/>
              <w:spacing w:line="240" w:lineRule="auto" w:before="51"/>
              <w:ind w:left="8" w:right="0"/>
              <w:jc w:val="left"/>
              <w:rPr>
                <w:rFonts w:ascii="宋体" w:hAnsi="宋体" w:cs="宋体" w:eastAsia="宋体" w:hint="default"/>
                <w:sz w:val="18"/>
                <w:szCs w:val="18"/>
              </w:rPr>
            </w:pPr>
            <w:r>
              <w:rPr>
                <w:rFonts w:ascii="宋体" w:hAnsi="宋体" w:cs="宋体" w:eastAsia="宋体" w:hint="default"/>
                <w:sz w:val="18"/>
                <w:szCs w:val="18"/>
              </w:rPr>
              <w:t>主要是研发人员增加导致薪酬增加，研发投入增加所致。</w:t>
            </w:r>
          </w:p>
        </w:tc>
      </w:tr>
      <w:tr>
        <w:trPr>
          <w:trHeight w:val="446" w:hRule="exact"/>
        </w:trPr>
        <w:tc>
          <w:tcPr>
            <w:tcW w:w="2144" w:type="dxa"/>
            <w:tcBorders>
              <w:top w:val="single" w:sz="17" w:space="0" w:color="000000"/>
              <w:left w:val="nil" w:sz="6" w:space="0" w:color="auto"/>
              <w:bottom w:val="single" w:sz="17" w:space="0" w:color="000000"/>
              <w:right w:val="nil" w:sz="6" w:space="0" w:color="auto"/>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153" w:type="dxa"/>
            <w:tcBorders>
              <w:top w:val="single" w:sz="17" w:space="0" w:color="000000"/>
              <w:left w:val="nil" w:sz="6" w:space="0" w:color="auto"/>
              <w:bottom w:val="single" w:sz="17" w:space="0" w:color="000000"/>
              <w:right w:val="nil" w:sz="6" w:space="0" w:color="auto"/>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-120.13%</w:t>
            </w:r>
          </w:p>
        </w:tc>
        <w:tc>
          <w:tcPr>
            <w:tcW w:w="4922" w:type="dxa"/>
            <w:tcBorders>
              <w:top w:val="single" w:sz="17" w:space="0" w:color="000000"/>
              <w:left w:val="nil" w:sz="6" w:space="0" w:color="auto"/>
              <w:bottom w:val="single" w:sz="17" w:space="0" w:color="000000"/>
              <w:right w:val="nil" w:sz="6" w:space="0" w:color="auto"/>
            </w:tcBorders>
          </w:tcPr>
          <w:p>
            <w:pPr>
              <w:pStyle w:val="TableParagraph"/>
              <w:spacing w:line="240" w:lineRule="auto" w:before="51"/>
              <w:ind w:left="8" w:right="0"/>
              <w:jc w:val="left"/>
              <w:rPr>
                <w:rFonts w:ascii="宋体" w:hAnsi="宋体" w:cs="宋体" w:eastAsia="宋体" w:hint="default"/>
                <w:sz w:val="18"/>
                <w:szCs w:val="18"/>
              </w:rPr>
            </w:pPr>
            <w:r>
              <w:rPr>
                <w:rFonts w:ascii="宋体" w:hAnsi="宋体" w:cs="宋体" w:eastAsia="宋体" w:hint="default"/>
                <w:sz w:val="18"/>
                <w:szCs w:val="18"/>
              </w:rPr>
              <w:t>存款利息收入增加所致。</w:t>
            </w:r>
          </w:p>
        </w:tc>
      </w:tr>
      <w:tr>
        <w:trPr>
          <w:trHeight w:val="449" w:hRule="exact"/>
        </w:trPr>
        <w:tc>
          <w:tcPr>
            <w:tcW w:w="2144" w:type="dxa"/>
            <w:tcBorders>
              <w:top w:val="single" w:sz="17" w:space="0" w:color="000000"/>
              <w:left w:val="nil" w:sz="6" w:space="0" w:color="auto"/>
              <w:bottom w:val="single" w:sz="17" w:space="0" w:color="000000"/>
              <w:right w:val="nil" w:sz="6" w:space="0" w:color="auto"/>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153" w:type="dxa"/>
            <w:tcBorders>
              <w:top w:val="single" w:sz="17" w:space="0" w:color="000000"/>
              <w:left w:val="nil" w:sz="6" w:space="0" w:color="auto"/>
              <w:bottom w:val="single" w:sz="17" w:space="0" w:color="000000"/>
              <w:right w:val="nil" w:sz="6" w:space="0" w:color="auto"/>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z w:val="18"/>
              </w:rPr>
              <w:t>99.17%</w:t>
            </w:r>
          </w:p>
        </w:tc>
        <w:tc>
          <w:tcPr>
            <w:tcW w:w="4922" w:type="dxa"/>
            <w:tcBorders>
              <w:top w:val="single" w:sz="17" w:space="0" w:color="000000"/>
              <w:left w:val="nil" w:sz="6" w:space="0" w:color="auto"/>
              <w:bottom w:val="single" w:sz="17" w:space="0" w:color="000000"/>
              <w:right w:val="nil" w:sz="6" w:space="0" w:color="auto"/>
            </w:tcBorders>
          </w:tcPr>
          <w:p>
            <w:pPr>
              <w:pStyle w:val="TableParagraph"/>
              <w:spacing w:line="240" w:lineRule="auto" w:before="35"/>
              <w:ind w:left="8" w:right="0"/>
              <w:jc w:val="left"/>
              <w:rPr>
                <w:rFonts w:ascii="宋体" w:hAnsi="宋体" w:cs="宋体" w:eastAsia="宋体" w:hint="default"/>
                <w:sz w:val="20"/>
                <w:szCs w:val="20"/>
              </w:rPr>
            </w:pPr>
            <w:r>
              <w:rPr>
                <w:rFonts w:ascii="宋体" w:hAnsi="宋体" w:cs="宋体" w:eastAsia="宋体" w:hint="default"/>
                <w:sz w:val="20"/>
                <w:szCs w:val="20"/>
              </w:rPr>
              <w:t>根据账龄计提坏账准备所致。</w:t>
            </w:r>
          </w:p>
        </w:tc>
      </w:tr>
      <w:tr>
        <w:trPr>
          <w:trHeight w:val="446" w:hRule="exact"/>
        </w:trPr>
        <w:tc>
          <w:tcPr>
            <w:tcW w:w="2144" w:type="dxa"/>
            <w:tcBorders>
              <w:top w:val="single" w:sz="17" w:space="0" w:color="000000"/>
              <w:left w:val="nil" w:sz="6" w:space="0" w:color="auto"/>
              <w:bottom w:val="single" w:sz="17" w:space="0" w:color="000000"/>
              <w:right w:val="nil" w:sz="6" w:space="0" w:color="auto"/>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153" w:type="dxa"/>
            <w:tcBorders>
              <w:top w:val="single" w:sz="17" w:space="0" w:color="000000"/>
              <w:left w:val="nil" w:sz="6" w:space="0" w:color="auto"/>
              <w:bottom w:val="single" w:sz="17"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133.32%</w:t>
            </w:r>
          </w:p>
        </w:tc>
        <w:tc>
          <w:tcPr>
            <w:tcW w:w="4922" w:type="dxa"/>
            <w:tcBorders>
              <w:top w:val="single" w:sz="17" w:space="0" w:color="000000"/>
              <w:left w:val="nil" w:sz="6" w:space="0" w:color="auto"/>
              <w:bottom w:val="single" w:sz="17" w:space="0" w:color="000000"/>
              <w:right w:val="nil" w:sz="6" w:space="0" w:color="auto"/>
            </w:tcBorders>
          </w:tcPr>
          <w:p>
            <w:pPr>
              <w:pStyle w:val="TableParagraph"/>
              <w:spacing w:line="240" w:lineRule="auto" w:before="33"/>
              <w:ind w:left="8" w:right="0"/>
              <w:jc w:val="left"/>
              <w:rPr>
                <w:rFonts w:ascii="宋体" w:hAnsi="宋体" w:cs="宋体" w:eastAsia="宋体" w:hint="default"/>
                <w:sz w:val="20"/>
                <w:szCs w:val="20"/>
              </w:rPr>
            </w:pPr>
            <w:r>
              <w:rPr>
                <w:rFonts w:ascii="宋体" w:hAnsi="宋体" w:cs="宋体" w:eastAsia="宋体" w:hint="default"/>
                <w:sz w:val="20"/>
                <w:szCs w:val="20"/>
              </w:rPr>
              <w:t>结转递延收益所致。</w:t>
            </w:r>
          </w:p>
        </w:tc>
      </w:tr>
      <w:tr>
        <w:trPr>
          <w:trHeight w:val="758" w:hRule="exact"/>
        </w:trPr>
        <w:tc>
          <w:tcPr>
            <w:tcW w:w="2144" w:type="dxa"/>
            <w:tcBorders>
              <w:top w:val="single" w:sz="17" w:space="0" w:color="000000"/>
              <w:left w:val="nil" w:sz="6" w:space="0" w:color="auto"/>
              <w:bottom w:val="single" w:sz="17" w:space="0" w:color="000000"/>
              <w:right w:val="nil" w:sz="6" w:space="0" w:color="auto"/>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153" w:type="dxa"/>
            <w:tcBorders>
              <w:top w:val="single" w:sz="17" w:space="0" w:color="000000"/>
              <w:left w:val="nil" w:sz="6" w:space="0" w:color="auto"/>
              <w:bottom w:val="single" w:sz="17" w:space="0" w:color="000000"/>
              <w:right w:val="nil" w:sz="6" w:space="0" w:color="auto"/>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z w:val="18"/>
              </w:rPr>
              <w:t>80.25%</w:t>
            </w:r>
          </w:p>
        </w:tc>
        <w:tc>
          <w:tcPr>
            <w:tcW w:w="4922" w:type="dxa"/>
            <w:tcBorders>
              <w:top w:val="single" w:sz="17" w:space="0" w:color="000000"/>
              <w:left w:val="nil" w:sz="6" w:space="0" w:color="auto"/>
              <w:bottom w:val="single" w:sz="17" w:space="0" w:color="000000"/>
              <w:right w:val="nil" w:sz="6" w:space="0" w:color="auto"/>
            </w:tcBorders>
          </w:tcPr>
          <w:p>
            <w:pPr>
              <w:pStyle w:val="TableParagraph"/>
              <w:spacing w:line="297" w:lineRule="auto" w:before="51"/>
              <w:ind w:left="8" w:right="7"/>
              <w:jc w:val="left"/>
              <w:rPr>
                <w:rFonts w:ascii="宋体" w:hAnsi="宋体" w:cs="宋体" w:eastAsia="宋体" w:hint="default"/>
                <w:sz w:val="18"/>
                <w:szCs w:val="18"/>
              </w:rPr>
            </w:pPr>
            <w:r>
              <w:rPr>
                <w:rFonts w:ascii="宋体" w:hAnsi="宋体" w:cs="宋体" w:eastAsia="宋体" w:hint="default"/>
                <w:spacing w:val="2"/>
                <w:sz w:val="18"/>
                <w:szCs w:val="18"/>
              </w:rPr>
              <w:t>所得税</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免</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减半优惠期满，本年度按照</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税率缴纳所得税所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致。</w:t>
            </w:r>
          </w:p>
        </w:tc>
      </w:tr>
      <w:tr>
        <w:trPr>
          <w:trHeight w:val="446" w:hRule="exact"/>
        </w:trPr>
        <w:tc>
          <w:tcPr>
            <w:tcW w:w="2144" w:type="dxa"/>
            <w:tcBorders>
              <w:top w:val="single" w:sz="17" w:space="0" w:color="000000"/>
              <w:left w:val="nil" w:sz="6" w:space="0" w:color="auto"/>
              <w:bottom w:val="single" w:sz="17" w:space="0" w:color="000000"/>
              <w:right w:val="nil" w:sz="6" w:space="0" w:color="auto"/>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153" w:type="dxa"/>
            <w:tcBorders>
              <w:top w:val="single" w:sz="17" w:space="0" w:color="000000"/>
              <w:left w:val="nil" w:sz="6" w:space="0" w:color="auto"/>
              <w:bottom w:val="single" w:sz="17" w:space="0" w:color="000000"/>
              <w:right w:val="nil" w:sz="6" w:space="0" w:color="auto"/>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z w:val="18"/>
              </w:rPr>
              <w:t>-48.51%</w:t>
            </w:r>
          </w:p>
        </w:tc>
        <w:tc>
          <w:tcPr>
            <w:tcW w:w="4922" w:type="dxa"/>
            <w:tcBorders>
              <w:top w:val="single" w:sz="17" w:space="0" w:color="000000"/>
              <w:left w:val="nil" w:sz="6" w:space="0" w:color="auto"/>
              <w:bottom w:val="single" w:sz="17" w:space="0" w:color="000000"/>
              <w:right w:val="nil" w:sz="6" w:space="0" w:color="auto"/>
            </w:tcBorders>
          </w:tcPr>
          <w:p>
            <w:pPr>
              <w:pStyle w:val="TableParagraph"/>
              <w:spacing w:line="240" w:lineRule="auto" w:before="51"/>
              <w:ind w:left="8" w:right="0"/>
              <w:jc w:val="left"/>
              <w:rPr>
                <w:rFonts w:ascii="宋体" w:hAnsi="宋体" w:cs="宋体" w:eastAsia="宋体" w:hint="default"/>
                <w:sz w:val="18"/>
                <w:szCs w:val="18"/>
              </w:rPr>
            </w:pPr>
            <w:r>
              <w:rPr>
                <w:rFonts w:ascii="宋体" w:hAnsi="宋体" w:cs="宋体" w:eastAsia="宋体" w:hint="default"/>
                <w:sz w:val="18"/>
                <w:szCs w:val="18"/>
              </w:rPr>
              <w:t>主要是由于收入减少导致收到的增值税退税减少所致。</w:t>
            </w:r>
          </w:p>
        </w:tc>
      </w:tr>
      <w:tr>
        <w:trPr>
          <w:trHeight w:val="761" w:hRule="exact"/>
        </w:trPr>
        <w:tc>
          <w:tcPr>
            <w:tcW w:w="2144" w:type="dxa"/>
            <w:tcBorders>
              <w:top w:val="single" w:sz="17" w:space="0" w:color="000000"/>
              <w:left w:val="nil" w:sz="6" w:space="0" w:color="auto"/>
              <w:bottom w:val="single" w:sz="17" w:space="0" w:color="000000"/>
              <w:right w:val="nil" w:sz="6" w:space="0" w:color="auto"/>
            </w:tcBorders>
          </w:tcPr>
          <w:p>
            <w:pPr>
              <w:pStyle w:val="TableParagraph"/>
              <w:spacing w:line="316" w:lineRule="auto" w:before="51"/>
              <w:ind w:left="12" w:right="403"/>
              <w:jc w:val="left"/>
              <w:rPr>
                <w:rFonts w:ascii="宋体" w:hAnsi="宋体" w:cs="宋体" w:eastAsia="宋体" w:hint="default"/>
                <w:sz w:val="18"/>
                <w:szCs w:val="18"/>
              </w:rPr>
            </w:pPr>
            <w:r>
              <w:rPr>
                <w:rFonts w:ascii="宋体" w:hAnsi="宋体" w:cs="宋体" w:eastAsia="宋体" w:hint="default"/>
                <w:spacing w:val="11"/>
                <w:sz w:val="18"/>
                <w:szCs w:val="18"/>
              </w:rPr>
              <w:t>收到其他与经营活动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有关的现金</w:t>
            </w:r>
          </w:p>
        </w:tc>
        <w:tc>
          <w:tcPr>
            <w:tcW w:w="1153" w:type="dxa"/>
            <w:tcBorders>
              <w:top w:val="single" w:sz="17" w:space="0" w:color="000000"/>
              <w:left w:val="nil" w:sz="6" w:space="0" w:color="auto"/>
              <w:bottom w:val="single" w:sz="17" w:space="0" w:color="000000"/>
              <w:right w:val="nil" w:sz="6" w:space="0" w:color="auto"/>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118.65%</w:t>
            </w:r>
          </w:p>
        </w:tc>
        <w:tc>
          <w:tcPr>
            <w:tcW w:w="4922" w:type="dxa"/>
            <w:tcBorders>
              <w:top w:val="single" w:sz="17" w:space="0" w:color="000000"/>
              <w:left w:val="nil" w:sz="6" w:space="0" w:color="auto"/>
              <w:bottom w:val="single" w:sz="17" w:space="0" w:color="000000"/>
              <w:right w:val="nil" w:sz="6" w:space="0" w:color="auto"/>
            </w:tcBorders>
          </w:tcPr>
          <w:p>
            <w:pPr>
              <w:pStyle w:val="TableParagraph"/>
              <w:spacing w:line="240" w:lineRule="auto" w:before="51"/>
              <w:ind w:left="8" w:right="0"/>
              <w:jc w:val="left"/>
              <w:rPr>
                <w:rFonts w:ascii="宋体" w:hAnsi="宋体" w:cs="宋体" w:eastAsia="宋体" w:hint="default"/>
                <w:sz w:val="18"/>
                <w:szCs w:val="18"/>
              </w:rPr>
            </w:pPr>
            <w:r>
              <w:rPr>
                <w:rFonts w:ascii="宋体" w:hAnsi="宋体" w:cs="宋体" w:eastAsia="宋体" w:hint="default"/>
                <w:sz w:val="18"/>
                <w:szCs w:val="18"/>
              </w:rPr>
              <w:t>主要是利息收入增加以及收到政府补助增加所致。</w:t>
            </w:r>
          </w:p>
        </w:tc>
      </w:tr>
      <w:tr>
        <w:trPr>
          <w:trHeight w:val="759" w:hRule="exact"/>
        </w:trPr>
        <w:tc>
          <w:tcPr>
            <w:tcW w:w="2144" w:type="dxa"/>
            <w:tcBorders>
              <w:top w:val="single" w:sz="17" w:space="0" w:color="000000"/>
              <w:left w:val="nil" w:sz="6" w:space="0" w:color="auto"/>
              <w:bottom w:val="single" w:sz="17" w:space="0" w:color="000000"/>
              <w:right w:val="nil" w:sz="6" w:space="0" w:color="auto"/>
            </w:tcBorders>
          </w:tcPr>
          <w:p>
            <w:pPr>
              <w:pStyle w:val="TableParagraph"/>
              <w:spacing w:line="316" w:lineRule="auto" w:before="49"/>
              <w:ind w:left="12" w:right="403"/>
              <w:jc w:val="left"/>
              <w:rPr>
                <w:rFonts w:ascii="宋体" w:hAnsi="宋体" w:cs="宋体" w:eastAsia="宋体" w:hint="default"/>
                <w:sz w:val="18"/>
                <w:szCs w:val="18"/>
              </w:rPr>
            </w:pPr>
            <w:r>
              <w:rPr>
                <w:rFonts w:ascii="宋体" w:hAnsi="宋体" w:cs="宋体" w:eastAsia="宋体" w:hint="default"/>
                <w:spacing w:val="11"/>
                <w:sz w:val="18"/>
                <w:szCs w:val="18"/>
              </w:rPr>
              <w:t>支付给职工以及为职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工支付的现金</w:t>
            </w:r>
          </w:p>
        </w:tc>
        <w:tc>
          <w:tcPr>
            <w:tcW w:w="1153" w:type="dxa"/>
            <w:tcBorders>
              <w:top w:val="single" w:sz="17" w:space="0" w:color="000000"/>
              <w:left w:val="nil" w:sz="6" w:space="0" w:color="auto"/>
              <w:bottom w:val="single" w:sz="17" w:space="0" w:color="000000"/>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36.83%</w:t>
            </w:r>
          </w:p>
        </w:tc>
        <w:tc>
          <w:tcPr>
            <w:tcW w:w="4922" w:type="dxa"/>
            <w:tcBorders>
              <w:top w:val="single" w:sz="17" w:space="0" w:color="000000"/>
              <w:left w:val="nil" w:sz="6" w:space="0" w:color="auto"/>
              <w:bottom w:val="single" w:sz="17" w:space="0" w:color="000000"/>
              <w:right w:val="nil" w:sz="6" w:space="0" w:color="auto"/>
            </w:tcBorders>
          </w:tcPr>
          <w:p>
            <w:pPr>
              <w:pStyle w:val="TableParagraph"/>
              <w:spacing w:line="240" w:lineRule="auto" w:before="49"/>
              <w:ind w:left="8" w:right="0"/>
              <w:jc w:val="left"/>
              <w:rPr>
                <w:rFonts w:ascii="宋体" w:hAnsi="宋体" w:cs="宋体" w:eastAsia="宋体" w:hint="default"/>
                <w:sz w:val="18"/>
                <w:szCs w:val="18"/>
              </w:rPr>
            </w:pPr>
            <w:r>
              <w:rPr>
                <w:rFonts w:ascii="宋体" w:hAnsi="宋体" w:cs="宋体" w:eastAsia="宋体" w:hint="default"/>
                <w:sz w:val="18"/>
                <w:szCs w:val="18"/>
              </w:rPr>
              <w:t>主要是研发人员薪酬增加所致。</w:t>
            </w:r>
          </w:p>
        </w:tc>
      </w:tr>
      <w:tr>
        <w:trPr>
          <w:trHeight w:val="1073" w:hRule="exact"/>
        </w:trPr>
        <w:tc>
          <w:tcPr>
            <w:tcW w:w="2144" w:type="dxa"/>
            <w:tcBorders>
              <w:top w:val="single" w:sz="17" w:space="0" w:color="000000"/>
              <w:left w:val="nil" w:sz="6" w:space="0" w:color="auto"/>
              <w:bottom w:val="single" w:sz="17" w:space="0" w:color="000000"/>
              <w:right w:val="nil" w:sz="6" w:space="0" w:color="auto"/>
            </w:tcBorders>
          </w:tcPr>
          <w:p>
            <w:pPr>
              <w:pStyle w:val="TableParagraph"/>
              <w:spacing w:line="316" w:lineRule="auto" w:before="51"/>
              <w:ind w:left="12" w:right="403"/>
              <w:jc w:val="both"/>
              <w:rPr>
                <w:rFonts w:ascii="宋体" w:hAnsi="宋体" w:cs="宋体" w:eastAsia="宋体" w:hint="default"/>
                <w:sz w:val="18"/>
                <w:szCs w:val="18"/>
              </w:rPr>
            </w:pPr>
            <w:r>
              <w:rPr>
                <w:rFonts w:ascii="宋体" w:hAnsi="宋体" w:cs="宋体" w:eastAsia="宋体" w:hint="default"/>
                <w:spacing w:val="-8"/>
                <w:sz w:val="18"/>
                <w:szCs w:val="18"/>
              </w:rPr>
              <w:t>购建固定资产、无形资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1"/>
                <w:sz w:val="18"/>
                <w:szCs w:val="18"/>
              </w:rPr>
              <w:t>产和其他长期资产支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付的现金</w:t>
            </w:r>
          </w:p>
        </w:tc>
        <w:tc>
          <w:tcPr>
            <w:tcW w:w="1153" w:type="dxa"/>
            <w:tcBorders>
              <w:top w:val="single" w:sz="17" w:space="0" w:color="000000"/>
              <w:left w:val="nil" w:sz="6" w:space="0" w:color="auto"/>
              <w:bottom w:val="single" w:sz="17" w:space="0" w:color="000000"/>
              <w:right w:val="nil" w:sz="6" w:space="0" w:color="auto"/>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z w:val="18"/>
              </w:rPr>
              <w:t>51.38%</w:t>
            </w:r>
          </w:p>
        </w:tc>
        <w:tc>
          <w:tcPr>
            <w:tcW w:w="4922" w:type="dxa"/>
            <w:tcBorders>
              <w:top w:val="single" w:sz="17" w:space="0" w:color="000000"/>
              <w:left w:val="nil" w:sz="6" w:space="0" w:color="auto"/>
              <w:bottom w:val="single" w:sz="17" w:space="0" w:color="000000"/>
              <w:right w:val="nil" w:sz="6" w:space="0" w:color="auto"/>
            </w:tcBorders>
          </w:tcPr>
          <w:p>
            <w:pPr>
              <w:pStyle w:val="TableParagraph"/>
              <w:spacing w:line="240" w:lineRule="auto" w:before="51"/>
              <w:ind w:left="8" w:right="0"/>
              <w:jc w:val="left"/>
              <w:rPr>
                <w:rFonts w:ascii="宋体" w:hAnsi="宋体" w:cs="宋体" w:eastAsia="宋体" w:hint="default"/>
                <w:sz w:val="18"/>
                <w:szCs w:val="18"/>
              </w:rPr>
            </w:pPr>
            <w:r>
              <w:rPr>
                <w:rFonts w:ascii="宋体" w:hAnsi="宋体" w:cs="宋体" w:eastAsia="宋体" w:hint="default"/>
                <w:sz w:val="18"/>
                <w:szCs w:val="18"/>
              </w:rPr>
              <w:t>主要是研发基地建设投入所致</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left="3429" w:right="3450"/>
        <w:jc w:val="center"/>
        <w:rPr>
          <w:b w:val="0"/>
          <w:bCs w:val="0"/>
        </w:rPr>
      </w:pPr>
      <w:bookmarkStart w:name="_TOC_250000" w:id="10"/>
      <w:r>
        <w:rPr/>
        <w:t>第十节</w:t>
      </w:r>
      <w:r>
        <w:rPr>
          <w:spacing w:val="-6"/>
        </w:rPr>
        <w:t> </w:t>
      </w:r>
      <w:r>
        <w:rPr/>
        <w:t>备查文件目录</w:t>
      </w:r>
      <w:bookmarkEnd w:id="10"/>
      <w:r>
        <w:rPr>
          <w:b w:val="0"/>
          <w:bCs w:val="0"/>
        </w:rPr>
      </w:r>
    </w:p>
    <w:p>
      <w:pPr>
        <w:spacing w:line="240" w:lineRule="auto" w:before="2"/>
        <w:rPr>
          <w:rFonts w:ascii="宋体" w:hAnsi="宋体" w:cs="宋体" w:eastAsia="宋体" w:hint="default"/>
          <w:b/>
          <w:bCs/>
          <w:sz w:val="41"/>
          <w:szCs w:val="41"/>
        </w:rPr>
      </w:pPr>
    </w:p>
    <w:p>
      <w:pPr>
        <w:pStyle w:val="Heading3"/>
        <w:spacing w:line="312" w:lineRule="exact"/>
        <w:ind w:right="194"/>
        <w:jc w:val="left"/>
      </w:pPr>
      <w:r>
        <w:rPr/>
        <w:t>一、载有公司法定代表人、主管会计工作负责人、会计机构负责人签名并盖章的财务报表。 二、载有会计师事务所盖章、注册会计师签名并盖章的审计报告原件。 三、报告期内在中国证监会指定网站上公开披露过的所有公司文件的正本及公告的原稿。 四、其他相关资料。</w:t>
      </w:r>
    </w:p>
    <w:p>
      <w:pPr>
        <w:pStyle w:val="Heading3"/>
        <w:spacing w:line="283" w:lineRule="exact"/>
        <w:ind w:right="194"/>
        <w:jc w:val="left"/>
      </w:pPr>
      <w:r>
        <w:rPr/>
        <w:t>五、以上备查文件的备置地点：公司董事会办公室。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spacing w:line="240" w:lineRule="auto" w:before="185"/>
        <w:ind w:left="6072" w:right="0" w:firstLine="360"/>
        <w:jc w:val="left"/>
      </w:pPr>
      <w:r>
        <w:rPr/>
        <w:t>北京君正集成电路股份有限公司</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9"/>
          <w:szCs w:val="29"/>
        </w:rPr>
      </w:pPr>
    </w:p>
    <w:p>
      <w:pPr>
        <w:pStyle w:val="Heading3"/>
        <w:tabs>
          <w:tab w:pos="9848" w:val="left" w:leader="none"/>
        </w:tabs>
        <w:spacing w:line="240" w:lineRule="auto"/>
        <w:ind w:left="6072" w:right="194"/>
        <w:jc w:val="left"/>
        <w:rPr>
          <w:rFonts w:ascii="Times New Roman" w:hAnsi="Times New Roman" w:cs="Times New Roman" w:eastAsia="Times New Roman" w:hint="default"/>
        </w:rPr>
      </w:pPr>
      <w:r>
        <w:rPr/>
        <w:t>法定代表人：刘强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p>
      <w:pPr>
        <w:pStyle w:val="Heading3"/>
        <w:spacing w:line="240" w:lineRule="auto" w:before="26"/>
        <w:ind w:left="0" w:right="171"/>
        <w:jc w:val="right"/>
      </w:pPr>
      <w:r>
        <w:rPr/>
        <w:t>二○一三年三月二十一日</w:t>
      </w:r>
    </w:p>
    <w:sectPr>
      <w:pgSz w:w="11910" w:h="16840"/>
      <w:pgMar w:header="877" w:footer="980" w:top="1060" w:bottom="116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650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649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21</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649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87</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6499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649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649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6498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5005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35.070007pt;margin-top:42.865608pt;width:204.75pt;height:11.5pt;mso-position-horizontal-relative:page;mso-position-vertical-relative:page;z-index:-650032" type="#_x0000_t202" filled="false" stroked="false">
          <v:textbox inset="0,0,0,0">
            <w:txbxContent>
              <w:p>
                <w:pPr>
                  <w:pStyle w:val="BodyText"/>
                  <w:spacing w:line="214" w:lineRule="exact"/>
                  <w:ind w:left="20" w:right="0"/>
                  <w:jc w:val="left"/>
                </w:pPr>
                <w:r>
                  <w:rPr/>
                  <w:t>北京君正集成电路股份有限公司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3"/>
      <w:ind w:left="152"/>
    </w:pPr>
    <w:rPr>
      <w:rFonts w:ascii="宋体" w:hAnsi="宋体" w:eastAsia="宋体"/>
      <w:sz w:val="18"/>
      <w:szCs w:val="1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422"/>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Heading5" w:type="paragraph">
    <w:name w:val="Heading 5"/>
    <w:basedOn w:val="Normal"/>
    <w:uiPriority w:val="1"/>
    <w:qFormat/>
    <w:pPr>
      <w:ind w:left="513"/>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ingenic.cn/" TargetMode="External"/><Relationship Id="rId9" Type="http://schemas.openxmlformats.org/officeDocument/2006/relationships/hyperlink" Target="mailto:investors@ingenic.cn" TargetMode="External"/><Relationship Id="rId10" Type="http://schemas.openxmlformats.org/officeDocument/2006/relationships/hyperlink" Target="http://www.cninfo.com.cn/" TargetMode="External"/><Relationship Id="rId11" Type="http://schemas.openxmlformats.org/officeDocument/2006/relationships/footer" Target="footer2.xml"/><Relationship Id="rId12" Type="http://schemas.openxmlformats.org/officeDocument/2006/relationships/image" Target="media/image2.jpe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2020-05-04T02:04:32Z</dcterms:created>
  <dcterms:modified xsi:type="dcterms:W3CDTF">2020-05-04T02:04:32Z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2013-03-22T00:00:00Z</vt:filetime>
  </property>
  <property fmtid="{D5CDD505-2E9C-101B-9397-08002B2CF9AE}" pid="3" name="Creator">
    <vt:lpwstr>Microsoft® Office Word 2007</vt:lpwstr>
  </property>
  <property fmtid="{D5CDD505-2E9C-101B-9397-08002B2CF9AE}" pid="4" name="LastSaved">
    <vt:filetime>2020-05-03T00:00:00Z</vt:filetime>
  </property>
</Properties>
</file>