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104" w:lineRule="exact"/>
        <w:ind w:left="369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1630873" cy="7010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30873" cy="701040"/>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2423" w:right="2423" w:firstLine="0"/>
        <w:jc w:val="center"/>
        <w:rPr>
          <w:rFonts w:ascii="宋体" w:hAnsi="宋体" w:cs="宋体" w:eastAsia="宋体" w:hint="default"/>
          <w:sz w:val="36"/>
          <w:szCs w:val="36"/>
        </w:rPr>
      </w:pPr>
      <w:r>
        <w:rPr>
          <w:rFonts w:ascii="宋体" w:hAnsi="宋体" w:cs="宋体" w:eastAsia="宋体" w:hint="default"/>
          <w:b/>
          <w:bCs/>
          <w:sz w:val="36"/>
          <w:szCs w:val="36"/>
        </w:rPr>
        <w:t>北京君正集成电路股份有限公司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24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3"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公司负责人刘强、主管会计工作负责人张燕祥及会计机构负责人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叶飞声明：保证年度报告中财务报告的真实、准确、完整。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10" w:lineRule="auto" w:before="0"/>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本报告中如有涉及未来的计划等方面的内容，均不构成本公司对任何投资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者及相关人士的承诺，投资者及相关人士均应对此保持足够的风险认识，并且</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z w:val="28"/>
          <w:szCs w:val="28"/>
        </w:rPr>
        <w:t>应当理解计划与承诺之间的差异</w:t>
      </w:r>
      <w:r>
        <w:rPr>
          <w:rFonts w:ascii="宋体" w:hAnsi="宋体" w:cs="宋体" w:eastAsia="宋体" w:hint="default"/>
          <w:b/>
          <w:bCs/>
          <w:spacing w:val="-12"/>
          <w:sz w:val="28"/>
          <w:szCs w:val="28"/>
        </w:rPr>
        <w:t> </w:t>
      </w:r>
      <w:r>
        <w:rPr>
          <w:rFonts w:ascii="宋体" w:hAnsi="宋体" w:cs="宋体" w:eastAsia="宋体" w:hint="default"/>
          <w:b/>
          <w:bCs/>
          <w:sz w:val="28"/>
          <w:szCs w:val="28"/>
        </w:rPr>
        <w:t>。</w:t>
      </w:r>
      <w:r>
        <w:rPr>
          <w:rFonts w:ascii="宋体" w:hAnsi="宋体" w:cs="宋体" w:eastAsia="宋体" w:hint="default"/>
          <w:sz w:val="28"/>
          <w:szCs w:val="28"/>
        </w:rPr>
      </w:r>
    </w:p>
    <w:p>
      <w:pPr>
        <w:spacing w:after="0" w:line="410" w:lineRule="auto"/>
        <w:jc w:val="both"/>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3" w:right="24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26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33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董事、监事、高级管理人员和员工情况</w:t>
            </w:r>
            <w:r>
              <w:rPr>
                <w:rFonts w:ascii="Times New Roman" w:hAnsi="Times New Roman" w:cs="Times New Roman" w:eastAsia="Times New Roman" w:hint="default"/>
              </w:rPr>
              <w:tab/>
              <w:t>39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公司治理</w:t>
            </w:r>
            <w:r>
              <w:rPr>
                <w:rFonts w:ascii="Times New Roman" w:hAnsi="Times New Roman" w:cs="Times New Roman" w:eastAsia="Times New Roman" w:hint="default"/>
              </w:rPr>
              <w:tab/>
              <w:t>44</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财务报告</w:t>
            </w:r>
            <w:r>
              <w:rPr>
                <w:rFonts w:ascii="Times New Roman" w:hAnsi="Times New Roman" w:cs="Times New Roman" w:eastAsia="Times New Roman" w:hint="default"/>
              </w:rPr>
              <w:tab/>
              <w:t>46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备查文件目录</w:t>
            </w:r>
            <w:r>
              <w:rPr>
                <w:rFonts w:ascii="Times New Roman" w:hAnsi="Times New Roman" w:cs="Times New Roman" w:eastAsia="Times New Roman" w:hint="default"/>
              </w:rPr>
              <w:tab/>
              <w:t>127</w:t>
            </w:r>
          </w:hyperlink>
        </w:p>
        <w:p>
          <w:pPr/>
          <w:r>
            <w:fldChar w:fldCharType="end"/>
          </w:r>
        </w:p>
      </w:sdtContent>
    </w:sdt>
    <w:p>
      <w:pPr>
        <w:spacing w:after="0"/>
        <w:sectPr>
          <w:pgSz w:w="11910" w:h="16840"/>
          <w:pgMar w:header="747" w:footer="979" w:top="1060" w:bottom="1160" w:left="980" w:right="980"/>
        </w:sectPr>
      </w:pPr>
    </w:p>
    <w:p>
      <w:pPr>
        <w:spacing w:before="946"/>
        <w:ind w:left="2423" w:right="2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北京君正、公司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香港君正集团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北京君正集成电路（香港）集团有限公司，本公司的全资子公司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君正时代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深圳君正时代集成电路有限公司，本公司的全资子公司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君诚易恒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北京君诚易恒科技有限公司，本公司的控股子公司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合肥君正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合肥君正科技有限公司，本公司的全资子公司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明道汇智</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81"/>
              <w:jc w:val="left"/>
              <w:rPr>
                <w:rFonts w:ascii="宋体" w:hAnsi="宋体" w:cs="宋体" w:eastAsia="宋体" w:hint="default"/>
                <w:sz w:val="18"/>
                <w:szCs w:val="18"/>
              </w:rPr>
            </w:pPr>
            <w:r>
              <w:rPr>
                <w:rFonts w:ascii="宋体" w:hAnsi="宋体" w:cs="宋体" w:eastAsia="宋体" w:hint="default"/>
                <w:spacing w:val="-3"/>
                <w:sz w:val="18"/>
                <w:szCs w:val="18"/>
              </w:rPr>
              <w:t>深圳市明道汇智投资基金合伙企业（有限合伙），本公司参与的投资</w:t>
            </w:r>
            <w:r>
              <w:rPr>
                <w:rFonts w:ascii="宋体" w:hAnsi="宋体" w:cs="宋体" w:eastAsia="宋体" w:hint="default"/>
                <w:sz w:val="18"/>
                <w:szCs w:val="18"/>
              </w:rPr>
              <w:t> 基金</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北京君正</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300223</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北京君正</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Ingenic Semiconductor</w:t>
            </w:r>
            <w:r>
              <w:rPr>
                <w:rFonts w:ascii="Times New Roman"/>
                <w:spacing w:val="-6"/>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Ingenic</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刘强</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座一至三层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100193</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座一至三层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100193</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www.ingenic.com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investors@ingenic.com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白洁</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座一至三层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座一至三层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010-56345005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010-56345005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010-56345001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010-56345001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investors@ingenic.com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investors@ingenic.com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北京市海淀区中关 村南大街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号数码</w:t>
            </w: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座</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层</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2206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1101082863944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京税证字</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110108777668157</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77766815-7</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9"/>
              <w:jc w:val="both"/>
              <w:rPr>
                <w:rFonts w:ascii="宋体" w:hAnsi="宋体" w:cs="宋体" w:eastAsia="宋体" w:hint="default"/>
                <w:sz w:val="18"/>
                <w:szCs w:val="18"/>
              </w:rPr>
            </w:pPr>
            <w:r>
              <w:rPr>
                <w:rFonts w:ascii="宋体" w:hAnsi="宋体" w:cs="宋体" w:eastAsia="宋体" w:hint="default"/>
                <w:sz w:val="18"/>
                <w:szCs w:val="18"/>
              </w:rPr>
              <w:t>北京市海淀区东北 旺中关村软件园信 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110108008639445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京税证字</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110108777668157</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77766815-7</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变更经营范围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9"/>
              <w:jc w:val="both"/>
              <w:rPr>
                <w:rFonts w:ascii="宋体" w:hAnsi="宋体" w:cs="宋体" w:eastAsia="宋体" w:hint="default"/>
                <w:sz w:val="18"/>
                <w:szCs w:val="18"/>
              </w:rPr>
            </w:pPr>
            <w:r>
              <w:rPr>
                <w:rFonts w:ascii="宋体" w:hAnsi="宋体" w:cs="宋体" w:eastAsia="宋体" w:hint="default"/>
                <w:sz w:val="18"/>
                <w:szCs w:val="18"/>
              </w:rPr>
              <w:t>北京市海淀区东北 旺中关村软件园信 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110108008639445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京税证字</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110108777668157</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77766815-7</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变更住所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北京市海淀区西北 旺东路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号院东区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座一至三 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110108008639445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京税证字</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110108777668157</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77766815-7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671536"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63"/>
        <w:gridCol w:w="1412"/>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59,031,657.27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94,832,084.99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106,933,127.74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26,295,584.37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48,689,480.94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55,867,695.52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5" w:right="0"/>
              <w:jc w:val="left"/>
              <w:rPr>
                <w:rFonts w:ascii="Times New Roman" w:hAnsi="Times New Roman" w:cs="Times New Roman" w:eastAsia="Times New Roman" w:hint="default"/>
                <w:sz w:val="18"/>
                <w:szCs w:val="18"/>
              </w:rPr>
            </w:pPr>
            <w:r>
              <w:rPr>
                <w:rFonts w:ascii="Times New Roman"/>
                <w:sz w:val="18"/>
              </w:rPr>
              <w:t>-18,487,220.25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11,533,065.81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-260.30%</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4,234,603.33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5" w:right="0"/>
              <w:jc w:val="left"/>
              <w:rPr>
                <w:rFonts w:ascii="Times New Roman" w:hAnsi="Times New Roman" w:cs="Times New Roman" w:eastAsia="Times New Roman" w:hint="default"/>
                <w:sz w:val="18"/>
                <w:szCs w:val="18"/>
              </w:rPr>
            </w:pPr>
            <w:r>
              <w:rPr>
                <w:rFonts w:ascii="Times New Roman"/>
                <w:sz w:val="18"/>
              </w:rPr>
              <w:t>-12,753,049.78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28,333,784.59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-145.01%</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52,810,629.36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-10,029,719.23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25,569,724.44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-139.22%</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47,875,614.78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63"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-14,375,931.91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11,468,997.14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-225.35%</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7,730,809.26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5" w:right="0"/>
              <w:jc w:val="left"/>
              <w:rPr>
                <w:rFonts w:ascii="Times New Roman" w:hAnsi="Times New Roman" w:cs="Times New Roman" w:eastAsia="Times New Roman" w:hint="default"/>
                <w:sz w:val="18"/>
                <w:szCs w:val="18"/>
              </w:rPr>
            </w:pPr>
            <w:r>
              <w:rPr>
                <w:rFonts w:ascii="Times New Roman"/>
                <w:sz w:val="18"/>
              </w:rPr>
              <w:t>-1,080,681.02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35,945,624.25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-103.01%</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35,057,558.28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-0.0104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0.3456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-103.01%</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0.3371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-0.0964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0.2459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-139.20%</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0.4603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-0.0964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0.2459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-139.20%</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0.4603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104,000,000.00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1,073,181,303.30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1,090,636,877.42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1,111,384,350.29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15,013,754.80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12,055,539.44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27,793,877.01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1,057,420,639.06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1,077,870,583.89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1,083,590,473.28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6" w:right="0"/>
              <w:jc w:val="left"/>
              <w:rPr>
                <w:rFonts w:ascii="Times New Roman" w:hAnsi="Times New Roman" w:cs="Times New Roman" w:eastAsia="Times New Roman" w:hint="default"/>
                <w:sz w:val="18"/>
                <w:szCs w:val="18"/>
              </w:rPr>
            </w:pPr>
            <w:r>
              <w:rPr>
                <w:rFonts w:ascii="Times New Roman"/>
                <w:sz w:val="18"/>
              </w:rPr>
              <w:t>10.1675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10.3641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10.4191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-43,745.83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-44,219.66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6,218,911.00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15,464,698.00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44,523,630.00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1,074,657.39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233,455.59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-1,806,386.50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21,187.05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81,961.80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1,097,223.38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1,573,345.73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4,460,786.28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1,047.95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4,346,212.68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14,100,727.30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40,144,805.52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四、重大风险提示" w:id="16"/>
      <w:bookmarkEnd w:id="16"/>
      <w:r>
        <w:rPr>
          <w:b w:val="0"/>
          <w:bCs w:val="0"/>
        </w:rPr>
      </w:r>
      <w:r>
        <w:rPr/>
        <w:t>四、重大风险提示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、产品开发风险</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9" w:lineRule="auto" w:before="44"/>
        <w:ind w:right="191" w:firstLine="360"/>
        <w:jc w:val="both"/>
      </w:pPr>
      <w:r>
        <w:rPr>
          <w:spacing w:val="-2"/>
        </w:rPr>
        <w:t>集成电路行业技术更新快、市场竞争激烈，需要公司不断推出新产品，同时集成电路生产工艺不断发展，新工艺产品需</w:t>
      </w:r>
      <w:r>
        <w:rPr/>
        <w:t> </w:t>
      </w:r>
      <w:r>
        <w:rPr>
          <w:spacing w:val="-2"/>
        </w:rPr>
        <w:t>要的资金投入不断提高，产品研发难度也不断增大，如公司开发的产品不能很好地吻合市场需求，则可能会对公司的市场销</w:t>
      </w:r>
      <w:r>
        <w:rPr>
          <w:spacing w:val="-66"/>
        </w:rPr>
        <w:t> </w:t>
      </w:r>
      <w:r>
        <w:rPr>
          <w:spacing w:val="-66"/>
        </w:rPr>
      </w:r>
      <w:r>
        <w:rPr>
          <w:spacing w:val="-2"/>
        </w:rPr>
        <w:t>售带来不利影响，使经营风险随之加大。公司将加强市场调研，加强产品立项评估管理，慎重进行产品开发的决策；产品研</w:t>
      </w:r>
      <w:r>
        <w:rPr>
          <w:spacing w:val="-66"/>
        </w:rPr>
        <w:t> </w:t>
      </w:r>
      <w:r>
        <w:rPr>
          <w:spacing w:val="-66"/>
        </w:rPr>
      </w:r>
      <w:r>
        <w:rPr>
          <w:spacing w:val="-2"/>
        </w:rPr>
        <w:t>发上加强研发管理，优化产品开发流程，努力保障产品研发的成功率，同时加强自主核心技术的研发，控制新产品开发过程</w:t>
      </w:r>
      <w:r>
        <w:rPr>
          <w:spacing w:val="-66"/>
        </w:rPr>
        <w:t> </w:t>
      </w:r>
      <w:r>
        <w:rPr>
          <w:spacing w:val="-66"/>
        </w:rPr>
      </w:r>
      <w:r>
        <w:rPr/>
        <w:t>中的资金投入。</w:t>
      </w:r>
    </w:p>
    <w:p>
      <w:pPr>
        <w:pStyle w:val="BodyText"/>
        <w:spacing w:line="338" w:lineRule="auto" w:before="56"/>
        <w:ind w:left="514" w:right="43"/>
        <w:jc w:val="left"/>
      </w:pPr>
      <w:r>
        <w:rPr>
          <w:rFonts w:ascii="Times New Roman" w:hAnsi="Times New Roman" w:cs="Times New Roman" w:eastAsia="Times New Roman" w:hint="default"/>
        </w:rPr>
        <w:t>2</w:t>
      </w:r>
      <w:r>
        <w:rPr/>
        <w:t>、软件生态问题持续影响公司业绩的风险 </w:t>
      </w:r>
      <w:r>
        <w:rPr>
          <w:spacing w:val="-2"/>
        </w:rPr>
        <w:t>近几年来，软件生态问题严重阻碍了公司的市场销售，对公司业绩影响很大。</w:t>
      </w:r>
      <w:r>
        <w:rPr>
          <w:rFonts w:ascii="Times New Roman" w:hAnsi="Times New Roman" w:cs="Times New Roman" w:eastAsia="Times New Roman" w:hint="default"/>
          <w:spacing w:val="-2"/>
        </w:rPr>
        <w:t>2014</w:t>
      </w:r>
      <w:r>
        <w:rPr>
          <w:spacing w:val="-2"/>
        </w:rPr>
        <w:t>年以来，随着教育电子市场中学生平</w:t>
      </w:r>
    </w:p>
    <w:p>
      <w:pPr>
        <w:pStyle w:val="BodyText"/>
        <w:spacing w:line="217" w:lineRule="exact"/>
        <w:ind w:right="43"/>
        <w:jc w:val="left"/>
      </w:pPr>
      <w:r>
        <w:rPr/>
        <w:t>板逐渐替代了学习机类产品，公司在教育电子市场的销售也受到影响，导致公司业绩进一步下滑。为尽快突破市场推广的瓶</w:t>
      </w:r>
    </w:p>
    <w:p>
      <w:pPr>
        <w:pStyle w:val="BodyText"/>
        <w:spacing w:line="309" w:lineRule="auto" w:before="76"/>
        <w:ind w:right="93"/>
        <w:jc w:val="left"/>
      </w:pPr>
      <w:r>
        <w:rPr/>
        <w:t>颈，公司不断寻找和开拓新市场，其中重点布局了智能可穿戴设备市场，并积极在物联网、</w:t>
      </w:r>
      <w:r>
        <w:rPr>
          <w:rFonts w:ascii="Times New Roman" w:hAnsi="Times New Roman" w:cs="Times New Roman" w:eastAsia="Times New Roman" w:hint="default"/>
        </w:rPr>
        <w:t>WIFI</w:t>
      </w:r>
      <w:r>
        <w:rPr/>
        <w:t>音响及安防监控等其他领 域进行推广。根据目前的市场情况，新市场中未发现软件生态问题，但不排除未来个别市场中可能会出现软件兼容性影响。 公司将密切关注新市场的软件生态，及时应对市场变化，降低软件生态问题对公司后续经营造成影响的风险。</w:t>
      </w:r>
    </w:p>
    <w:p>
      <w:pPr>
        <w:pStyle w:val="BodyText"/>
        <w:spacing w:line="338" w:lineRule="auto" w:before="64"/>
        <w:ind w:left="514" w:right="43"/>
        <w:jc w:val="left"/>
      </w:pPr>
      <w:r>
        <w:rPr>
          <w:rFonts w:ascii="Times New Roman" w:hAnsi="Times New Roman" w:cs="Times New Roman" w:eastAsia="Times New Roman" w:hint="default"/>
        </w:rPr>
        <w:t>3</w:t>
      </w:r>
      <w:r>
        <w:rPr/>
        <w:t>、市场依赖风险 </w:t>
      </w:r>
      <w:r>
        <w:rPr>
          <w:spacing w:val="-2"/>
        </w:rPr>
        <w:t>公司现有业务主要分布在教育电子市场和消费电子市场，公司经营业绩对单一市场存在一定的依赖性，如现有市场发生</w:t>
      </w:r>
    </w:p>
    <w:p>
      <w:pPr>
        <w:pStyle w:val="BodyText"/>
        <w:spacing w:line="319" w:lineRule="auto" w:before="2"/>
        <w:ind w:left="154" w:right="43"/>
        <w:jc w:val="left"/>
      </w:pPr>
      <w:r>
        <w:rPr>
          <w:spacing w:val="-2"/>
        </w:rPr>
        <w:t>变化，可能会对公司经营业绩产生较大影响。报告期内，公司及时把握智能可穿戴设备市场的新机会，同时借助开发平台的</w:t>
      </w:r>
      <w:r>
        <w:rPr>
          <w:spacing w:val="-66"/>
        </w:rPr>
        <w:t> </w:t>
      </w:r>
      <w:r>
        <w:rPr>
          <w:spacing w:val="-66"/>
        </w:rPr>
      </w:r>
      <w:r>
        <w:rPr/>
        <w:t>推广，努力开拓物联网、</w:t>
      </w:r>
      <w:r>
        <w:rPr>
          <w:rFonts w:ascii="Times New Roman" w:hAnsi="Times New Roman" w:cs="Times New Roman" w:eastAsia="Times New Roman" w:hint="default"/>
        </w:rPr>
        <w:t>WIFI</w:t>
      </w:r>
      <w:r>
        <w:rPr/>
        <w:t>音响、安防监控等其他应用领域，以降低单一市场对公司经营业绩的影响。</w:t>
      </w:r>
    </w:p>
    <w:p>
      <w:pPr>
        <w:pStyle w:val="BodyText"/>
        <w:spacing w:line="338" w:lineRule="auto" w:before="38"/>
        <w:ind w:left="514" w:right="43"/>
        <w:jc w:val="left"/>
      </w:pPr>
      <w:r>
        <w:rPr>
          <w:rFonts w:ascii="Times New Roman" w:hAnsi="Times New Roman" w:cs="Times New Roman" w:eastAsia="Times New Roman" w:hint="default"/>
        </w:rPr>
        <w:t>4</w:t>
      </w:r>
      <w:r>
        <w:rPr/>
        <w:t>、募投项目实施的风险 </w:t>
      </w:r>
      <w:r>
        <w:rPr>
          <w:spacing w:val="-2"/>
        </w:rPr>
        <w:t>公司募集资金投资项目是根据市场发展的需要，围绕公司的主营业务展开的，符合国家产业政策，并将进一步提高公司</w:t>
      </w:r>
    </w:p>
    <w:p>
      <w:pPr>
        <w:pStyle w:val="BodyText"/>
        <w:spacing w:line="319" w:lineRule="auto" w:before="2"/>
        <w:ind w:left="154" w:right="191"/>
        <w:jc w:val="both"/>
      </w:pPr>
      <w:r>
        <w:rPr>
          <w:spacing w:val="-2"/>
        </w:rPr>
        <w:t>的研发实力和产品竞争力，有助于公司进一步拓宽发展空间。但由于在芯片的研发和市场推广过程中，面临着技术替代、政</w:t>
      </w:r>
      <w:r>
        <w:rPr>
          <w:spacing w:val="-66"/>
        </w:rPr>
        <w:t> </w:t>
      </w:r>
      <w:r>
        <w:rPr>
          <w:spacing w:val="-66"/>
        </w:rPr>
      </w:r>
      <w:r>
        <w:rPr>
          <w:spacing w:val="-2"/>
        </w:rPr>
        <w:t>策环境变化、用户需求及市场供求关系改变、产业格局变化等不确定因素。如市场发生重大变化，或公司推出的新产品无法</w:t>
      </w:r>
      <w:r>
        <w:rPr>
          <w:spacing w:val="-66"/>
        </w:rPr>
        <w:t> </w:t>
      </w:r>
      <w:r>
        <w:rPr>
          <w:spacing w:val="-66"/>
        </w:rPr>
      </w:r>
      <w:r>
        <w:rPr>
          <w:spacing w:val="-2"/>
        </w:rPr>
        <w:t>满足市场需求，将可能影响募投项目的效益实现。公司将加强对募投项目的管理和监督，根据市场变化情况及时调整公司募</w:t>
      </w:r>
      <w:r>
        <w:rPr>
          <w:spacing w:val="-66"/>
        </w:rPr>
        <w:t> </w:t>
      </w:r>
      <w:r>
        <w:rPr>
          <w:spacing w:val="-66"/>
        </w:rPr>
      </w:r>
      <w:r>
        <w:rPr/>
        <w:t>投项目，从技术、市场和管理等各个环节保障募投项目的顺利实施。</w:t>
      </w:r>
    </w:p>
    <w:p>
      <w:pPr>
        <w:pStyle w:val="BodyText"/>
        <w:spacing w:line="338" w:lineRule="auto" w:before="57"/>
        <w:ind w:left="514" w:right="43"/>
        <w:jc w:val="left"/>
      </w:pPr>
      <w:r>
        <w:rPr>
          <w:rFonts w:ascii="Times New Roman" w:hAnsi="Times New Roman" w:cs="Times New Roman" w:eastAsia="Times New Roman" w:hint="default"/>
        </w:rPr>
        <w:t>5</w:t>
      </w:r>
      <w:r>
        <w:rPr/>
        <w:t>、新市场开发风险 </w:t>
      </w:r>
      <w:r>
        <w:rPr>
          <w:spacing w:val="-2"/>
        </w:rPr>
        <w:t>报告期内，可穿戴设备市场持续成为市场热点，公司在该市场进行了重点布局。由于目前智能穿戴市场尚未进入快速发</w:t>
      </w:r>
    </w:p>
    <w:p>
      <w:pPr>
        <w:pStyle w:val="BodyText"/>
        <w:spacing w:line="319" w:lineRule="auto" w:before="2"/>
        <w:ind w:left="154" w:right="43"/>
        <w:jc w:val="left"/>
      </w:pPr>
      <w:r>
        <w:rPr>
          <w:spacing w:val="-2"/>
        </w:rPr>
        <w:t>展阶段，市场未来的发展态势以及公司在该市场的销售情况，仍存在一定的不确定性。公司将积极进行市场拓展，广泛寻求</w:t>
      </w:r>
      <w:r>
        <w:rPr>
          <w:spacing w:val="-66"/>
        </w:rPr>
        <w:t> </w:t>
      </w:r>
      <w:r>
        <w:rPr>
          <w:spacing w:val="-66"/>
        </w:rPr>
      </w:r>
      <w:r>
        <w:rPr/>
        <w:t>新的发展机遇，努力发挥自身优势，充分把握市场机会。</w:t>
      </w:r>
    </w:p>
    <w:p>
      <w:pPr>
        <w:pStyle w:val="BodyText"/>
        <w:spacing w:line="338" w:lineRule="auto" w:before="56"/>
        <w:ind w:left="514" w:right="92"/>
        <w:jc w:val="left"/>
      </w:pPr>
      <w:r>
        <w:rPr>
          <w:rFonts w:ascii="Times New Roman" w:hAnsi="Times New Roman" w:cs="Times New Roman" w:eastAsia="Times New Roman" w:hint="default"/>
        </w:rPr>
        <w:t>6</w:t>
      </w:r>
      <w:r>
        <w:rPr/>
        <w:t>、毛利率下降的风险 近几年来，电子行业竞争不断加剧，导致电子产品生命周期缩短，产品价格不断下滑，芯片产品的价格也呈下降趋势，</w:t>
      </w:r>
    </w:p>
    <w:p>
      <w:pPr>
        <w:pStyle w:val="BodyText"/>
        <w:spacing w:line="319" w:lineRule="auto" w:before="2"/>
        <w:ind w:left="154" w:right="43"/>
        <w:jc w:val="left"/>
      </w:pPr>
      <w:r>
        <w:rPr>
          <w:spacing w:val="-2"/>
        </w:rPr>
        <w:t>产品销售价格的下降将可能导致产品毛利率下降。公司将加强成本费用的管理，加大市场推广力度，努力提高产品销量，以</w:t>
      </w:r>
      <w:r>
        <w:rPr>
          <w:spacing w:val="-66"/>
        </w:rPr>
        <w:t> </w:t>
      </w:r>
      <w:r>
        <w:rPr>
          <w:spacing w:val="-66"/>
        </w:rPr>
      </w:r>
      <w:r>
        <w:rPr/>
        <w:t>保持良好的盈利水平，同时不断开发新产品，开拓新的应用领域，提高公司产品整体的毛利率水平。</w:t>
      </w:r>
    </w:p>
    <w:p>
      <w:pPr>
        <w:pStyle w:val="BodyText"/>
        <w:spacing w:line="338" w:lineRule="auto" w:before="58"/>
        <w:ind w:left="513" w:right="43"/>
        <w:jc w:val="left"/>
      </w:pPr>
      <w:r>
        <w:rPr>
          <w:rFonts w:ascii="Times New Roman" w:hAnsi="Times New Roman" w:cs="Times New Roman" w:eastAsia="Times New Roman" w:hint="default"/>
        </w:rPr>
        <w:t>7</w:t>
      </w:r>
      <w:r>
        <w:rPr/>
        <w:t>、技术人员人力成本增加的风险 </w:t>
      </w:r>
      <w:r>
        <w:rPr>
          <w:spacing w:val="-2"/>
        </w:rPr>
        <w:t>公司研发投入中技术人员的薪酬和福利费支出所占比重较大。近几年</w:t>
      </w:r>
      <w:r>
        <w:rPr>
          <w:rFonts w:ascii="Times New Roman" w:hAnsi="Times New Roman" w:cs="Times New Roman" w:eastAsia="Times New Roman" w:hint="default"/>
          <w:spacing w:val="-2"/>
        </w:rPr>
        <w:t>IC</w:t>
      </w:r>
      <w:r>
        <w:rPr>
          <w:spacing w:val="-2"/>
        </w:rPr>
        <w:t>设计领域高技术人才的薪酬水平不断提高，公司</w:t>
      </w:r>
    </w:p>
    <w:p>
      <w:pPr>
        <w:pStyle w:val="BodyText"/>
        <w:spacing w:line="217" w:lineRule="exact"/>
        <w:ind w:right="43"/>
        <w:jc w:val="left"/>
      </w:pPr>
      <w:r>
        <w:rPr/>
        <w:t>技术人力成本可能会进一步增加，从而导致研发支出不断增长。公司将进一步完善薪酬福利制度，对员工进行多种方式的激</w:t>
      </w:r>
    </w:p>
    <w:p>
      <w:pPr>
        <w:pStyle w:val="BodyText"/>
        <w:spacing w:line="240" w:lineRule="auto" w:before="77"/>
        <w:ind w:right="43"/>
        <w:jc w:val="left"/>
      </w:pPr>
      <w:r>
        <w:rPr/>
        <w:t>励，在寻求发展的同时合理控制费用的支出。</w:t>
      </w:r>
    </w:p>
    <w:p>
      <w:pPr>
        <w:pStyle w:val="BodyText"/>
        <w:spacing w:line="338" w:lineRule="auto" w:before="116"/>
        <w:ind w:left="514" w:right="43"/>
        <w:jc w:val="left"/>
      </w:pPr>
      <w:r>
        <w:rPr>
          <w:rFonts w:ascii="Times New Roman" w:hAnsi="Times New Roman" w:cs="Times New Roman" w:eastAsia="Times New Roman" w:hint="default"/>
        </w:rPr>
        <w:t>8</w:t>
      </w:r>
      <w:r>
        <w:rPr/>
        <w:t>、子公司管理风险 </w:t>
      </w:r>
      <w:r>
        <w:rPr>
          <w:spacing w:val="-2"/>
        </w:rPr>
        <w:t>公司于</w:t>
      </w:r>
      <w:r>
        <w:rPr>
          <w:rFonts w:ascii="Times New Roman" w:hAnsi="Times New Roman" w:cs="Times New Roman" w:eastAsia="Times New Roman" w:hint="default"/>
          <w:spacing w:val="-2"/>
        </w:rPr>
        <w:t>2014</w:t>
      </w:r>
      <w:r>
        <w:rPr>
          <w:spacing w:val="-2"/>
        </w:rPr>
        <w:t>年第一季度完成了全资子公司合肥君正科技有限公司的设立工作，合肥君正已展开正常的经营。随着公司子</w:t>
      </w:r>
    </w:p>
    <w:p>
      <w:pPr>
        <w:pStyle w:val="BodyText"/>
        <w:spacing w:line="217" w:lineRule="exact"/>
        <w:ind w:right="43"/>
        <w:jc w:val="left"/>
      </w:pPr>
      <w:r>
        <w:rPr/>
        <w:t>公司数量的增加，如不能很好地管理子公司，将可能出现对子公司的管理漏洞及子公司经营上的不规范性。公司将提高自身</w:t>
      </w:r>
    </w:p>
    <w:p>
      <w:pPr>
        <w:pStyle w:val="BodyText"/>
        <w:spacing w:line="240" w:lineRule="auto" w:before="77"/>
        <w:ind w:left="154" w:right="43"/>
        <w:jc w:val="left"/>
      </w:pPr>
      <w:r>
        <w:rPr/>
        <w:t>的经营管理水平，学习先进的管理经验，加强对子公司的监督管理，形成严格健全的子公司管理规范。</w:t>
      </w:r>
    </w:p>
    <w:p>
      <w:pPr>
        <w:spacing w:after="0" w:line="24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9"/>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3"/>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43"/>
        <w:jc w:val="left"/>
        <w:rPr>
          <w:b w:val="0"/>
          <w:bCs w:val="0"/>
        </w:rPr>
      </w:pPr>
      <w:bookmarkStart w:name="1、报告期内主要业务回顾" w:id="20"/>
      <w:bookmarkEnd w:id="20"/>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0" w:firstLine="360"/>
        <w:jc w:val="left"/>
      </w:pPr>
      <w:r>
        <w:rPr>
          <w:rFonts w:ascii="Times New Roman" w:hAnsi="Times New Roman" w:cs="Times New Roman" w:eastAsia="Times New Roman" w:hint="default"/>
        </w:rPr>
        <w:t>2014</w:t>
      </w:r>
      <w:r>
        <w:rPr/>
        <w:t>年公司坚持</w:t>
      </w:r>
      <w:r>
        <w:rPr>
          <w:rFonts w:ascii="Times New Roman" w:hAnsi="Times New Roman" w:cs="Times New Roman" w:eastAsia="Times New Roman" w:hint="default"/>
        </w:rPr>
        <w:t>“</w:t>
      </w:r>
      <w:r>
        <w:rPr/>
        <w:t>创新技术、自主研发</w:t>
      </w:r>
      <w:r>
        <w:rPr>
          <w:rFonts w:ascii="Times New Roman" w:hAnsi="Times New Roman" w:cs="Times New Roman" w:eastAsia="Times New Roman" w:hint="default"/>
        </w:rPr>
        <w:t>”</w:t>
      </w:r>
      <w:r>
        <w:rPr/>
        <w:t>的技术战略和</w:t>
      </w:r>
      <w:r>
        <w:rPr>
          <w:rFonts w:ascii="Times New Roman" w:hAnsi="Times New Roman" w:cs="Times New Roman" w:eastAsia="Times New Roman" w:hint="default"/>
        </w:rPr>
        <w:t>“</w:t>
      </w:r>
      <w:r>
        <w:rPr/>
        <w:t>开放平台、纵横扩展</w:t>
      </w:r>
      <w:r>
        <w:rPr>
          <w:rFonts w:ascii="Times New Roman" w:hAnsi="Times New Roman" w:cs="Times New Roman" w:eastAsia="Times New Roman" w:hint="default"/>
        </w:rPr>
        <w:t>”</w:t>
      </w:r>
      <w:r>
        <w:rPr/>
        <w:t>的市场战略，不断完善研发管理机制，完善 员工激励机制，提高研发团队的技术研发和创新能力，促进研发成果的快速转换。由于可穿戴设备市场尚未出现快速增长， </w:t>
      </w:r>
      <w:r>
        <w:rPr>
          <w:spacing w:val="-2"/>
        </w:rPr>
        <w:t>公司产品在智能可穿戴设备市场尚未实现大规模销售，同时随着公司产品逐渐淡出学生平板市场，公司在教育电子领域的销</w:t>
      </w:r>
      <w:r>
        <w:rPr>
          <w:spacing w:val="-64"/>
        </w:rPr>
        <w:t> </w:t>
      </w:r>
      <w:r>
        <w:rPr>
          <w:spacing w:val="-64"/>
        </w:rPr>
      </w:r>
      <w:r>
        <w:rPr/>
        <w:t>售收入同比出现下滑，从而导致报告期内公司总体营业收入同比出现下降。报告期内，公司实现营业总收入</w:t>
      </w:r>
      <w:r>
        <w:rPr>
          <w:rFonts w:ascii="Times New Roman" w:hAnsi="Times New Roman" w:cs="Times New Roman" w:eastAsia="Times New Roman" w:hint="default"/>
        </w:rPr>
        <w:t>5,903.17</w:t>
      </w:r>
      <w:r>
        <w:rPr/>
        <w:t>万元， 同比下降</w:t>
      </w:r>
      <w:r>
        <w:rPr>
          <w:rFonts w:ascii="Times New Roman" w:hAnsi="Times New Roman" w:cs="Times New Roman" w:eastAsia="Times New Roman" w:hint="default"/>
        </w:rPr>
        <w:t>37.75%</w:t>
      </w:r>
      <w:r>
        <w:rPr/>
        <w:t>；实现净利润</w:t>
      </w:r>
      <w:r>
        <w:rPr>
          <w:rFonts w:ascii="Times New Roman" w:hAnsi="Times New Roman" w:cs="Times New Roman" w:eastAsia="Times New Roman" w:hint="default"/>
        </w:rPr>
        <w:t>-999.36</w:t>
      </w:r>
      <w:r>
        <w:rPr/>
        <w:t>万元，同比下降</w:t>
      </w:r>
      <w:r>
        <w:rPr>
          <w:rFonts w:ascii="Times New Roman" w:hAnsi="Times New Roman" w:cs="Times New Roman" w:eastAsia="Times New Roman" w:hint="default"/>
        </w:rPr>
        <w:t>139.53%</w:t>
      </w:r>
      <w:r>
        <w:rPr/>
        <w:t>，其中归属于母公司股东的净利润</w:t>
      </w:r>
      <w:r>
        <w:rPr>
          <w:rFonts w:ascii="Times New Roman" w:hAnsi="Times New Roman" w:cs="Times New Roman" w:eastAsia="Times New Roman" w:hint="default"/>
        </w:rPr>
        <w:t>-1,002.97</w:t>
      </w:r>
      <w:r>
        <w:rPr/>
        <w:t>万元，同比下降 </w:t>
      </w:r>
      <w:r>
        <w:rPr>
          <w:rFonts w:ascii="Times New Roman" w:hAnsi="Times New Roman" w:cs="Times New Roman" w:eastAsia="Times New Roman" w:hint="default"/>
        </w:rPr>
        <w:t>139.22%</w:t>
      </w:r>
      <w:r>
        <w:rPr/>
        <w:t>。</w:t>
      </w:r>
    </w:p>
    <w:p>
      <w:pPr>
        <w:pStyle w:val="BodyText"/>
        <w:spacing w:line="319" w:lineRule="auto" w:before="45"/>
        <w:ind w:right="43" w:firstLine="360"/>
        <w:jc w:val="left"/>
      </w:pPr>
      <w:r>
        <w:rPr>
          <w:spacing w:val="-2"/>
        </w:rPr>
        <w:t>针对公司目前面临的市场情况，公司在运营管理上不断进行完善和改进。报告期内，公司对面向不同市场领域的准事业</w:t>
      </w:r>
      <w:r>
        <w:rPr/>
        <w:t> </w:t>
      </w:r>
      <w:r>
        <w:rPr>
          <w:spacing w:val="-4"/>
        </w:rPr>
        <w:t>部进行了细化调整，有效增强了公司市场拓展的力度，使公司的市场反应能力显著提高，并有助于公司更好地跟随市场变化，</w:t>
      </w:r>
      <w:r>
        <w:rPr>
          <w:spacing w:val="-44"/>
        </w:rPr>
        <w:t> </w:t>
      </w:r>
      <w:r>
        <w:rPr>
          <w:spacing w:val="-44"/>
        </w:rPr>
      </w:r>
      <w:r>
        <w:rPr/>
        <w:t>捕捉市场热点领域。</w:t>
      </w:r>
    </w:p>
    <w:p>
      <w:pPr>
        <w:pStyle w:val="BodyText"/>
        <w:spacing w:line="357" w:lineRule="auto" w:before="56"/>
        <w:ind w:left="513" w:right="43"/>
        <w:jc w:val="left"/>
      </w:pPr>
      <w:r>
        <w:rPr/>
        <w:t>具体来说，报告期内公司主要的经营情况如下： </w:t>
      </w:r>
      <w:r>
        <w:rPr>
          <w:spacing w:val="-2"/>
        </w:rPr>
        <w:t>芯片研发方面，公司规划了面向智能可穿戴设备领域的系列芯片解决方案，并于报告期内完成了两款芯片的研发、投片</w:t>
      </w:r>
    </w:p>
    <w:p>
      <w:pPr>
        <w:pStyle w:val="BodyText"/>
        <w:spacing w:line="224" w:lineRule="exact"/>
        <w:ind w:right="43"/>
        <w:jc w:val="left"/>
      </w:pPr>
      <w:r>
        <w:rPr>
          <w:spacing w:val="-4"/>
        </w:rPr>
        <w:t>和封装测试工作。该系列芯片推出后，将更好地贴合可穿戴设备市场的需求，为公司成功拓展可穿戴设备市场创造基础条件。</w:t>
      </w:r>
    </w:p>
    <w:p>
      <w:pPr>
        <w:pStyle w:val="BodyText"/>
        <w:spacing w:line="302" w:lineRule="auto" w:before="76"/>
        <w:ind w:right="174"/>
        <w:jc w:val="left"/>
      </w:pPr>
      <w:r>
        <w:rPr/>
        <w:t>同时，报告期内公司继续推进第二代</w:t>
      </w:r>
      <w:r>
        <w:rPr>
          <w:rFonts w:ascii="Times New Roman" w:hAnsi="Times New Roman" w:cs="Times New Roman" w:eastAsia="Times New Roman" w:hint="default"/>
        </w:rPr>
        <w:t>CPU</w:t>
      </w:r>
      <w:r>
        <w:rPr/>
        <w:t>核</w:t>
      </w:r>
      <w:r>
        <w:rPr>
          <w:rFonts w:ascii="Times New Roman" w:hAnsi="Times New Roman" w:cs="Times New Roman" w:eastAsia="Times New Roman" w:hint="default"/>
        </w:rPr>
        <w:t>Xburst</w:t>
      </w:r>
      <w:r>
        <w:rPr>
          <w:rFonts w:ascii="Times New Roman" w:hAnsi="Times New Roman" w:cs="Times New Roman" w:eastAsia="Times New Roman" w:hint="default"/>
          <w:spacing w:val="-29"/>
        </w:rPr>
        <w:t> </w:t>
      </w:r>
      <w:r>
        <w:rPr>
          <w:rFonts w:ascii="Times New Roman" w:hAnsi="Times New Roman" w:cs="Times New Roman" w:eastAsia="Times New Roman" w:hint="default"/>
        </w:rPr>
        <w:t>2</w:t>
      </w:r>
      <w:r>
        <w:rPr/>
        <w:t>和</w:t>
      </w:r>
      <w:r>
        <w:rPr>
          <w:rFonts w:ascii="Times New Roman" w:hAnsi="Times New Roman" w:cs="Times New Roman" w:eastAsia="Times New Roman" w:hint="default"/>
        </w:rPr>
        <w:t>VPU</w:t>
      </w:r>
      <w:r>
        <w:rPr/>
        <w:t>技术等核心技术的研发，其中</w:t>
      </w:r>
      <w:r>
        <w:rPr>
          <w:rFonts w:ascii="Times New Roman" w:hAnsi="Times New Roman" w:cs="Times New Roman" w:eastAsia="Times New Roman" w:hint="default"/>
        </w:rPr>
        <w:t>Xburst</w:t>
      </w:r>
      <w:r>
        <w:rPr>
          <w:rFonts w:ascii="Times New Roman" w:hAnsi="Times New Roman" w:cs="Times New Roman" w:eastAsia="Times New Roman" w:hint="default"/>
          <w:spacing w:val="-29"/>
        </w:rPr>
        <w:t>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rFonts w:ascii="Times New Roman" w:hAnsi="Times New Roman" w:cs="Times New Roman" w:eastAsia="Times New Roman" w:hint="default"/>
        </w:rPr>
        <w:t>CPU</w:t>
      </w:r>
      <w:r>
        <w:rPr/>
        <w:t>继续进行</w:t>
      </w:r>
      <w:r>
        <w:rPr>
          <w:rFonts w:ascii="Times New Roman" w:hAnsi="Times New Roman" w:cs="Times New Roman" w:eastAsia="Times New Roman" w:hint="default"/>
        </w:rPr>
        <w:t>CPU</w:t>
      </w:r>
      <w:r>
        <w:rPr/>
        <w:t>核各模块 的设计。公司在核心技术方面的研发工作将会不断提高公司的核心竞争力。</w:t>
      </w:r>
    </w:p>
    <w:p>
      <w:pPr>
        <w:pStyle w:val="BodyText"/>
        <w:spacing w:line="319" w:lineRule="auto" w:before="68"/>
        <w:ind w:right="191" w:firstLine="360"/>
        <w:jc w:val="both"/>
      </w:pPr>
      <w:r>
        <w:rPr>
          <w:spacing w:val="-2"/>
        </w:rPr>
        <w:t>方案研发方面，公司完成了第二代智能手表方案的研发，启动了基于新芯片产品的智能手表方案的研发工作，该方案将</w:t>
      </w:r>
      <w:r>
        <w:rPr/>
        <w:t> </w:t>
      </w:r>
      <w:r>
        <w:rPr>
          <w:spacing w:val="-2"/>
        </w:rPr>
        <w:t>更好地降低产品功耗，提高待机时间及产品性能，提升公司在可穿戴设备市场的整体竞争优势。同时，公司展开了智能眼镜</w:t>
      </w:r>
      <w:r>
        <w:rPr>
          <w:spacing w:val="-66"/>
        </w:rPr>
        <w:t> </w:t>
      </w:r>
      <w:r>
        <w:rPr>
          <w:spacing w:val="-66"/>
        </w:rPr>
      </w:r>
      <w:r>
        <w:rPr>
          <w:spacing w:val="-2"/>
        </w:rPr>
        <w:t>方案的研发，智能眼镜作为一种新型的可穿戴设备产品，将可能为人们带来全新的通信感受。公司在可穿戴设备市场的持续</w:t>
      </w:r>
      <w:r>
        <w:rPr>
          <w:spacing w:val="-66"/>
        </w:rPr>
        <w:t> </w:t>
      </w:r>
      <w:r>
        <w:rPr>
          <w:spacing w:val="-66"/>
        </w:rPr>
      </w:r>
      <w:r>
        <w:rPr/>
        <w:t>研发和拓展，有望为公司带来新的发展机遇。</w:t>
      </w:r>
    </w:p>
    <w:p>
      <w:pPr>
        <w:pStyle w:val="BodyText"/>
        <w:spacing w:line="309" w:lineRule="auto" w:before="55"/>
        <w:ind w:right="170" w:firstLine="360"/>
        <w:jc w:val="both"/>
      </w:pPr>
      <w:r>
        <w:rPr>
          <w:spacing w:val="-2"/>
        </w:rPr>
        <w:t>市场拓展方面，公司持续加强可穿戴设备市场的推广力度，同时，为避免对单一市场的过分依赖以及可穿戴设备市场的</w:t>
      </w:r>
      <w:r>
        <w:rPr/>
        <w:t> 不确定因素，公司积极寻找和拓展更多的市场应用领域，如</w:t>
      </w:r>
      <w:r>
        <w:rPr>
          <w:rFonts w:ascii="Times New Roman" w:hAnsi="Times New Roman" w:cs="Times New Roman" w:eastAsia="Times New Roman" w:hint="default"/>
        </w:rPr>
        <w:t>WIFI</w:t>
      </w:r>
      <w:r>
        <w:rPr/>
        <w:t>音响、物联网、安防监控等。为更好地进行市场拓展，使</w:t>
      </w:r>
      <w:r>
        <w:rPr>
          <w:spacing w:val="-30"/>
        </w:rPr>
        <w:t> </w:t>
      </w:r>
      <w:r>
        <w:rPr>
          <w:spacing w:val="-30"/>
        </w:rPr>
      </w:r>
      <w:r>
        <w:rPr>
          <w:spacing w:val="-2"/>
        </w:rPr>
        <w:t>开发者更容易地基于公司的平台进行产品开发，公司规划并推出了</w:t>
      </w:r>
      <w:r>
        <w:rPr>
          <w:rFonts w:ascii="Times New Roman" w:hAnsi="Times New Roman" w:cs="Times New Roman" w:eastAsia="Times New Roman" w:hint="default"/>
          <w:spacing w:val="-2"/>
        </w:rPr>
        <w:t>Newton</w:t>
      </w:r>
      <w:r>
        <w:rPr>
          <w:spacing w:val="-2"/>
        </w:rPr>
        <w:t>平台和</w:t>
      </w:r>
      <w:r>
        <w:rPr>
          <w:rFonts w:ascii="Times New Roman" w:hAnsi="Times New Roman" w:cs="Times New Roman" w:eastAsia="Times New Roman" w:hint="default"/>
          <w:spacing w:val="-2"/>
        </w:rPr>
        <w:t>Halley</w:t>
      </w:r>
      <w:r>
        <w:rPr>
          <w:spacing w:val="-2"/>
        </w:rPr>
        <w:t>平台。</w:t>
      </w:r>
      <w:r>
        <w:rPr>
          <w:rFonts w:ascii="Times New Roman" w:hAnsi="Times New Roman" w:cs="Times New Roman" w:eastAsia="Times New Roman" w:hint="default"/>
          <w:spacing w:val="-2"/>
        </w:rPr>
        <w:t>Newton</w:t>
      </w:r>
      <w:r>
        <w:rPr>
          <w:spacing w:val="-2"/>
        </w:rPr>
        <w:t>平台是超低功耗超小尺</w:t>
      </w:r>
      <w:r>
        <w:rPr>
          <w:spacing w:val="-48"/>
        </w:rPr>
        <w:t> </w:t>
      </w:r>
      <w:r>
        <w:rPr>
          <w:spacing w:val="-2"/>
        </w:rPr>
        <w:t>寸智能互联设备，集计算、互联、传感器于一体，可应用于物联网、智能可穿戴设备、健康医疗、智能家电、生物识别、工</w:t>
      </w:r>
      <w:r>
        <w:rPr>
          <w:spacing w:val="-68"/>
        </w:rPr>
        <w:t> </w:t>
      </w:r>
      <w:r>
        <w:rPr>
          <w:spacing w:val="-68"/>
        </w:rPr>
      </w:r>
      <w:r>
        <w:rPr/>
        <w:t>业控制等各个行业和各种产品中。</w:t>
      </w:r>
      <w:r>
        <w:rPr>
          <w:rFonts w:ascii="Times New Roman" w:hAnsi="Times New Roman" w:cs="Times New Roman" w:eastAsia="Times New Roman" w:hint="default"/>
        </w:rPr>
        <w:t>Halley</w:t>
      </w:r>
      <w:r>
        <w:rPr/>
        <w:t>平台主要是针对智能家居等市场，考虑市场的低成本、快速上市的需求而研发的， </w:t>
      </w:r>
      <w:r>
        <w:rPr>
          <w:spacing w:val="-2"/>
        </w:rPr>
        <w:t>其高度模块化设计也将极大的减少开发者前期的开发投入，加快产品的研发和上市时间。公司有望借助开发平台的推广进入</w:t>
      </w:r>
      <w:r>
        <w:rPr>
          <w:spacing w:val="-64"/>
        </w:rPr>
        <w:t> </w:t>
      </w:r>
      <w:r>
        <w:rPr>
          <w:spacing w:val="-64"/>
        </w:rPr>
      </w:r>
      <w:r>
        <w:rPr/>
        <w:t>更多的应用领域。</w:t>
      </w:r>
    </w:p>
    <w:p>
      <w:pPr>
        <w:pStyle w:val="BodyText"/>
        <w:spacing w:line="319" w:lineRule="auto" w:before="64"/>
        <w:ind w:right="190" w:firstLine="360"/>
        <w:jc w:val="both"/>
      </w:pPr>
      <w:r>
        <w:rPr>
          <w:spacing w:val="-2"/>
        </w:rPr>
        <w:t>技术研发管理方面，公司进一步完善研发工作的流程管理，加强研发部门的培训和学习，优化公司的绩效考核机制，加</w:t>
      </w:r>
      <w:r>
        <w:rPr/>
        <w:t> </w:t>
      </w:r>
      <w:r>
        <w:rPr>
          <w:spacing w:val="-2"/>
        </w:rPr>
        <w:t>强人才的培养和选拔，提高公司的研发管理水平和技术开发能力。公司在技术积累和知识产权方面的工作也取得了较好的进</w:t>
      </w:r>
      <w:r>
        <w:rPr>
          <w:spacing w:val="-63"/>
        </w:rPr>
        <w:t> </w:t>
      </w:r>
      <w:r>
        <w:rPr>
          <w:spacing w:val="-63"/>
        </w:rPr>
      </w:r>
      <w:r>
        <w:rPr>
          <w:spacing w:val="-2"/>
        </w:rPr>
        <w:t>展，公司鼓励员工技术创新，鼓励员工申请技术专利，报告期内，公司积极组织专利培训会和专利技术挖掘会，公司及全资</w:t>
      </w:r>
      <w:r>
        <w:rPr>
          <w:spacing w:val="-66"/>
        </w:rPr>
        <w:t> </w:t>
      </w:r>
      <w:r>
        <w:rPr>
          <w:spacing w:val="-66"/>
        </w:rPr>
      </w:r>
      <w:r>
        <w:rPr/>
        <w:t>子公司取得实用新型专利</w:t>
      </w:r>
      <w:r>
        <w:rPr>
          <w:rFonts w:ascii="Times New Roman" w:hAnsi="Times New Roman" w:cs="Times New Roman" w:eastAsia="Times New Roman" w:hint="default"/>
        </w:rPr>
        <w:t>4</w:t>
      </w:r>
      <w:r>
        <w:rPr/>
        <w:t>项，新增正在申报中的专利</w:t>
      </w:r>
      <w:r>
        <w:rPr>
          <w:rFonts w:ascii="Times New Roman" w:hAnsi="Times New Roman" w:cs="Times New Roman" w:eastAsia="Times New Roman" w:hint="default"/>
        </w:rPr>
        <w:t>36</w:t>
      </w:r>
      <w:r>
        <w:rPr/>
        <w:t>项。</w:t>
      </w:r>
    </w:p>
    <w:p>
      <w:pPr>
        <w:pStyle w:val="BodyText"/>
        <w:spacing w:line="319" w:lineRule="auto" w:before="35"/>
        <w:ind w:left="154" w:right="110" w:firstLine="360"/>
        <w:jc w:val="both"/>
      </w:pPr>
      <w:r>
        <w:rPr>
          <w:spacing w:val="-2"/>
        </w:rPr>
        <w:t>在经营管理方面，公司进一步调整和优化经营管理体制，不断完善法人治理结构，建立健全公司内部控制制度，提高公</w:t>
      </w:r>
      <w:r>
        <w:rPr/>
        <w:t> 司的整体管理水平；同时，公司进一步加强人才队伍建设，注重人才的专业化培训，为公司团队的整体素质提高建立保障。</w:t>
      </w:r>
    </w:p>
    <w:p>
      <w:pPr>
        <w:pStyle w:val="BodyText"/>
        <w:spacing w:line="300" w:lineRule="auto" w:before="56"/>
        <w:ind w:right="190" w:firstLine="360"/>
        <w:jc w:val="both"/>
      </w:pPr>
      <w:r>
        <w:rPr/>
        <w:t>为提高自有资金的利用效率，更好地挖掘产业投资机会，报告期内，公司以自有资金出资人民币</w:t>
      </w:r>
      <w:r>
        <w:rPr>
          <w:rFonts w:ascii="Times New Roman" w:hAnsi="Times New Roman" w:cs="Times New Roman" w:eastAsia="Times New Roman" w:hint="default"/>
        </w:rPr>
        <w:t>2,000</w:t>
      </w:r>
      <w:r>
        <w:rPr/>
        <w:t>万元参与投资北 </w:t>
      </w:r>
      <w:r>
        <w:rPr>
          <w:spacing w:val="-2"/>
        </w:rPr>
        <w:t>京柘益投资中心（有限合伙）。根据北京柘益投资中心（有限合伙）的资金安排，公司于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月缴纳了一期投资款人民</w:t>
      </w:r>
      <w:r>
        <w:rPr>
          <w:spacing w:val="-63"/>
        </w:rPr>
        <w:t> </w:t>
      </w:r>
      <w:r>
        <w:rPr/>
        <w:t>币</w:t>
      </w:r>
      <w:r>
        <w:rPr>
          <w:rFonts w:ascii="Times New Roman" w:hAnsi="Times New Roman" w:cs="Times New Roman" w:eastAsia="Times New Roman" w:hint="default"/>
        </w:rPr>
        <w:t>1,000</w:t>
      </w:r>
      <w:r>
        <w:rPr/>
        <w:t>万元。</w:t>
      </w:r>
    </w:p>
    <w:p>
      <w:pPr>
        <w:pStyle w:val="BodyText"/>
        <w:spacing w:line="240" w:lineRule="auto" w:before="53"/>
        <w:ind w:left="513" w:right="43"/>
        <w:jc w:val="left"/>
      </w:pPr>
      <w:r>
        <w:rPr/>
        <w:t>报告期内，公司完成了合肥君正的工商设立工作，合肥君正已经全面展开正常的研发和经营活动。</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left="153" w:right="43"/>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43"/>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43"/>
        <w:jc w:val="left"/>
      </w:pPr>
      <w:r>
        <w:rPr>
          <w:rFonts w:ascii="Times New Roman" w:hAnsi="Times New Roman" w:cs="Times New Roman" w:eastAsia="Times New Roman" w:hint="default"/>
        </w:rPr>
        <w:t>1</w:t>
      </w:r>
      <w:r>
        <w:rPr/>
        <w:t>）概述</w:t>
      </w:r>
    </w:p>
    <w:p>
      <w:pPr>
        <w:pStyle w:val="BodyText"/>
        <w:spacing w:line="319" w:lineRule="auto" w:before="101"/>
        <w:ind w:right="191" w:firstLine="360"/>
        <w:jc w:val="left"/>
      </w:pPr>
      <w:r>
        <w:rPr>
          <w:spacing w:val="-2"/>
        </w:rPr>
        <w:t>报告期内，由于可穿戴设备市场尚处于前期发展阶段，尚未出现快速增长，公司产品在智能可穿戴设备市场尚未实现大</w:t>
      </w:r>
      <w:r>
        <w:rPr/>
        <w:t> </w:t>
      </w:r>
      <w:r>
        <w:rPr>
          <w:spacing w:val="-2"/>
        </w:rPr>
        <w:t>规模销售，同时，随着公司产品逐渐淡出学生平板市场，公司在教育电子领域的销售收入同比出现下滑，导致报告期内公司</w:t>
      </w:r>
      <w:r>
        <w:rPr>
          <w:spacing w:val="-66"/>
        </w:rPr>
        <w:t> </w:t>
      </w:r>
      <w:r>
        <w:rPr>
          <w:spacing w:val="-66"/>
        </w:rPr>
      </w:r>
      <w:r>
        <w:rPr>
          <w:spacing w:val="-1"/>
        </w:rPr>
        <w:t>总体营业收入同比下降。</w:t>
      </w:r>
      <w:r>
        <w:rPr>
          <w:rFonts w:ascii="Times New Roman" w:hAnsi="Times New Roman" w:cs="Times New Roman" w:eastAsia="Times New Roman" w:hint="default"/>
          <w:spacing w:val="-1"/>
        </w:rPr>
        <w:t>2014</w:t>
      </w:r>
      <w:r>
        <w:rPr>
          <w:spacing w:val="-1"/>
        </w:rPr>
        <w:t>年度，公司实现营业总收入</w:t>
      </w:r>
      <w:r>
        <w:rPr>
          <w:rFonts w:ascii="Times New Roman" w:hAnsi="Times New Roman" w:cs="Times New Roman" w:eastAsia="Times New Roman" w:hint="default"/>
          <w:spacing w:val="-1"/>
        </w:rPr>
        <w:t>5,903.17</w:t>
      </w:r>
      <w:r>
        <w:rPr>
          <w:spacing w:val="-1"/>
        </w:rPr>
        <w:t>万元，同比下降</w:t>
      </w:r>
      <w:r>
        <w:rPr>
          <w:rFonts w:ascii="Times New Roman" w:hAnsi="Times New Roman" w:cs="Times New Roman" w:eastAsia="Times New Roman" w:hint="default"/>
          <w:spacing w:val="-1"/>
        </w:rPr>
        <w:t>37.75%</w:t>
      </w:r>
      <w:r>
        <w:rPr>
          <w:spacing w:val="-1"/>
        </w:rPr>
        <w:t>；实现净利润</w:t>
      </w:r>
      <w:r>
        <w:rPr>
          <w:rFonts w:ascii="Times New Roman" w:hAnsi="Times New Roman" w:cs="Times New Roman" w:eastAsia="Times New Roman" w:hint="default"/>
          <w:spacing w:val="-1"/>
        </w:rPr>
        <w:t>-999.36</w:t>
      </w:r>
      <w:r>
        <w:rPr>
          <w:spacing w:val="-1"/>
        </w:rPr>
        <w:t>万元，同比下</w:t>
      </w:r>
      <w:r>
        <w:rPr>
          <w:spacing w:val="-49"/>
        </w:rPr>
        <w:t> </w:t>
      </w:r>
      <w:r>
        <w:rPr>
          <w:spacing w:val="-49"/>
        </w:rPr>
      </w:r>
      <w:r>
        <w:rPr/>
        <w:t>降</w:t>
      </w:r>
      <w:r>
        <w:rPr>
          <w:rFonts w:ascii="Times New Roman" w:hAnsi="Times New Roman" w:cs="Times New Roman" w:eastAsia="Times New Roman" w:hint="default"/>
        </w:rPr>
        <w:t>139.53%</w:t>
      </w:r>
      <w:r>
        <w:rPr/>
        <w:t>，其中归属于母公司股东的净利润</w:t>
      </w:r>
      <w:r>
        <w:rPr>
          <w:rFonts w:ascii="Times New Roman" w:hAnsi="Times New Roman" w:cs="Times New Roman" w:eastAsia="Times New Roman" w:hint="default"/>
        </w:rPr>
        <w:t>-1,002.97</w:t>
      </w:r>
      <w:r>
        <w:rPr/>
        <w:t>万元，同比下降</w:t>
      </w:r>
      <w:r>
        <w:rPr>
          <w:rFonts w:ascii="Times New Roman" w:hAnsi="Times New Roman" w:cs="Times New Roman" w:eastAsia="Times New Roman" w:hint="default"/>
        </w:rPr>
        <w:t>139.22%</w:t>
      </w:r>
      <w:r>
        <w:rPr/>
        <w:t>。 </w:t>
      </w: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36"/>
        <w:ind w:left="154"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99" w:firstLine="360"/>
        <w:jc w:val="left"/>
      </w:pPr>
      <w:r>
        <w:rPr/>
        <w:t>报告期内，公司实现营业利润为</w:t>
      </w:r>
      <w:r>
        <w:rPr>
          <w:rFonts w:ascii="Times New Roman" w:hAnsi="Times New Roman" w:cs="Times New Roman" w:eastAsia="Times New Roman" w:hint="default"/>
        </w:rPr>
        <w:t>-1,848.72</w:t>
      </w:r>
      <w:r>
        <w:rPr/>
        <w:t>万元，同比下降</w:t>
      </w:r>
      <w:r>
        <w:rPr>
          <w:rFonts w:ascii="Times New Roman" w:hAnsi="Times New Roman" w:cs="Times New Roman" w:eastAsia="Times New Roman" w:hint="default"/>
        </w:rPr>
        <w:t>260.30%</w:t>
      </w:r>
      <w:r>
        <w:rPr/>
        <w:t>，主要原因是收入大幅下滑，同时非经常性损益也较 </w:t>
      </w:r>
      <w:r>
        <w:rPr>
          <w:spacing w:val="-2"/>
        </w:rPr>
        <w:t>去年同期有所减少所致。报告期内，实现净利润</w:t>
      </w:r>
      <w:r>
        <w:rPr>
          <w:rFonts w:ascii="Times New Roman" w:hAnsi="Times New Roman" w:cs="Times New Roman" w:eastAsia="Times New Roman" w:hint="default"/>
          <w:spacing w:val="-2"/>
        </w:rPr>
        <w:t>-999.36</w:t>
      </w:r>
      <w:r>
        <w:rPr>
          <w:spacing w:val="-2"/>
        </w:rPr>
        <w:t>万元，同比下降</w:t>
      </w:r>
      <w:r>
        <w:rPr>
          <w:rFonts w:ascii="Times New Roman" w:hAnsi="Times New Roman" w:cs="Times New Roman" w:eastAsia="Times New Roman" w:hint="default"/>
          <w:spacing w:val="-2"/>
        </w:rPr>
        <w:t>139.53%</w:t>
      </w:r>
      <w:r>
        <w:rPr>
          <w:spacing w:val="-2"/>
        </w:rPr>
        <w:t>，其中归属于母公司的净利润</w:t>
      </w:r>
      <w:r>
        <w:rPr>
          <w:rFonts w:ascii="Times New Roman" w:hAnsi="Times New Roman" w:cs="Times New Roman" w:eastAsia="Times New Roman" w:hint="default"/>
          <w:spacing w:val="-2"/>
        </w:rPr>
        <w:t>-1,002.97</w:t>
      </w:r>
      <w:r>
        <w:rPr>
          <w:spacing w:val="-2"/>
        </w:rPr>
        <w:t>万元，</w:t>
      </w:r>
      <w:r>
        <w:rPr>
          <w:spacing w:val="-43"/>
        </w:rPr>
        <w:t> </w:t>
      </w:r>
      <w:r>
        <w:rPr>
          <w:spacing w:val="-43"/>
        </w:rPr>
      </w:r>
      <w:r>
        <w:rPr/>
        <w:t>同比下降</w:t>
      </w:r>
      <w:r>
        <w:rPr>
          <w:rFonts w:ascii="Times New Roman" w:hAnsi="Times New Roman" w:cs="Times New Roman" w:eastAsia="Times New Roman" w:hint="default"/>
        </w:rPr>
        <w:t>139.22%</w:t>
      </w:r>
      <w:r>
        <w:rPr/>
        <w:t>。</w:t>
      </w:r>
    </w:p>
    <w:p>
      <w:pPr>
        <w:pStyle w:val="BodyText"/>
        <w:spacing w:line="240" w:lineRule="auto" w:before="53"/>
        <w:ind w:left="154" w:right="43"/>
        <w:jc w:val="left"/>
      </w:pPr>
      <w:r>
        <w:rPr>
          <w:rFonts w:ascii="Times New Roman" w:hAnsi="Times New Roman" w:cs="Times New Roman" w:eastAsia="Times New Roman" w:hint="default"/>
        </w:rPr>
        <w:t>3</w:t>
      </w:r>
      <w:r>
        <w:rPr/>
        <w:t>）收入</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59,031,657.27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94,832,084.99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-37.75%</w:t>
            </w:r>
          </w:p>
        </w:tc>
      </w:tr>
    </w:tbl>
    <w:p>
      <w:pPr>
        <w:pStyle w:val="BodyText"/>
        <w:spacing w:line="357" w:lineRule="auto" w:before="51"/>
        <w:ind w:left="513" w:right="43" w:hanging="360"/>
        <w:jc w:val="left"/>
      </w:pPr>
      <w:r>
        <w:rPr/>
        <w:t>驱动收入变化的因素 </w:t>
      </w:r>
      <w:r>
        <w:rPr>
          <w:spacing w:val="-2"/>
        </w:rPr>
        <w:t>由于公司产品在智能可穿戴设备市场尚未实现大规模销售，且随着公司产品逐渐淡出学生平板市场，公司在教育电子领</w:t>
      </w:r>
    </w:p>
    <w:p>
      <w:pPr>
        <w:pStyle w:val="BodyText"/>
        <w:spacing w:line="357" w:lineRule="auto"/>
        <w:ind w:right="4053"/>
        <w:jc w:val="left"/>
      </w:pPr>
      <w:r>
        <w:rPr/>
        <w:t>域的销售收入同比出现下滑，导致报告期内公司总体营业收入同比下降。 公司实物销售收入是否大于劳务收入</w:t>
      </w:r>
    </w:p>
    <w:p>
      <w:pPr>
        <w:pStyle w:val="BodyText"/>
        <w:spacing w:line="240" w:lineRule="auto" w:before="29"/>
        <w:ind w:right="4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3,269,688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5,273,697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3,240,988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5,064,105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1,329,465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r>
    </w:tbl>
    <w:p>
      <w:pPr>
        <w:pStyle w:val="BodyText"/>
        <w:spacing w:line="240" w:lineRule="auto" w:before="51"/>
        <w:ind w:left="154" w:right="43"/>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513" w:right="4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由于公司产品在智能可穿戴设备市场尚未实现大规模销售，且随着公司产品逐渐淡出学生平板市场，公司在教育电子领</w:t>
      </w:r>
    </w:p>
    <w:p>
      <w:pPr>
        <w:pStyle w:val="BodyText"/>
        <w:spacing w:line="360" w:lineRule="auto" w:before="4"/>
        <w:ind w:right="2613"/>
        <w:jc w:val="left"/>
      </w:pPr>
      <w:r>
        <w:rPr/>
        <w:t>域的销售收入同比出现下滑，导致报告期内公司在芯片类产品的销售量和生产量同比下降。 公司重大的在手订单情况</w:t>
      </w:r>
    </w:p>
    <w:p>
      <w:pPr>
        <w:pStyle w:val="BodyText"/>
        <w:spacing w:line="338" w:lineRule="auto" w:before="26"/>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数量分散的订单情况</w:t>
      </w:r>
    </w:p>
    <w:p>
      <w:pPr>
        <w:pStyle w:val="BodyText"/>
        <w:spacing w:line="338" w:lineRule="auto" w:before="43"/>
        <w:ind w:right="5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2"/>
        <w:ind w:left="154"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right="43"/>
        <w:jc w:val="left"/>
      </w:pPr>
      <w:r>
        <w:rPr>
          <w:rFonts w:ascii="Times New Roman" w:hAnsi="Times New Roman" w:cs="Times New Roman" w:eastAsia="Times New Roman" w:hint="default"/>
        </w:rPr>
        <w:t>4</w:t>
      </w:r>
      <w:r>
        <w:rPr/>
        <w:t>）成本</w:t>
      </w:r>
    </w:p>
    <w:p>
      <w:pPr>
        <w:pStyle w:val="BodyText"/>
        <w:spacing w:line="240" w:lineRule="auto" w:before="102"/>
        <w:ind w:left="0" w:right="19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3189"/>
        <w:gridCol w:w="3188"/>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晶圆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15,894,735.39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31,287,782.82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封装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7,372,740.46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14,539,830.63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776,552.59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1,714,075.65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95,811.24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-87.04%</w:t>
            </w:r>
          </w:p>
        </w:tc>
      </w:tr>
    </w:tbl>
    <w:p>
      <w:pPr>
        <w:pStyle w:val="BodyText"/>
        <w:spacing w:line="240" w:lineRule="auto" w:before="51"/>
        <w:ind w:left="154" w:right="0"/>
        <w:jc w:val="left"/>
      </w:pPr>
      <w:r>
        <w:rPr>
          <w:rFonts w:ascii="Times New Roman" w:hAnsi="Times New Roman" w:cs="Times New Roman" w:eastAsia="Times New Roman" w:hint="default"/>
        </w:rPr>
        <w:t>5</w:t>
      </w:r>
      <w:r>
        <w:rPr/>
        <w:t>）费用</w:t>
      </w:r>
    </w:p>
    <w:p>
      <w:pPr>
        <w:pStyle w:val="BodyText"/>
        <w:spacing w:line="240" w:lineRule="auto" w:before="103"/>
        <w:ind w:left="0" w:right="2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7"/>
        <w:gridCol w:w="1429"/>
        <w:gridCol w:w="1418"/>
        <w:gridCol w:w="1277"/>
        <w:gridCol w:w="4110"/>
      </w:tblGrid>
      <w:tr>
        <w:trPr>
          <w:trHeight w:val="401"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2,200,050.19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1,899,037.06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15.85%</w:t>
            </w:r>
          </w:p>
        </w:tc>
        <w:tc>
          <w:tcPr>
            <w:tcW w:w="4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65,664,317.73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60,115,788.60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9.23%</w:t>
            </w:r>
          </w:p>
        </w:tc>
        <w:tc>
          <w:tcPr>
            <w:tcW w:w="4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-23,609,788.60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-27,785,706.11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-15.03%</w:t>
            </w:r>
          </w:p>
        </w:tc>
        <w:tc>
          <w:tcPr>
            <w:tcW w:w="41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-2,759,485.90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3,053,306.06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-190.38%</w:t>
            </w:r>
            <w:r>
              <w:rPr>
                <w:rFonts w:ascii="Times New Roman"/>
                <w:sz w:val="18"/>
              </w:rPr>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2"/>
              <w:jc w:val="center"/>
              <w:rPr>
                <w:rFonts w:ascii="宋体" w:hAnsi="宋体" w:cs="宋体" w:eastAsia="宋体" w:hint="default"/>
                <w:sz w:val="18"/>
                <w:szCs w:val="18"/>
              </w:rPr>
            </w:pPr>
            <w:r>
              <w:rPr>
                <w:rFonts w:ascii="宋体" w:hAnsi="宋体" w:cs="宋体" w:eastAsia="宋体" w:hint="default"/>
                <w:sz w:val="18"/>
                <w:szCs w:val="18"/>
              </w:rPr>
              <w:t>主要原因为本年度亏损同时确认递延所得费用所致</w:t>
            </w:r>
          </w:p>
        </w:tc>
      </w:tr>
    </w:tbl>
    <w:p>
      <w:pPr>
        <w:pStyle w:val="BodyText"/>
        <w:spacing w:line="240" w:lineRule="auto" w:before="51"/>
        <w:ind w:left="154" w:right="0"/>
        <w:jc w:val="both"/>
      </w:pPr>
      <w:r>
        <w:rPr>
          <w:rFonts w:ascii="Times New Roman" w:hAnsi="Times New Roman" w:cs="Times New Roman" w:eastAsia="Times New Roman" w:hint="default"/>
        </w:rPr>
        <w:t>6</w:t>
      </w:r>
      <w:r>
        <w:rPr/>
        <w:t>）研发投入</w:t>
      </w:r>
    </w:p>
    <w:p>
      <w:pPr>
        <w:pStyle w:val="BodyText"/>
        <w:spacing w:line="338" w:lineRule="auto" w:before="102"/>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芯片设计行业是高技术含量的行业，技术发展更新很快，为保持公司的技术创新能力，及时跟进前沿技术的发展，公司</w:t>
      </w:r>
    </w:p>
    <w:p>
      <w:pPr>
        <w:pStyle w:val="BodyText"/>
        <w:spacing w:line="304" w:lineRule="auto" w:before="2"/>
        <w:ind w:right="230"/>
        <w:jc w:val="both"/>
      </w:pPr>
      <w:r>
        <w:rPr>
          <w:spacing w:val="-1"/>
        </w:rPr>
        <w:t>一直高度重视研发投入。报告期内，公司持续推进各类研发项目，研发费用支出</w:t>
      </w:r>
      <w:r>
        <w:rPr>
          <w:rFonts w:ascii="Times New Roman" w:hAnsi="Times New Roman" w:cs="Times New Roman" w:eastAsia="Times New Roman" w:hint="default"/>
          <w:spacing w:val="-1"/>
        </w:rPr>
        <w:t>4,283.51</w:t>
      </w:r>
      <w:r>
        <w:rPr>
          <w:spacing w:val="-1"/>
        </w:rPr>
        <w:t>万元，占营业收入的</w:t>
      </w:r>
      <w:r>
        <w:rPr>
          <w:rFonts w:ascii="Times New Roman" w:hAnsi="Times New Roman" w:cs="Times New Roman" w:eastAsia="Times New Roman" w:hint="default"/>
          <w:spacing w:val="-1"/>
        </w:rPr>
        <w:t>72.56%</w:t>
      </w:r>
      <w:r>
        <w:rPr>
          <w:spacing w:val="-1"/>
        </w:rPr>
        <w:t>。公司</w:t>
      </w:r>
      <w:r>
        <w:rPr>
          <w:spacing w:val="-45"/>
        </w:rPr>
        <w:t> </w:t>
      </w:r>
      <w:r>
        <w:rPr>
          <w:spacing w:val="-45"/>
        </w:rPr>
      </w:r>
      <w:r>
        <w:rPr/>
        <w:t>继续推进第二代</w:t>
      </w:r>
      <w:r>
        <w:rPr>
          <w:rFonts w:ascii="Times New Roman" w:hAnsi="Times New Roman" w:cs="Times New Roman" w:eastAsia="Times New Roman" w:hint="default"/>
        </w:rPr>
        <w:t>CPU</w:t>
      </w:r>
      <w:r>
        <w:rPr/>
        <w:t>核</w:t>
      </w:r>
      <w:r>
        <w:rPr>
          <w:rFonts w:ascii="Times New Roman" w:hAnsi="Times New Roman" w:cs="Times New Roman" w:eastAsia="Times New Roman" w:hint="default"/>
        </w:rPr>
        <w:t>Xburst</w:t>
      </w:r>
      <w:r>
        <w:rPr>
          <w:rFonts w:ascii="Times New Roman" w:hAnsi="Times New Roman" w:cs="Times New Roman" w:eastAsia="Times New Roman" w:hint="default"/>
          <w:spacing w:val="-3"/>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VPU</w:t>
      </w:r>
      <w:r>
        <w:rPr/>
        <w:t>技术、</w:t>
      </w:r>
      <w:r>
        <w:rPr>
          <w:rFonts w:ascii="Times New Roman" w:hAnsi="Times New Roman" w:cs="Times New Roman" w:eastAsia="Times New Roman" w:hint="default"/>
        </w:rPr>
        <w:t>SOC</w:t>
      </w:r>
      <w:r>
        <w:rPr/>
        <w:t>芯片及智能手表方案、智能眼镜方案等的研发，各项研发工作进展顺利， </w:t>
      </w:r>
      <w:r>
        <w:rPr>
          <w:spacing w:val="-1"/>
        </w:rPr>
        <w:t>其中</w:t>
      </w:r>
      <w:r>
        <w:rPr>
          <w:rFonts w:ascii="Times New Roman" w:hAnsi="Times New Roman" w:cs="Times New Roman" w:eastAsia="Times New Roman" w:hint="default"/>
          <w:spacing w:val="-1"/>
        </w:rPr>
        <w:t>CPU</w:t>
      </w:r>
      <w:r>
        <w:rPr>
          <w:spacing w:val="-1"/>
        </w:rPr>
        <w:t>、</w:t>
      </w:r>
      <w:r>
        <w:rPr>
          <w:rFonts w:ascii="Times New Roman" w:hAnsi="Times New Roman" w:cs="Times New Roman" w:eastAsia="Times New Roman" w:hint="default"/>
          <w:spacing w:val="-1"/>
        </w:rPr>
        <w:t>VPU</w:t>
      </w:r>
      <w:r>
        <w:rPr>
          <w:spacing w:val="-1"/>
        </w:rPr>
        <w:t>等核心技术的研发工作在</w:t>
      </w:r>
      <w:r>
        <w:rPr>
          <w:rFonts w:ascii="Times New Roman" w:hAnsi="Times New Roman" w:cs="Times New Roman" w:eastAsia="Times New Roman" w:hint="default"/>
          <w:spacing w:val="-1"/>
        </w:rPr>
        <w:t>2015</w:t>
      </w:r>
      <w:r>
        <w:rPr>
          <w:spacing w:val="-1"/>
        </w:rPr>
        <w:t>年仍将继续；针对智能可穿戴设备市场定制研发的芯片产品</w:t>
      </w:r>
      <w:r>
        <w:rPr>
          <w:rFonts w:ascii="Times New Roman" w:hAnsi="Times New Roman" w:cs="Times New Roman" w:eastAsia="Times New Roman" w:hint="default"/>
          <w:spacing w:val="-1"/>
        </w:rPr>
        <w:t>M150</w:t>
      </w:r>
      <w:r>
        <w:rPr>
          <w:spacing w:val="-1"/>
        </w:rPr>
        <w:t>、</w:t>
      </w:r>
      <w:r>
        <w:rPr>
          <w:rFonts w:ascii="Times New Roman" w:hAnsi="Times New Roman" w:cs="Times New Roman" w:eastAsia="Times New Roman" w:hint="default"/>
          <w:spacing w:val="-1"/>
        </w:rPr>
        <w:t>M200</w:t>
      </w:r>
      <w:r>
        <w:rPr>
          <w:spacing w:val="-1"/>
        </w:rPr>
        <w:t>已经</w:t>
      </w:r>
      <w:r>
        <w:rPr>
          <w:spacing w:val="-66"/>
        </w:rPr>
        <w:t> </w:t>
      </w:r>
      <w:r>
        <w:rPr/>
        <w:t>完成研发和投片工作；公司完成了第二代智能手表方案的研发，启动了基于</w:t>
      </w:r>
      <w:r>
        <w:rPr>
          <w:rFonts w:ascii="Times New Roman" w:hAnsi="Times New Roman" w:cs="Times New Roman" w:eastAsia="Times New Roman" w:hint="default"/>
        </w:rPr>
        <w:t>M200</w:t>
      </w:r>
      <w:r>
        <w:rPr/>
        <w:t>的智能手表、智能眼镜方案的研发工作； </w:t>
      </w:r>
      <w:r>
        <w:rPr>
          <w:spacing w:val="-1"/>
        </w:rPr>
        <w:t>为更好地进行市场拓展，公司规划和研发完成了一系列产品平台</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Newton</w:t>
      </w:r>
      <w:r>
        <w:rPr>
          <w:spacing w:val="-1"/>
        </w:rPr>
        <w:t>平台、</w:t>
      </w:r>
      <w:r>
        <w:rPr>
          <w:rFonts w:ascii="Times New Roman" w:hAnsi="Times New Roman" w:cs="Times New Roman" w:eastAsia="Times New Roman" w:hint="default"/>
          <w:spacing w:val="-1"/>
        </w:rPr>
        <w:t>Halley</w:t>
      </w:r>
      <w:r>
        <w:rPr>
          <w:spacing w:val="-1"/>
        </w:rPr>
        <w:t>平台，产品平台的推出，可以使开</w:t>
      </w:r>
      <w:r>
        <w:rPr/>
        <w:t> </w:t>
      </w:r>
      <w:r>
        <w:rPr>
          <w:spacing w:val="-2"/>
        </w:rPr>
        <w:t>发者更容易地基于公司的平台进行产品开发，并更快的向物联网、智能可穿戴设备、健康医疗、智能家居、安防监控等各个</w:t>
      </w:r>
      <w:r>
        <w:rPr>
          <w:spacing w:val="-66"/>
        </w:rPr>
        <w:t> </w:t>
      </w:r>
      <w:r>
        <w:rPr>
          <w:spacing w:val="-66"/>
        </w:rPr>
      </w:r>
      <w:r>
        <w:rPr/>
        <w:t>行业和各种产品中推广，将大大提高公司的核心竞争力。</w:t>
      </w:r>
    </w:p>
    <w:p>
      <w:pPr>
        <w:pStyle w:val="BodyText"/>
        <w:spacing w:line="240" w:lineRule="auto" w:before="67"/>
        <w:ind w:right="0"/>
        <w:jc w:val="both"/>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6"/>
        <w:gridCol w:w="2138"/>
        <w:gridCol w:w="2127"/>
        <w:gridCol w:w="2126"/>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42,835,126.30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42,715,383.38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56,323,666.53</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72.56%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52.67%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00"/>
        </w:sectPr>
      </w:pPr>
    </w:p>
    <w:p>
      <w:pPr>
        <w:pStyle w:val="BodyText"/>
        <w:spacing w:line="240" w:lineRule="auto" w:before="51"/>
        <w:ind w:left="154" w:right="-20"/>
        <w:jc w:val="left"/>
      </w:pPr>
      <w:r>
        <w:rPr/>
        <w:t>研发投入资本化率大幅变动的原因及其合理性说明</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00"/>
          <w:cols w:num="2" w:equalWidth="0">
            <w:col w:w="4115" w:space="4805"/>
            <w:col w:w="11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2280"/>
        <w:gridCol w:w="2392"/>
        <w:gridCol w:w="2393"/>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103,751,425.41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171,271,138.12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104,832,106.43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135,325,513.87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-22.53%</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-1,080,681.02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35,945,624.25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-103.01%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2268"/>
        <w:gridCol w:w="2392"/>
        <w:gridCol w:w="2393"/>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86,084,457.39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33,755,955.59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86,445,222.73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124,370,049.36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-360,765.34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-90,614,093.77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4,002,683.74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10,421,347.74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31,283,324.63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-10,421,347.74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-27,280,640.89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-11,861,724.59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-81,955,053.71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-85.53%</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513" w:right="29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经营活动现金流入较去年同期下降</w:t>
      </w:r>
      <w:r>
        <w:rPr>
          <w:rFonts w:ascii="Times New Roman" w:hAnsi="Times New Roman" w:cs="Times New Roman" w:eastAsia="Times New Roman" w:hint="default"/>
        </w:rPr>
        <w:t>39.42%</w:t>
      </w:r>
      <w:r>
        <w:rPr/>
        <w:t>，主要原因是本报告期营业收入减少，销售商品、提供劳务收到的现金较去</w:t>
      </w:r>
    </w:p>
    <w:p>
      <w:pPr>
        <w:pStyle w:val="BodyText"/>
        <w:spacing w:line="218" w:lineRule="exact"/>
        <w:ind w:right="0"/>
        <w:jc w:val="left"/>
      </w:pPr>
      <w:r>
        <w:rPr/>
        <w:t>年同期下降所致。</w:t>
      </w:r>
    </w:p>
    <w:p>
      <w:pPr>
        <w:pStyle w:val="BodyText"/>
        <w:spacing w:line="338" w:lineRule="auto" w:before="117"/>
        <w:ind w:left="513" w:right="298"/>
        <w:jc w:val="left"/>
      </w:pPr>
      <w:r>
        <w:rPr/>
        <w:t>投资活动现金流入较去年同期增长</w:t>
      </w:r>
      <w:r>
        <w:rPr>
          <w:rFonts w:ascii="Times New Roman" w:hAnsi="Times New Roman" w:cs="Times New Roman" w:eastAsia="Times New Roman" w:hint="default"/>
        </w:rPr>
        <w:t>155.02%</w:t>
      </w:r>
      <w:r>
        <w:rPr/>
        <w:t>，主要原因是赎回理财产品所致。 投资活动现金流出较去年同期下降</w:t>
      </w:r>
      <w:r>
        <w:rPr>
          <w:rFonts w:ascii="Times New Roman" w:hAnsi="Times New Roman" w:cs="Times New Roman" w:eastAsia="Times New Roman" w:hint="default"/>
        </w:rPr>
        <w:t>30.49%</w:t>
      </w:r>
      <w:r>
        <w:rPr/>
        <w:t>，主要原因是公司办公楼建设于去年已结束，本报告期用于固定资产、无形</w:t>
      </w:r>
    </w:p>
    <w:p>
      <w:pPr>
        <w:pStyle w:val="BodyText"/>
        <w:spacing w:line="218" w:lineRule="exact"/>
        <w:ind w:right="0"/>
        <w:jc w:val="left"/>
      </w:pPr>
      <w:r>
        <w:rPr/>
        <w:t>资产和其他长期资产支出减少所致。</w:t>
      </w:r>
    </w:p>
    <w:p>
      <w:pPr>
        <w:pStyle w:val="BodyText"/>
        <w:spacing w:line="302" w:lineRule="auto" w:before="115"/>
        <w:ind w:left="154" w:right="252" w:firstLine="360"/>
        <w:jc w:val="left"/>
      </w:pPr>
      <w:r>
        <w:rPr/>
        <w:t>筹资活动产生的现金流量净额较去年同期减少</w:t>
      </w:r>
      <w:r>
        <w:rPr>
          <w:spacing w:val="-45"/>
        </w:rPr>
        <w:t> </w:t>
      </w:r>
      <w:r>
        <w:rPr>
          <w:rFonts w:ascii="Times New Roman" w:hAnsi="Times New Roman" w:cs="Times New Roman" w:eastAsia="Times New Roman" w:hint="default"/>
        </w:rPr>
        <w:t>61.80%</w:t>
      </w:r>
      <w:r>
        <w:rPr/>
        <w:t>，主要原因是本年度分配股利、利润或偿付利息支付的现金较去 年同期减少所致。</w:t>
      </w:r>
    </w:p>
    <w:p>
      <w:pPr>
        <w:pStyle w:val="BodyText"/>
        <w:spacing w:line="240" w:lineRule="auto" w:before="70"/>
        <w:ind w:left="154" w:right="0"/>
        <w:jc w:val="left"/>
      </w:pPr>
      <w:r>
        <w:rPr/>
        <w:t>报告期内公司经营活动的现金流量与本年度净利润存在重大差异的原因说明</w:t>
      </w:r>
    </w:p>
    <w:p>
      <w:pPr>
        <w:pStyle w:val="BodyText"/>
        <w:spacing w:line="338" w:lineRule="auto" w:before="116"/>
        <w:ind w:right="74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46,871,250.25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79.40%</w:t>
            </w:r>
          </w:p>
        </w:tc>
      </w:tr>
    </w:tbl>
    <w:p>
      <w:pPr>
        <w:pStyle w:val="BodyText"/>
        <w:spacing w:line="240" w:lineRule="auto" w:before="51"/>
        <w:ind w:left="154"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29,095,312.57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91.52%</w:t>
            </w:r>
          </w:p>
        </w:tc>
      </w:tr>
    </w:tbl>
    <w:p>
      <w:pPr>
        <w:pStyle w:val="BodyText"/>
        <w:spacing w:line="240" w:lineRule="auto" w:before="51"/>
        <w:ind w:left="154" w:right="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701"/>
        <w:gridCol w:w="1985"/>
        <w:gridCol w:w="3119"/>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4" w:right="23" w:hanging="991"/>
              <w:jc w:val="left"/>
              <w:rPr>
                <w:rFonts w:ascii="宋体" w:hAnsi="宋体" w:cs="宋体" w:eastAsia="宋体" w:hint="default"/>
                <w:sz w:val="18"/>
                <w:szCs w:val="18"/>
              </w:rPr>
            </w:pPr>
            <w:r>
              <w:rPr>
                <w:rFonts w:ascii="宋体" w:hAnsi="宋体" w:cs="宋体" w:eastAsia="宋体" w:hint="default"/>
                <w:sz w:val="18"/>
                <w:szCs w:val="18"/>
              </w:rPr>
              <w:t>采购金额或比例与以前年度相比发生较 大变化的说明</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台湾积体电路制造股份有限公司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10,759,162.45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33.84%</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去年同期占比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33.6%</w:t>
            </w: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10,759,162.45</w:t>
            </w:r>
          </w:p>
        </w:tc>
        <w:tc>
          <w:tcPr>
            <w:tcW w:w="198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33.84%</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51"/>
        <w:ind w:left="154" w:right="4092"/>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38" w:lineRule="auto" w:before="40"/>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根据首次公开发行招股说明书中既定的公司未来发展规划，报告期内，公司坚持</w:t>
      </w:r>
      <w:r>
        <w:rPr>
          <w:rFonts w:ascii="Times New Roman" w:hAnsi="Times New Roman" w:cs="Times New Roman" w:eastAsia="Times New Roman" w:hint="default"/>
          <w:spacing w:val="-2"/>
        </w:rPr>
        <w:t>“</w:t>
      </w:r>
      <w:r>
        <w:rPr>
          <w:spacing w:val="-2"/>
        </w:rPr>
        <w:t>创新技术、自主研发</w:t>
      </w:r>
      <w:r>
        <w:rPr>
          <w:rFonts w:ascii="Times New Roman" w:hAnsi="Times New Roman" w:cs="Times New Roman" w:eastAsia="Times New Roman" w:hint="default"/>
          <w:spacing w:val="-2"/>
        </w:rPr>
        <w:t>”</w:t>
      </w:r>
      <w:r>
        <w:rPr>
          <w:spacing w:val="-2"/>
        </w:rPr>
        <w:t>的技术战略，持</w:t>
      </w:r>
    </w:p>
    <w:p>
      <w:pPr>
        <w:spacing w:after="0" w:line="338" w:lineRule="auto"/>
        <w:jc w:val="left"/>
        <w:sectPr>
          <w:pgSz w:w="11910" w:h="16840"/>
          <w:pgMar w:header="747" w:footer="979" w:top="1060" w:bottom="1160" w:left="980" w:right="900"/>
        </w:sectPr>
      </w:pPr>
    </w:p>
    <w:p>
      <w:pPr>
        <w:spacing w:line="240" w:lineRule="auto" w:before="12"/>
        <w:rPr>
          <w:rFonts w:ascii="宋体" w:hAnsi="宋体" w:cs="宋体" w:eastAsia="宋体" w:hint="default"/>
          <w:sz w:val="25"/>
          <w:szCs w:val="25"/>
        </w:rPr>
      </w:pPr>
    </w:p>
    <w:p>
      <w:pPr>
        <w:pStyle w:val="BodyText"/>
        <w:spacing w:line="302" w:lineRule="auto" w:before="44"/>
        <w:ind w:right="179"/>
        <w:jc w:val="left"/>
      </w:pPr>
      <w:r>
        <w:rPr>
          <w:spacing w:val="-1"/>
        </w:rPr>
        <w:t>续进行技术创新，加强自主知识产权核心技术的研发工作，加大力度进行公司核心</w:t>
      </w:r>
      <w:r>
        <w:rPr>
          <w:rFonts w:ascii="Times New Roman" w:hAnsi="Times New Roman" w:cs="Times New Roman" w:eastAsia="Times New Roman" w:hint="default"/>
          <w:spacing w:val="-1"/>
        </w:rPr>
        <w:t>IP</w:t>
      </w:r>
      <w:r>
        <w:rPr>
          <w:spacing w:val="-1"/>
        </w:rPr>
        <w:t>技术的研发，不断推进国产</w:t>
      </w:r>
      <w:r>
        <w:rPr>
          <w:rFonts w:ascii="Times New Roman" w:hAnsi="Times New Roman" w:cs="Times New Roman" w:eastAsia="Times New Roman" w:hint="default"/>
          <w:spacing w:val="-1"/>
        </w:rPr>
        <w:t>CPU</w:t>
      </w:r>
      <w:r>
        <w:rPr>
          <w:spacing w:val="-1"/>
        </w:rPr>
        <w:t>在核心</w:t>
      </w:r>
      <w:r>
        <w:rPr/>
        <w:t> 技术领域的突破。</w:t>
      </w:r>
    </w:p>
    <w:p>
      <w:pPr>
        <w:pStyle w:val="BodyText"/>
        <w:spacing w:line="309" w:lineRule="auto" w:before="68"/>
        <w:ind w:right="191" w:firstLine="360"/>
        <w:jc w:val="both"/>
      </w:pPr>
      <w:r>
        <w:rPr>
          <w:spacing w:val="-2"/>
        </w:rPr>
        <w:t>市场开拓中，公司秉承招股说明书中</w:t>
      </w:r>
      <w:r>
        <w:rPr>
          <w:rFonts w:ascii="Times New Roman" w:hAnsi="Times New Roman" w:cs="Times New Roman" w:eastAsia="Times New Roman" w:hint="default"/>
          <w:spacing w:val="-2"/>
        </w:rPr>
        <w:t>“</w:t>
      </w:r>
      <w:r>
        <w:rPr>
          <w:spacing w:val="-2"/>
        </w:rPr>
        <w:t>开放平台，纵横扩展</w:t>
      </w:r>
      <w:r>
        <w:rPr>
          <w:rFonts w:ascii="Times New Roman" w:hAnsi="Times New Roman" w:cs="Times New Roman" w:eastAsia="Times New Roman" w:hint="default"/>
          <w:spacing w:val="-2"/>
        </w:rPr>
        <w:t>”</w:t>
      </w:r>
      <w:r>
        <w:rPr>
          <w:spacing w:val="-2"/>
        </w:rPr>
        <w:t>的市场策略，针对新兴市场的变化发展，规划了一系列的芯</w:t>
      </w:r>
      <w:r>
        <w:rPr/>
        <w:t> </w:t>
      </w:r>
      <w:r>
        <w:rPr>
          <w:spacing w:val="-2"/>
        </w:rPr>
        <w:t>片产品和开发平台，更好地契合市场的需求，简化了开发者的流程，使公司产品能够更快地向各个行业市场中推广。公司开</w:t>
      </w:r>
      <w:r>
        <w:rPr>
          <w:spacing w:val="-66"/>
        </w:rPr>
        <w:t> </w:t>
      </w:r>
      <w:r>
        <w:rPr>
          <w:spacing w:val="-66"/>
        </w:rPr>
      </w:r>
      <w:r>
        <w:rPr/>
        <w:t>放平台的市场策略将有助于公司的市场拓展，帮助客户更加容易地采用公司的平台。</w:t>
      </w:r>
    </w:p>
    <w:p>
      <w:pPr>
        <w:pStyle w:val="BodyText"/>
        <w:spacing w:line="302" w:lineRule="auto" w:before="64"/>
        <w:ind w:right="128" w:firstLine="360"/>
        <w:jc w:val="both"/>
      </w:pPr>
      <w:r>
        <w:rPr/>
        <w:t>报告期内，公司募集资金投资项目</w:t>
      </w:r>
      <w:r>
        <w:rPr>
          <w:rFonts w:ascii="Times New Roman" w:hAnsi="Times New Roman" w:cs="Times New Roman" w:eastAsia="Times New Roman" w:hint="default"/>
        </w:rPr>
        <w:t>“</w:t>
      </w:r>
      <w:r>
        <w:rPr/>
        <w:t>研发中心建设项目</w:t>
      </w:r>
      <w:r>
        <w:rPr>
          <w:rFonts w:ascii="Times New Roman" w:hAnsi="Times New Roman" w:cs="Times New Roman" w:eastAsia="Times New Roman" w:hint="default"/>
        </w:rPr>
        <w:t>”</w:t>
      </w:r>
      <w:r>
        <w:rPr/>
        <w:t>完结。该项目的完结为其他项目提供基础技术支撑和研发保障， 满足了公司在未来几年内保持具有市场领先优势的</w:t>
      </w:r>
      <w:r>
        <w:rPr>
          <w:rFonts w:ascii="Times New Roman" w:hAnsi="Times New Roman" w:cs="Times New Roman" w:eastAsia="Times New Roman" w:hint="default"/>
        </w:rPr>
        <w:t>CPU</w:t>
      </w:r>
      <w:r>
        <w:rPr/>
        <w:t>核心技术的研发要求。</w:t>
      </w:r>
    </w:p>
    <w:p>
      <w:pPr>
        <w:pStyle w:val="BodyText"/>
        <w:spacing w:line="300" w:lineRule="auto" w:before="49"/>
        <w:ind w:right="209" w:firstLine="360"/>
        <w:jc w:val="both"/>
      </w:pPr>
      <w:r>
        <w:rPr/>
        <w:t>报告期内，公司根据市场的发展变化趋势，结合公司的实际情况，将</w:t>
      </w:r>
      <w:r>
        <w:rPr>
          <w:rFonts w:ascii="Times New Roman" w:hAnsi="Times New Roman" w:cs="Times New Roman" w:eastAsia="Times New Roman" w:hint="default"/>
        </w:rPr>
        <w:t>“</w:t>
      </w:r>
      <w:r>
        <w:rPr/>
        <w:t>便携式教育电子产品用嵌入式处理器芯片技术改 造项目</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物联网及智能可穿戴设备核心技术及产品研发项目</w:t>
      </w:r>
      <w:r>
        <w:rPr>
          <w:rFonts w:ascii="Times New Roman" w:hAnsi="Times New Roman" w:cs="Times New Roman" w:eastAsia="Times New Roman" w:hint="default"/>
        </w:rPr>
        <w:t>”</w:t>
      </w:r>
      <w:r>
        <w:rPr/>
        <w:t>。新项目将推动公司创新技术的发展，帮助公司快速展 开在新兴市场的技术研发，进一步加强公司在核心技术方面的积累，提高公司产品的竞争优势，符合公司长期发展利益。</w:t>
      </w:r>
    </w:p>
    <w:p>
      <w:pPr>
        <w:pStyle w:val="BodyText"/>
        <w:spacing w:line="240" w:lineRule="auto" w:before="71"/>
        <w:ind w:right="43"/>
        <w:jc w:val="left"/>
      </w:pPr>
      <w:r>
        <w:rPr/>
        <w:t>前期披露的发展战略和经营计划在报告期内的进展情况</w:t>
      </w:r>
    </w:p>
    <w:p>
      <w:pPr>
        <w:pStyle w:val="BodyText"/>
        <w:spacing w:line="302" w:lineRule="auto" w:before="116"/>
        <w:ind w:left="154" w:right="192" w:firstLine="360"/>
        <w:jc w:val="both"/>
      </w:pPr>
      <w:r>
        <w:rPr>
          <w:rFonts w:ascii="Times New Roman" w:hAnsi="Times New Roman" w:cs="Times New Roman" w:eastAsia="Times New Roman" w:hint="default"/>
          <w:spacing w:val="-2"/>
        </w:rPr>
        <w:t>2014</w:t>
      </w:r>
      <w:r>
        <w:rPr>
          <w:spacing w:val="-2"/>
        </w:rPr>
        <w:t>年，公司严格执行既定的发展战略和经营计划，加强研发管理，抓住市场发展趋势，及时进行市场策略的调整，稳</w:t>
      </w:r>
      <w:r>
        <w:rPr/>
        <w:t> 步展开各项工作，较好地完成了本年度各项经营计划。</w:t>
      </w:r>
    </w:p>
    <w:p>
      <w:pPr>
        <w:pStyle w:val="BodyText"/>
        <w:spacing w:line="314" w:lineRule="auto" w:before="68"/>
        <w:ind w:left="154" w:right="190" w:firstLine="360"/>
        <w:jc w:val="both"/>
      </w:pPr>
      <w:r>
        <w:rPr/>
        <w:t>公司</w:t>
      </w:r>
      <w:r>
        <w:rPr>
          <w:rFonts w:ascii="Times New Roman" w:hAnsi="Times New Roman" w:cs="Times New Roman" w:eastAsia="Times New Roman" w:hint="default"/>
        </w:rPr>
        <w:t>Xburst2</w:t>
      </w:r>
      <w:r>
        <w:rPr>
          <w:rFonts w:ascii="Times New Roman" w:hAnsi="Times New Roman" w:cs="Times New Roman" w:eastAsia="Times New Roman" w:hint="default"/>
          <w:spacing w:val="-2"/>
        </w:rPr>
        <w:t> </w:t>
      </w:r>
      <w:r>
        <w:rPr>
          <w:rFonts w:ascii="Times New Roman" w:hAnsi="Times New Roman" w:cs="Times New Roman" w:eastAsia="Times New Roman" w:hint="default"/>
        </w:rPr>
        <w:t>CPU</w:t>
      </w:r>
      <w:r>
        <w:rPr/>
        <w:t>的研发工作继续进行模块验证与优化，在研发过程中，公司注重技术创新和对前沿技术的跟踪学习， </w:t>
      </w:r>
      <w:r>
        <w:rPr>
          <w:spacing w:val="-2"/>
        </w:rPr>
        <w:t>不断完善和优化研发流程，加强研发部门的培训；在知识产权方面，公司组织了多次专利培训和专利技术挖掘会，增加了公</w:t>
      </w:r>
      <w:r>
        <w:rPr>
          <w:spacing w:val="-66"/>
        </w:rPr>
        <w:t> </w:t>
      </w:r>
      <w:r>
        <w:rPr>
          <w:spacing w:val="-66"/>
        </w:rPr>
      </w:r>
      <w:r>
        <w:rPr>
          <w:spacing w:val="-2"/>
        </w:rPr>
        <w:t>司在知识产权方面的储备；公司完成了针对可穿戴设备市场研发的芯片，并完成了芯片的投片工作。市场拓展方面，公司加</w:t>
      </w:r>
      <w:r>
        <w:rPr>
          <w:spacing w:val="-66"/>
        </w:rPr>
        <w:t> </w:t>
      </w:r>
      <w:r>
        <w:rPr>
          <w:spacing w:val="-66"/>
        </w:rPr>
      </w:r>
      <w:r>
        <w:rPr>
          <w:spacing w:val="-2"/>
        </w:rPr>
        <w:t>强了智能可穿戴设备领域的拓展，公司的智能手表方案以其成熟稳定的性能和超低功耗的特点获得市场的认可，采用公司芯</w:t>
      </w:r>
      <w:r>
        <w:rPr>
          <w:spacing w:val="-63"/>
        </w:rPr>
        <w:t> </w:t>
      </w:r>
      <w:r>
        <w:rPr>
          <w:spacing w:val="-63"/>
        </w:rPr>
      </w:r>
      <w:r>
        <w:rPr/>
        <w:t>片的智能手表已批量上市销售；同时，公司积极寻找和拓展其他领域，寻求更广阔的应用市场。</w:t>
      </w:r>
    </w:p>
    <w:p>
      <w:pPr>
        <w:pStyle w:val="BodyText"/>
        <w:spacing w:line="319" w:lineRule="auto" w:before="59"/>
        <w:ind w:right="43" w:firstLine="360"/>
        <w:jc w:val="left"/>
      </w:pPr>
      <w:r>
        <w:rPr>
          <w:spacing w:val="-2"/>
        </w:rPr>
        <w:t>报告期内，公司加强和完善事业部和市场部的运行机制，在新的机制下，市场推广和客户服务力度有了明显进步，市场</w:t>
      </w:r>
      <w:r>
        <w:rPr/>
        <w:t> </w:t>
      </w:r>
      <w:r>
        <w:rPr>
          <w:spacing w:val="-4"/>
        </w:rPr>
        <w:t>营销能力得到加强。同时，公司加强人才队伍建设，不断完善内部管理。公司全资子公司合肥君正科技有限公司完成了设立、</w:t>
      </w:r>
      <w:r>
        <w:rPr>
          <w:spacing w:val="-46"/>
        </w:rPr>
        <w:t> </w:t>
      </w:r>
      <w:r>
        <w:rPr>
          <w:spacing w:val="-46"/>
        </w:rPr>
      </w:r>
      <w:r>
        <w:rPr/>
        <w:t>注册工作，并已全面展开经营活动。</w:t>
      </w:r>
    </w:p>
    <w:p>
      <w:pPr>
        <w:pStyle w:val="BodyText"/>
        <w:spacing w:line="240" w:lineRule="auto" w:before="58"/>
        <w:ind w:right="43"/>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2"/>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43"/>
        <w:jc w:val="left"/>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43"/>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2"/>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消费电子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31,269,908.44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18,545,691.49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教育电子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21,398,390.10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10,093,793.12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移动互联网终端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3,243,612.18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1,890,050.47</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芯片类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52,640,465.16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28,470,899.50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1,133,358.49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1,130,508.92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2,138,820.40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928,374.97</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48,125,921.38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26,614,610.69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7,786,722.67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3,915,172.70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left="154" w:right="-2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499" w:space="542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31,269,908.44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12,724,216.95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21,398,390.10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11,304,596.98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3,243,612.18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1,353,561.71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52,640,465.16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24,169,565.66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1,133,358.49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2,138,820.40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1,210,445.43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48,125,921.38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21,511,310.69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7,786,722.67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3,871,549.97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bl>
    <w:p>
      <w:pPr>
        <w:pStyle w:val="BodyText"/>
        <w:spacing w:line="240" w:lineRule="auto" w:before="51"/>
        <w:ind w:left="154"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2"/>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26"/>
        <w:gridCol w:w="1276"/>
        <w:gridCol w:w="1276"/>
        <w:gridCol w:w="1276"/>
        <w:gridCol w:w="851"/>
        <w:gridCol w:w="219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6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2602" w:type="dxa"/>
            <w:gridSpan w:val="2"/>
            <w:vMerge/>
            <w:tcBorders>
              <w:left w:val="single" w:sz="4" w:space="0" w:color="000000"/>
              <w:bottom w:val="single" w:sz="4" w:space="0" w:color="000000"/>
              <w:right w:val="single" w:sz="4" w:space="0" w:color="000000"/>
            </w:tcBorders>
            <w:shd w:val="clear" w:color="auto" w:fill="D2D2D2"/>
          </w:tcPr>
          <w:p>
            <w:pPr/>
          </w:p>
        </w:tc>
        <w:tc>
          <w:tcPr>
            <w:tcW w:w="2551"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1" w:type="dxa"/>
            <w:vMerge/>
            <w:tcBorders>
              <w:left w:val="single" w:sz="4" w:space="0" w:color="000000"/>
              <w:bottom w:val="nil" w:sz="6" w:space="0" w:color="auto"/>
              <w:right w:val="single" w:sz="4" w:space="0" w:color="000000"/>
            </w:tcBorders>
            <w:shd w:val="clear" w:color="auto" w:fill="D2D2D2"/>
          </w:tcPr>
          <w:p>
            <w:pPr/>
          </w:p>
        </w:tc>
        <w:tc>
          <w:tcPr>
            <w:tcW w:w="219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835,965,400.44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847,827,125.03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3,954,983.98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0.37%</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13,523,434.51</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1.24%</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-0.87%</w:t>
            </w:r>
          </w:p>
        </w:tc>
        <w:tc>
          <w:tcPr>
            <w:tcW w:w="2197"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70.75%</w:t>
            </w:r>
            <w:r>
              <w:rPr>
                <w:rFonts w:ascii="宋体" w:hAnsi="宋体" w:cs="宋体" w:eastAsia="宋体" w:hint="default"/>
                <w:spacing w:val="-8"/>
                <w:sz w:val="18"/>
                <w:szCs w:val="18"/>
              </w:rPr>
              <w:t>，主要原因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是应收账款已收回所致。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19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197"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51,922,454.73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55,055,368.60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70,650,286.27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60,204,441.53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w:t>
            </w:r>
          </w:p>
        </w:tc>
        <w:tc>
          <w:tcPr>
            <w:tcW w:w="21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rFonts w:ascii="Times New Roman" w:hAnsi="Times New Roman" w:cs="Times New Roman" w:eastAsia="Times New Roman" w:hint="default"/>
        </w:rPr>
        <w:t>2</w:t>
      </w:r>
      <w:r>
        <w:rPr/>
        <w:t>）负债项目重大变动情况</w:t>
      </w:r>
    </w:p>
    <w:p>
      <w:pPr>
        <w:spacing w:after="0" w:line="240"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43"/>
        <w:jc w:val="left"/>
      </w:pPr>
      <w:r>
        <w:rPr/>
        <w:t>无</w:t>
      </w:r>
    </w:p>
    <w:p>
      <w:pPr>
        <w:pStyle w:val="BodyText"/>
        <w:spacing w:line="240" w:lineRule="auto" w:before="116"/>
        <w:ind w:left="154" w:right="43"/>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43"/>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56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报告期内，公司核心竞争能力未发生重大变化。</w:t>
      </w:r>
    </w:p>
    <w:p>
      <w:pPr>
        <w:pStyle w:val="BodyText"/>
        <w:spacing w:line="240" w:lineRule="auto" w:before="42"/>
        <w:ind w:left="514" w:right="43"/>
        <w:jc w:val="left"/>
      </w:pPr>
      <w:r>
        <w:rPr>
          <w:spacing w:val="-4"/>
        </w:rPr>
        <w:t>（</w:t>
      </w:r>
      <w:r>
        <w:rPr>
          <w:rFonts w:ascii="Times New Roman" w:hAnsi="Times New Roman" w:cs="Times New Roman" w:eastAsia="Times New Roman" w:hint="default"/>
          <w:spacing w:val="-4"/>
        </w:rPr>
        <w:t>1</w:t>
      </w:r>
      <w:r>
        <w:rPr>
          <w:spacing w:val="-4"/>
        </w:rPr>
        <w:t>）报告期内，公司及全资子公司取得实用新型专利</w:t>
      </w:r>
      <w:r>
        <w:rPr>
          <w:rFonts w:ascii="Times New Roman" w:hAnsi="Times New Roman" w:cs="Times New Roman" w:eastAsia="Times New Roman" w:hint="default"/>
          <w:spacing w:val="-4"/>
        </w:rPr>
        <w:t>4</w:t>
      </w:r>
      <w:r>
        <w:rPr>
          <w:spacing w:val="-4"/>
        </w:rPr>
        <w:t>项，新增正在申报中的专利</w:t>
      </w:r>
      <w:r>
        <w:rPr>
          <w:rFonts w:ascii="Times New Roman" w:hAnsi="Times New Roman" w:cs="Times New Roman" w:eastAsia="Times New Roman" w:hint="default"/>
          <w:spacing w:val="-4"/>
        </w:rPr>
        <w:t>36</w:t>
      </w:r>
      <w:r>
        <w:rPr>
          <w:spacing w:val="-4"/>
        </w:rPr>
        <w:t>项，其中获得的专利证书情况如下：</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952"/>
        <w:gridCol w:w="2169"/>
        <w:gridCol w:w="1717"/>
        <w:gridCol w:w="860"/>
        <w:gridCol w:w="1701"/>
        <w:gridCol w:w="1276"/>
      </w:tblGrid>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06" w:right="0"/>
              <w:jc w:val="left"/>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r>
      <w:tr>
        <w:trPr>
          <w:trHeight w:val="659"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2"/>
              <w:jc w:val="left"/>
              <w:rPr>
                <w:rFonts w:ascii="宋体" w:hAnsi="宋体" w:cs="宋体" w:eastAsia="宋体" w:hint="default"/>
                <w:sz w:val="18"/>
                <w:szCs w:val="18"/>
              </w:rPr>
            </w:pPr>
            <w:r>
              <w:rPr>
                <w:rFonts w:ascii="宋体" w:hAnsi="宋体" w:cs="宋体" w:eastAsia="宋体" w:hint="default"/>
                <w:sz w:val="18"/>
                <w:szCs w:val="18"/>
              </w:rPr>
              <w:t>一种控制智能终端进入 静音模式的系统</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ZL 2014 2</w:t>
            </w:r>
            <w:r>
              <w:rPr>
                <w:rFonts w:ascii="Times New Roman"/>
                <w:spacing w:val="-2"/>
                <w:sz w:val="18"/>
              </w:rPr>
              <w:t> </w:t>
            </w:r>
            <w:r>
              <w:rPr>
                <w:rFonts w:ascii="Times New Roman"/>
                <w:sz w:val="18"/>
              </w:rPr>
              <w:t>0081618.0</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3832924</w:t>
            </w:r>
            <w:r>
              <w:rPr>
                <w:rFonts w:ascii="宋体" w:hAnsi="宋体" w:cs="宋体" w:eastAsia="宋体" w:hint="default"/>
                <w:sz w:val="18"/>
                <w:szCs w:val="18"/>
              </w:rPr>
              <w:t>号</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ZL 2014 2</w:t>
            </w:r>
            <w:r>
              <w:rPr>
                <w:rFonts w:ascii="Times New Roman"/>
                <w:spacing w:val="-2"/>
                <w:sz w:val="18"/>
              </w:rPr>
              <w:t> </w:t>
            </w:r>
            <w:r>
              <w:rPr>
                <w:rFonts w:ascii="Times New Roman"/>
                <w:sz w:val="18"/>
              </w:rPr>
              <w:t>0275637.7</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3855090</w:t>
            </w:r>
            <w:r>
              <w:rPr>
                <w:rFonts w:ascii="宋体" w:hAnsi="宋体" w:cs="宋体" w:eastAsia="宋体" w:hint="default"/>
                <w:sz w:val="18"/>
                <w:szCs w:val="18"/>
              </w:rPr>
              <w:t>号</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ZL 2014 2</w:t>
            </w:r>
            <w:r>
              <w:rPr>
                <w:rFonts w:ascii="Times New Roman"/>
                <w:spacing w:val="-2"/>
                <w:sz w:val="18"/>
              </w:rPr>
              <w:t> </w:t>
            </w:r>
            <w:r>
              <w:rPr>
                <w:rFonts w:ascii="Times New Roman"/>
                <w:sz w:val="18"/>
              </w:rPr>
              <w:t>0179170.6</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3989049</w:t>
            </w:r>
            <w:r>
              <w:rPr>
                <w:rFonts w:ascii="宋体" w:hAnsi="宋体" w:cs="宋体" w:eastAsia="宋体" w:hint="default"/>
                <w:sz w:val="18"/>
                <w:szCs w:val="18"/>
              </w:rPr>
              <w:t>号</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一种智能手表通信系统</w:t>
            </w:r>
          </w:p>
        </w:tc>
        <w:tc>
          <w:tcPr>
            <w:tcW w:w="2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ZL 2014 2</w:t>
            </w:r>
            <w:r>
              <w:rPr>
                <w:rFonts w:ascii="Times New Roman"/>
                <w:spacing w:val="-2"/>
                <w:sz w:val="18"/>
              </w:rPr>
              <w:t> </w:t>
            </w:r>
            <w:r>
              <w:rPr>
                <w:rFonts w:ascii="Times New Roman"/>
                <w:sz w:val="18"/>
              </w:rPr>
              <w:t>0306345.5</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3989602</w:t>
            </w:r>
            <w:r>
              <w:rPr>
                <w:rFonts w:ascii="宋体" w:hAnsi="宋体" w:cs="宋体" w:eastAsia="宋体" w:hint="default"/>
                <w:sz w:val="18"/>
                <w:szCs w:val="18"/>
              </w:rPr>
              <w:t>号</w:t>
            </w:r>
          </w:p>
        </w:tc>
      </w:tr>
    </w:tbl>
    <w:p>
      <w:pPr>
        <w:pStyle w:val="BodyText"/>
        <w:spacing w:line="300" w:lineRule="auto" w:before="51"/>
        <w:ind w:right="183" w:firstLine="36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日，公司及全资子公司共获得授权的专利证书</w:t>
      </w:r>
      <w:r>
        <w:rPr>
          <w:rFonts w:ascii="Times New Roman" w:hAnsi="Times New Roman" w:cs="Times New Roman" w:eastAsia="Times New Roman" w:hint="default"/>
        </w:rPr>
        <w:t>7</w:t>
      </w:r>
      <w:r>
        <w:rPr/>
        <w:t>项，其中发明专利</w:t>
      </w:r>
      <w:r>
        <w:rPr>
          <w:rFonts w:ascii="Times New Roman" w:hAnsi="Times New Roman" w:cs="Times New Roman" w:eastAsia="Times New Roman" w:hint="default"/>
        </w:rPr>
        <w:t>2</w:t>
      </w:r>
      <w:r>
        <w:rPr/>
        <w:t>项，实用新型专利</w:t>
      </w:r>
      <w:r>
        <w:rPr>
          <w:rFonts w:ascii="Times New Roman" w:hAnsi="Times New Roman" w:cs="Times New Roman" w:eastAsia="Times New Roman" w:hint="default"/>
        </w:rPr>
        <w:t>5</w:t>
      </w:r>
      <w:r>
        <w:rPr/>
        <w:t>项；已申请并 被受理的专利共</w:t>
      </w:r>
      <w:r>
        <w:rPr>
          <w:rFonts w:ascii="Times New Roman" w:hAnsi="Times New Roman" w:cs="Times New Roman" w:eastAsia="Times New Roman" w:hint="default"/>
        </w:rPr>
        <w:t>56</w:t>
      </w:r>
      <w:r>
        <w:rPr/>
        <w:t>项，其中发明专利</w:t>
      </w:r>
      <w:r>
        <w:rPr>
          <w:rFonts w:ascii="Times New Roman" w:hAnsi="Times New Roman" w:cs="Times New Roman" w:eastAsia="Times New Roman" w:hint="default"/>
        </w:rPr>
        <w:t>55</w:t>
      </w:r>
      <w:r>
        <w:rPr/>
        <w:t>项，实用新型专利</w:t>
      </w:r>
      <w:r>
        <w:rPr>
          <w:rFonts w:ascii="Times New Roman" w:hAnsi="Times New Roman" w:cs="Times New Roman" w:eastAsia="Times New Roman" w:hint="default"/>
        </w:rPr>
        <w:t>1</w:t>
      </w:r>
      <w:r>
        <w:rPr/>
        <w:t>项；获得计算机软件著作权登记证书共</w:t>
      </w:r>
      <w:r>
        <w:rPr>
          <w:rFonts w:ascii="Times New Roman" w:hAnsi="Times New Roman" w:cs="Times New Roman" w:eastAsia="Times New Roman" w:hint="default"/>
        </w:rPr>
        <w:t>32</w:t>
      </w:r>
      <w:r>
        <w:rPr/>
        <w:t>项。</w:t>
      </w:r>
    </w:p>
    <w:p>
      <w:pPr>
        <w:pStyle w:val="BodyText"/>
        <w:spacing w:line="240" w:lineRule="auto" w:before="53"/>
        <w:ind w:left="444" w:right="43"/>
        <w:jc w:val="left"/>
      </w:pPr>
      <w:r>
        <w:rPr/>
        <w:t>（</w:t>
      </w:r>
      <w:r>
        <w:rPr>
          <w:rFonts w:ascii="Times New Roman" w:hAnsi="Times New Roman" w:cs="Times New Roman" w:eastAsia="Times New Roman" w:hint="default"/>
        </w:rPr>
        <w:t>2</w:t>
      </w:r>
      <w:r>
        <w:rPr/>
        <w:t>）报告期内，公司无核心技术人员离职。</w:t>
      </w:r>
    </w:p>
    <w:p>
      <w:pPr>
        <w:spacing w:line="240" w:lineRule="auto" w:before="9"/>
        <w:rPr>
          <w:rFonts w:ascii="宋体" w:hAnsi="宋体" w:cs="宋体" w:eastAsia="宋体" w:hint="default"/>
          <w:sz w:val="25"/>
          <w:szCs w:val="25"/>
        </w:rPr>
      </w:pPr>
    </w:p>
    <w:p>
      <w:pPr>
        <w:pStyle w:val="Heading3"/>
        <w:spacing w:line="240" w:lineRule="auto"/>
        <w:ind w:left="153" w:right="43"/>
        <w:jc w:val="left"/>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43"/>
        <w:jc w:val="left"/>
      </w:pPr>
      <w:r>
        <w:rPr>
          <w:rFonts w:ascii="Times New Roman" w:hAnsi="Times New Roman" w:cs="Times New Roman" w:eastAsia="Times New Roman" w:hint="default"/>
        </w:rPr>
        <w:t>1</w:t>
      </w:r>
      <w:r>
        <w:rPr/>
        <w:t>）对外投资情况</w:t>
      </w:r>
    </w:p>
    <w:p>
      <w:pPr>
        <w:pStyle w:val="BodyText"/>
        <w:spacing w:line="240" w:lineRule="auto" w:before="102"/>
        <w:ind w:left="154"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854"/>
        <w:gridCol w:w="1276"/>
        <w:gridCol w:w="922"/>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4" w:right="0"/>
              <w:jc w:val="left"/>
              <w:rPr>
                <w:rFonts w:ascii="Times New Roman" w:hAnsi="Times New Roman" w:cs="Times New Roman" w:eastAsia="Times New Roman" w:hint="default"/>
                <w:sz w:val="18"/>
                <w:szCs w:val="18"/>
              </w:rPr>
            </w:pPr>
            <w:r>
              <w:rPr>
                <w:rFonts w:ascii="Times New Roman"/>
                <w:sz w:val="18"/>
              </w:rPr>
              <w:t>140,000,000.00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4,566.67%</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本期投资盈亏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合肥君正科技有限公司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研发、销售芯片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7" w:right="0"/>
              <w:jc w:val="left"/>
              <w:rPr>
                <w:rFonts w:ascii="Times New Roman" w:hAnsi="Times New Roman" w:cs="Times New Roman" w:eastAsia="Times New Roman" w:hint="default"/>
                <w:sz w:val="18"/>
                <w:szCs w:val="18"/>
              </w:rPr>
            </w:pPr>
            <w:r>
              <w:rPr>
                <w:rFonts w:ascii="Times New Roman"/>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-3,647,861.19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pStyle w:val="BodyText"/>
        <w:spacing w:line="240" w:lineRule="auto" w:before="51"/>
        <w:ind w:left="154" w:right="-8"/>
        <w:jc w:val="left"/>
      </w:pPr>
      <w:r>
        <w:rPr>
          <w:rFonts w:ascii="Times New Roman" w:hAnsi="Times New Roman" w:cs="Times New Roman" w:eastAsia="Times New Roman" w:hint="default"/>
        </w:rPr>
        <w:t>2</w:t>
      </w:r>
      <w:r>
        <w:rPr/>
        <w:t>）募集资金使用情况</w:t>
      </w:r>
    </w:p>
    <w:p>
      <w:pPr>
        <w:pStyle w:val="BodyText"/>
        <w:spacing w:line="240" w:lineRule="auto" w:before="102"/>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8"/>
        <w:jc w:val="left"/>
      </w:pPr>
      <w:r>
        <w:rPr>
          <w:rFonts w:ascii="Times New Roman" w:hAnsi="Times New Roman" w:cs="Times New Roman" w:eastAsia="Times New Roman" w:hint="default"/>
          <w:spacing w:val="-1"/>
        </w:rPr>
        <w:t>1.</w:t>
      </w:r>
      <w:r>
        <w:rPr>
          <w:spacing w:val="-1"/>
        </w:rPr>
        <w:t>募集资金总体使用情况</w:t>
      </w:r>
    </w:p>
    <w:p>
      <w:pPr>
        <w:pStyle w:val="BodyText"/>
        <w:spacing w:line="240" w:lineRule="auto" w:before="102"/>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40"/>
          <w:cols w:num="2" w:equalWidth="0">
            <w:col w:w="2089" w:space="6651"/>
            <w:col w:w="125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82,566.1</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16,315.79</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30,761.37</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15,653.14</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18.96%</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32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公司募集资金总额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87,600.00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万元，扣除发行费用后，募集资金净额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82,566.10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万元。截至报告期末，公司已累计投入募集</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30,761.37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日召开的第一届董事会第十九次会</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w:t>
            </w:r>
            <w:r>
              <w:rPr>
                <w:rFonts w:ascii="宋体" w:hAnsi="宋体" w:cs="宋体" w:eastAsia="宋体" w:hint="default"/>
                <w:spacing w:val="-2"/>
                <w:sz w:val="18"/>
                <w:szCs w:val="18"/>
              </w:rPr>
              <w:t>开</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2"/>
                <w:sz w:val="18"/>
                <w:szCs w:val="18"/>
              </w:rPr>
              <w:t>二</w:t>
            </w:r>
            <w:r>
              <w:rPr>
                <w:rFonts w:ascii="宋体" w:hAnsi="宋体" w:cs="宋体" w:eastAsia="宋体" w:hint="default"/>
                <w:sz w:val="18"/>
                <w:szCs w:val="18"/>
              </w:rPr>
              <w:t>次临时股东大会审议通过</w:t>
            </w:r>
            <w:r>
              <w:rPr>
                <w:rFonts w:ascii="宋体" w:hAnsi="宋体" w:cs="宋体" w:eastAsia="宋体" w:hint="default"/>
                <w:spacing w:val="-90"/>
                <w:sz w:val="18"/>
                <w:szCs w:val="18"/>
              </w:rPr>
              <w:t>，</w:t>
            </w:r>
            <w:r>
              <w:rPr>
                <w:rFonts w:ascii="宋体" w:hAnsi="宋体" w:cs="宋体" w:eastAsia="宋体" w:hint="default"/>
                <w:sz w:val="18"/>
                <w:szCs w:val="18"/>
              </w:rPr>
              <w:t>该投资项目终止</w:t>
            </w:r>
            <w:r>
              <w:rPr>
                <w:rFonts w:ascii="宋体" w:hAnsi="宋体" w:cs="宋体" w:eastAsia="宋体" w:hint="default"/>
                <w:spacing w:val="-90"/>
                <w:sz w:val="18"/>
                <w:szCs w:val="18"/>
              </w:rPr>
              <w:t>，</w:t>
            </w:r>
            <w:r>
              <w:rPr>
                <w:rFonts w:ascii="宋体" w:hAnsi="宋体" w:cs="宋体" w:eastAsia="宋体" w:hint="default"/>
                <w:sz w:val="18"/>
                <w:szCs w:val="18"/>
              </w:rPr>
              <w:t>终止时该项目累计投入资金</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24.30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日第二届董事会第十一次会议和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年年度股东大会审议通过，公司将该项目变更为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。截至变更时，</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累计投入金额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2,138.74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日完结，截至项目完结时累计投入金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11,402.82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日完结，截至项目完结时累计投入金额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，截至报告期末，该项目累计投入金额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万元，投资进度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7.76%</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w:t>
            </w:r>
          </w:p>
          <w:p>
            <w:pPr>
              <w:pStyle w:val="TableParagraph"/>
              <w:spacing w:line="302"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通过，公司决定使用超募资金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万元在合肥高新技术产业开发区投资成立全资子公司。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月，公司完成了 全资子公司合肥君正科技有限公司的设立工作。</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940"/>
        </w:sectPr>
      </w:pPr>
    </w:p>
    <w:p>
      <w:pPr>
        <w:pStyle w:val="BodyText"/>
        <w:spacing w:line="240" w:lineRule="auto" w:before="51"/>
        <w:ind w:left="154" w:right="-9"/>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104"/>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40"/>
          <w:cols w:num="2" w:equalWidth="0">
            <w:col w:w="2089" w:space="6651"/>
            <w:col w:w="125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708"/>
        <w:gridCol w:w="570"/>
        <w:gridCol w:w="848"/>
        <w:gridCol w:w="850"/>
        <w:gridCol w:w="851"/>
        <w:gridCol w:w="709"/>
        <w:gridCol w:w="708"/>
        <w:gridCol w:w="710"/>
        <w:gridCol w:w="851"/>
        <w:gridCol w:w="708"/>
        <w:gridCol w:w="642"/>
      </w:tblGrid>
      <w:tr>
        <w:trPr>
          <w:trHeight w:val="16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24" w:right="54"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48" w:right="4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8"/>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 w:right="43"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3" w:right="63"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8"/>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7"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7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便携式教育电子产 品用嵌入式处理器 芯片技术改造项目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2,138.74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2,138.74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便携式消费电子产 品用多媒体处理器 芯片技术改造项目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终止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移动互联网终端应 用处理器芯片研发 及产业化项目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12,387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11,402.82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-4,605.02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1,810.31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40"/>
        </w:sectPr>
      </w:pPr>
    </w:p>
    <w:p>
      <w:pPr>
        <w:spacing w:line="240" w:lineRule="auto" w:before="0"/>
        <w:rPr>
          <w:rFonts w:ascii="Times New Roman" w:hAnsi="Times New Roman" w:cs="Times New Roman" w:eastAsia="Times New Roman" w:hint="default"/>
          <w:sz w:val="20"/>
          <w:szCs w:val="20"/>
        </w:rPr>
      </w:pPr>
      <w:r>
        <w:rPr/>
        <w:pict>
          <v:group style="position:absolute;margin-left:136.100006pt;margin-top:288.739990pt;width:405pt;height:17.6pt;mso-position-horizontal-relative:page;mso-position-vertical-relative:page;z-index:-671512" coordorigin="2722,5775" coordsize="8100,352">
            <v:shape style="position:absolute;left:2722;top:5775;width:8100;height:352" coordorigin="2722,5775" coordsize="8100,352" path="m2722,6126l10822,6126,10822,5775,2722,5775,2722,612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549"/>
        <w:gridCol w:w="708"/>
        <w:gridCol w:w="570"/>
        <w:gridCol w:w="848"/>
        <w:gridCol w:w="850"/>
        <w:gridCol w:w="851"/>
        <w:gridCol w:w="709"/>
        <w:gridCol w:w="708"/>
        <w:gridCol w:w="710"/>
        <w:gridCol w:w="851"/>
        <w:gridCol w:w="708"/>
        <w:gridCol w:w="642"/>
      </w:tblGrid>
      <w:tr>
        <w:trPr>
          <w:trHeight w:val="1026"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87"/>
              <w:jc w:val="both"/>
              <w:rPr>
                <w:rFonts w:ascii="宋体" w:hAnsi="宋体" w:cs="宋体" w:eastAsia="宋体" w:hint="default"/>
                <w:sz w:val="18"/>
                <w:szCs w:val="18"/>
              </w:rPr>
            </w:pPr>
            <w:r>
              <w:rPr>
                <w:rFonts w:ascii="宋体" w:hAnsi="宋体" w:cs="宋体" w:eastAsia="宋体" w:hint="default"/>
                <w:sz w:val="18"/>
                <w:szCs w:val="18"/>
              </w:rPr>
              <w:t>物联网及智能可穿 戴设备核心技术及 产品研发项目</w:t>
            </w:r>
          </w:p>
        </w:tc>
        <w:tc>
          <w:tcPr>
            <w:tcW w:w="70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0"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32,661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31,983.04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2,315.79</w:t>
            </w:r>
          </w:p>
        </w:tc>
        <w:tc>
          <w:tcPr>
            <w:tcW w:w="85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16,761.37</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-627.36</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w w:val="95"/>
                <w:sz w:val="18"/>
              </w:rPr>
              <w:t>-5,232.4</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70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 w:right="87"/>
              <w:jc w:val="left"/>
              <w:rPr>
                <w:rFonts w:ascii="宋体" w:hAnsi="宋体" w:cs="宋体" w:eastAsia="宋体" w:hint="default"/>
                <w:sz w:val="18"/>
                <w:szCs w:val="18"/>
              </w:rPr>
            </w:pPr>
            <w:r>
              <w:rPr>
                <w:rFonts w:ascii="宋体" w:hAnsi="宋体" w:cs="宋体" w:eastAsia="宋体" w:hint="default"/>
                <w:sz w:val="18"/>
                <w:szCs w:val="18"/>
              </w:rPr>
              <w:t>投资成立合肥君正 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0"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-364.79</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46,661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45,983.04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16,315.79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30,761.37</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-5,597.19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54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51"/>
              <w:ind w:left="11" w:right="-44"/>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w:t>
            </w:r>
            <w:r>
              <w:rPr>
                <w:rFonts w:ascii="宋体" w:hAnsi="宋体" w:cs="宋体" w:eastAsia="宋体" w:hint="default"/>
                <w:spacing w:val="-7"/>
                <w:sz w:val="18"/>
                <w:szCs w:val="18"/>
              </w:rPr>
              <w:t>原因（分具体项目）</w:t>
            </w:r>
            <w:r>
              <w:rPr>
                <w:rFonts w:ascii="宋体" w:hAnsi="宋体" w:cs="宋体" w:eastAsia="宋体" w:hint="default"/>
                <w:sz w:val="18"/>
                <w:szCs w:val="18"/>
              </w:rPr>
            </w:r>
          </w:p>
        </w:tc>
        <w:tc>
          <w:tcPr>
            <w:tcW w:w="8155" w:type="dxa"/>
            <w:gridSpan w:val="11"/>
            <w:tcBorders>
              <w:top w:val="single" w:sz="4" w:space="0" w:color="000000"/>
              <w:left w:val="single" w:sz="22" w:space="0" w:color="FFFFFF"/>
              <w:bottom w:val="single" w:sz="4" w:space="0" w:color="000000"/>
              <w:right w:val="single" w:sz="4" w:space="0" w:color="000000"/>
            </w:tcBorders>
          </w:tcPr>
          <w:p>
            <w:pPr>
              <w:pStyle w:val="TableParagraph"/>
              <w:spacing w:line="309" w:lineRule="auto" w:before="51"/>
              <w:ind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 </w:t>
            </w:r>
            <w:r>
              <w:rPr>
                <w:rFonts w:ascii="宋体" w:hAnsi="宋体" w:cs="宋体" w:eastAsia="宋体" w:hint="default"/>
                <w:sz w:val="18"/>
                <w:szCs w:val="18"/>
              </w:rPr>
              <w:t>端产品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9" w:lineRule="auto" w:before="51"/>
              <w:ind w:left="540" w:right="24" w:firstLine="134"/>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完结。由于移动互联网终 市场的销售受软件生态等因素影响，市场拓展一直严重受阻，致使该项目未能达到预计收益，截 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日，该项目累计亏损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585"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5" w:type="dxa"/>
            <w:gridSpan w:val="11"/>
            <w:vMerge w:val="restart"/>
            <w:tcBorders>
              <w:top w:val="single" w:sz="4" w:space="0" w:color="000000"/>
              <w:left w:val="single" w:sz="9" w:space="0" w:color="D2D2D2"/>
              <w:right w:val="single" w:sz="4" w:space="0" w:color="000000"/>
            </w:tcBorders>
          </w:tcPr>
          <w:p>
            <w:pPr>
              <w:pStyle w:val="TableParagraph"/>
              <w:spacing w:line="300" w:lineRule="auto" w:before="51"/>
              <w:ind w:left="16"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市场受移动互联网终端产品的冲击持续衰退，消费电子市场已经发生了较大变化，继 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的研发已无法达到理想的投资回报，实施该 项目存在较大风险，经公司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日召开的第一届董事会第十九次会议和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4"/>
              <w:ind w:left="16" w:right="0"/>
              <w:jc w:val="left"/>
              <w:rPr>
                <w:rFonts w:ascii="宋体" w:hAnsi="宋体" w:cs="宋体" w:eastAsia="宋体" w:hint="default"/>
                <w:sz w:val="18"/>
                <w:szCs w:val="18"/>
              </w:rPr>
            </w:pPr>
            <w:r>
              <w:rPr>
                <w:rFonts w:ascii="宋体" w:hAnsi="宋体" w:cs="宋体" w:eastAsia="宋体" w:hint="default"/>
                <w:sz w:val="18"/>
                <w:szCs w:val="18"/>
              </w:rPr>
              <w:t>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年第二次临时股东大会审议通过，决定终止该投资项目。</w:t>
            </w:r>
          </w:p>
          <w:p>
            <w:pPr>
              <w:pStyle w:val="TableParagraph"/>
              <w:spacing w:line="309" w:lineRule="auto" w:before="10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年以来，教育电子市场中高端学习机产品逐渐被学生平板所替代，在芯片产品的性能需求上， 学生平板和普通消费类的平板电脑趋于一致。鉴于国内平板电脑市场竞争越来越激烈，芯片提供商需要 不断跟进新的生产工艺，从而导致越来越高的研发和生产成本，而教育电子作为一个行业类市场，高端 产品的市场容量有限，如果公司仅为满足教育电子的高端需求而进行新工艺产品的开发，将会带来成本 无法收回的风险。为避免在市场变化时出现募集资金投资无法收回的风险，并综合考虑电子市场的发展 趋势，经公司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日召开的第二届董事会第十一次会议和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2"/>
                <w:sz w:val="18"/>
                <w:szCs w:val="18"/>
              </w:rPr>
              <w:t>年度股东大会审议通过，公司将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便携式教育电子产品用嵌入式处理器芯片技术改造项目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物联网</w:t>
            </w:r>
            <w:r>
              <w:rPr>
                <w:rFonts w:ascii="宋体" w:hAnsi="宋体" w:cs="宋体" w:eastAsia="宋体" w:hint="default"/>
                <w:spacing w:val="-59"/>
                <w:sz w:val="18"/>
                <w:szCs w:val="18"/>
              </w:rPr>
              <w:t> </w:t>
            </w:r>
            <w:r>
              <w:rPr>
                <w:rFonts w:ascii="宋体" w:hAnsi="宋体" w:cs="宋体" w:eastAsia="宋体" w:hint="default"/>
                <w:sz w:val="18"/>
                <w:szCs w:val="18"/>
              </w:rPr>
              <w:t>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05"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8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155" w:type="dxa"/>
            <w:gridSpan w:val="11"/>
            <w:vMerge/>
            <w:tcBorders>
              <w:left w:val="single" w:sz="9" w:space="0" w:color="D2D2D2"/>
              <w:right w:val="single" w:sz="4" w:space="0" w:color="000000"/>
            </w:tcBorders>
          </w:tcPr>
          <w:p>
            <w:pPr/>
          </w:p>
        </w:tc>
      </w:tr>
      <w:tr>
        <w:trPr>
          <w:trHeight w:val="1584"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5" w:type="dxa"/>
            <w:gridSpan w:val="11"/>
            <w:vMerge/>
            <w:tcBorders>
              <w:left w:val="single" w:sz="9" w:space="0" w:color="D2D2D2"/>
              <w:bottom w:val="single" w:sz="4" w:space="0" w:color="000000"/>
              <w:right w:val="single" w:sz="4" w:space="0" w:color="000000"/>
            </w:tcBorders>
          </w:tcPr>
          <w:p>
            <w:pPr/>
          </w:p>
        </w:tc>
      </w:tr>
      <w:tr>
        <w:trPr>
          <w:trHeight w:val="402" w:hRule="exact"/>
        </w:trPr>
        <w:tc>
          <w:tcPr>
            <w:tcW w:w="1549" w:type="dxa"/>
            <w:vMerge w:val="restart"/>
            <w:tcBorders>
              <w:top w:val="single" w:sz="4" w:space="0" w:color="000000"/>
              <w:left w:val="single" w:sz="4" w:space="0" w:color="000000"/>
              <w:right w:val="single" w:sz="4" w:space="0" w:color="000000"/>
            </w:tcBorders>
            <w:shd w:val="clear" w:color="auto" w:fill="D2D2D2"/>
          </w:tcPr>
          <w:p>
            <w:pPr/>
          </w:p>
        </w:tc>
        <w:tc>
          <w:tcPr>
            <w:tcW w:w="815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92"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8155" w:type="dxa"/>
            <w:gridSpan w:val="11"/>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月，公司首次公开发行股票实际募集资金净额人民币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82,566.10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万元，募投项目承诺投资额</w:t>
            </w:r>
          </w:p>
          <w:p>
            <w:pPr>
              <w:pStyle w:val="TableParagraph"/>
              <w:spacing w:line="300" w:lineRule="auto" w:before="61"/>
              <w:ind w:left="16"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32,661.00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49,905.10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日公司第一届董事会第十五次会议审议 </w:t>
            </w:r>
            <w:r>
              <w:rPr>
                <w:rFonts w:ascii="宋体" w:hAnsi="宋体" w:cs="宋体" w:eastAsia="宋体" w:hint="default"/>
                <w:spacing w:val="-2"/>
                <w:sz w:val="18"/>
                <w:szCs w:val="18"/>
              </w:rPr>
              <w:t>通过了《关于变更募集资金投资项目实施地点和实施金额及延期实施的议案》，对募集资金投资项目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w:t>
            </w:r>
            <w:r>
              <w:rPr>
                <w:rFonts w:ascii="宋体" w:hAnsi="宋体" w:cs="宋体" w:eastAsia="宋体" w:hint="default"/>
                <w:sz w:val="18"/>
                <w:szCs w:val="18"/>
              </w:rPr>
              <w:t> 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的实施地点和实施金额进行了变更，变更投资额后结余的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万元转入超募资金管 理。</w:t>
            </w:r>
          </w:p>
          <w:p>
            <w:pPr>
              <w:pStyle w:val="TableParagraph"/>
              <w:spacing w:line="300" w:lineRule="auto" w:before="70"/>
              <w:ind w:left="16" w:right="10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、为充分利用地方优势，降低公司整体运营成本，利用地方丰富的人力资源及相对较低的人工成本优 势，更好地进行产业布局和企业发展的整体规划，经公司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w:t>
            </w:r>
          </w:p>
          <w:p>
            <w:pPr>
              <w:pStyle w:val="TableParagraph"/>
              <w:spacing w:line="300" w:lineRule="auto" w:before="13"/>
              <w:ind w:left="16" w:right="21"/>
              <w:jc w:val="both"/>
              <w:rPr>
                <w:rFonts w:ascii="宋体" w:hAnsi="宋体" w:cs="宋体" w:eastAsia="宋体" w:hint="default"/>
                <w:sz w:val="18"/>
                <w:szCs w:val="18"/>
              </w:rPr>
            </w:pPr>
            <w:r>
              <w:rPr>
                <w:rFonts w:ascii="宋体" w:hAnsi="宋体" w:cs="宋体" w:eastAsia="宋体" w:hint="default"/>
                <w:sz w:val="18"/>
                <w:szCs w:val="18"/>
              </w:rPr>
              <w:t>次会议和</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日召开的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年第一次临时股东大会审议通过，公司决定使用超募资金</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14,000.00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万元在合肥高新技术产业开发区投资成立全资子公司。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月，公司完成了全资子公司合肥君正科 技有限公司的设立工作。</w:t>
            </w:r>
          </w:p>
          <w:p>
            <w:pPr>
              <w:pStyle w:val="TableParagraph"/>
              <w:spacing w:line="240" w:lineRule="auto" w:before="72"/>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日，公司超募资金余额为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36,151.10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万元，全部存放于募集资金专户管理。</w:t>
            </w:r>
          </w:p>
        </w:tc>
      </w:tr>
      <w:tr>
        <w:trPr>
          <w:trHeight w:val="1016"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87"/>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155" w:type="dxa"/>
            <w:gridSpan w:val="11"/>
            <w:vMerge/>
            <w:tcBorders>
              <w:left w:val="single" w:sz="9" w:space="0" w:color="D2D2D2"/>
              <w:right w:val="single" w:sz="4" w:space="0" w:color="000000"/>
            </w:tcBorders>
          </w:tcPr>
          <w:p>
            <w:pPr/>
          </w:p>
        </w:tc>
      </w:tr>
      <w:tr>
        <w:trPr>
          <w:trHeight w:val="1494"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5" w:type="dxa"/>
            <w:gridSpan w:val="11"/>
            <w:vMerge/>
            <w:tcBorders>
              <w:left w:val="single" w:sz="9" w:space="0" w:color="D2D2D2"/>
              <w:bottom w:val="single" w:sz="4" w:space="0" w:color="000000"/>
              <w:right w:val="single" w:sz="4" w:space="0" w:color="000000"/>
            </w:tcBorders>
          </w:tcPr>
          <w:p>
            <w:pPr/>
          </w:p>
        </w:tc>
      </w:tr>
      <w:tr>
        <w:trPr>
          <w:trHeight w:val="232"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5"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70" w:hRule="exact"/>
        </w:trPr>
        <w:tc>
          <w:tcPr>
            <w:tcW w:w="15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8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155" w:type="dxa"/>
            <w:gridSpan w:val="11"/>
            <w:vMerge/>
            <w:tcBorders>
              <w:left w:val="single" w:sz="9" w:space="0" w:color="D2D2D2"/>
              <w:bottom w:val="single" w:sz="4" w:space="0" w:color="000000"/>
              <w:right w:val="single" w:sz="4" w:space="0" w:color="000000"/>
            </w:tcBorders>
          </w:tcPr>
          <w:p>
            <w:pPr/>
          </w:p>
        </w:tc>
      </w:tr>
      <w:tr>
        <w:trPr>
          <w:trHeight w:val="402" w:hRule="exact"/>
        </w:trPr>
        <w:tc>
          <w:tcPr>
            <w:tcW w:w="1549" w:type="dxa"/>
            <w:vMerge/>
            <w:tcBorders>
              <w:left w:val="single" w:sz="4" w:space="0" w:color="000000"/>
              <w:right w:val="single" w:sz="4" w:space="0" w:color="000000"/>
            </w:tcBorders>
            <w:shd w:val="clear" w:color="auto" w:fill="D2D2D2"/>
          </w:tcPr>
          <w:p>
            <w:pPr/>
          </w:p>
        </w:tc>
        <w:tc>
          <w:tcPr>
            <w:tcW w:w="8155"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1"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8155"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日召开的第一届董事会第十五次会议审议通过了《关于变更募集资金投资项目实</w:t>
            </w:r>
          </w:p>
        </w:tc>
      </w:tr>
      <w:tr>
        <w:trPr>
          <w:trHeight w:val="232"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5" w:type="dxa"/>
            <w:gridSpan w:val="11"/>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BodyText"/>
        <w:spacing w:line="240" w:lineRule="auto" w:before="44"/>
        <w:ind w:left="0" w:right="102"/>
        <w:jc w:val="right"/>
      </w:pPr>
      <w:r>
        <w:rPr/>
        <w:pict>
          <v:shape style="position:absolute;margin-left:56.459999pt;margin-top:-284.428284pt;width:486.5pt;height:533.6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155"/>
                  </w:tblGrid>
                  <w:tr>
                    <w:trPr>
                      <w:trHeight w:val="98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65"/>
                          <w:jc w:val="left"/>
                          <w:rPr>
                            <w:rFonts w:ascii="宋体" w:hAnsi="宋体" w:cs="宋体" w:eastAsia="宋体" w:hint="default"/>
                            <w:sz w:val="18"/>
                            <w:szCs w:val="18"/>
                          </w:rPr>
                        </w:pPr>
                        <w:r>
                          <w:rPr>
                            <w:rFonts w:ascii="宋体" w:hAnsi="宋体" w:cs="宋体" w:eastAsia="宋体" w:hint="default"/>
                            <w:spacing w:val="-2"/>
                            <w:w w:val="100"/>
                            <w:sz w:val="18"/>
                            <w:szCs w:val="18"/>
                          </w:rPr>
                          <w:t>施地点和实施金额及延期实施的议案》，对募集资金投资项目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研发中心建设项目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的实施地点进行了变</w:t>
                        </w:r>
                        <w:r>
                          <w:rPr>
                            <w:rFonts w:ascii="宋体" w:hAnsi="宋体" w:cs="宋体" w:eastAsia="宋体" w:hint="default"/>
                            <w:sz w:val="18"/>
                            <w:szCs w:val="18"/>
                          </w:rPr>
                          <w:t> 更，原实施地点为北京市海淀区中关村软件园区内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平方米租赁区内，变更后的实施地点位于中关 村软件园二期（西扩）起步区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J-2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地块。</w:t>
                        </w: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60" w:type="dxa"/>
                        <w:vMerge/>
                        <w:tcBorders>
                          <w:left w:val="single" w:sz="4" w:space="0" w:color="000000"/>
                          <w:right w:val="single" w:sz="4" w:space="0" w:color="000000"/>
                        </w:tcBorders>
                        <w:shd w:val="clear" w:color="auto" w:fill="D2D2D2"/>
                      </w:tcPr>
                      <w:p>
                        <w:pPr/>
                      </w:p>
                    </w:tc>
                    <w:tc>
                      <w:tcPr>
                        <w:tcW w:w="81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1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日，经公司第一届董事会第十一次会议审议通过，根据北京兴华会计师事务所有限责任</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公司出具的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）京会兴核字第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《关于北京君正集成电路股份有限公司以自筹资金预先投</w:t>
                        </w:r>
                      </w:p>
                      <w:p>
                        <w:pPr>
                          <w:pStyle w:val="TableParagraph"/>
                          <w:spacing w:line="302" w:lineRule="auto" w:before="63"/>
                          <w:ind w:left="22" w:right="30"/>
                          <w:jc w:val="left"/>
                          <w:rPr>
                            <w:rFonts w:ascii="宋体" w:hAnsi="宋体" w:cs="宋体" w:eastAsia="宋体" w:hint="default"/>
                            <w:sz w:val="18"/>
                            <w:szCs w:val="18"/>
                          </w:rPr>
                        </w:pPr>
                        <w:r>
                          <w:rPr>
                            <w:rFonts w:ascii="宋体" w:hAnsi="宋体" w:cs="宋体" w:eastAsia="宋体" w:hint="default"/>
                            <w:spacing w:val="-5"/>
                            <w:sz w:val="18"/>
                            <w:szCs w:val="18"/>
                          </w:rPr>
                          <w:t>入募投项目的鉴证报告》，公司以募集资金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1,843.24</w:t>
                        </w:r>
                        <w:r>
                          <w:rPr>
                            <w:rFonts w:ascii="Times New Roman" w:hAnsi="Times New Roman" w:cs="Times New Roman" w:eastAsia="Times New Roman" w:hint="default"/>
                            <w:spacing w:val="9"/>
                            <w:sz w:val="18"/>
                            <w:szCs w:val="18"/>
                          </w:rPr>
                          <w:t> </w:t>
                        </w:r>
                        <w:r>
                          <w:rPr>
                            <w:rFonts w:ascii="宋体" w:hAnsi="宋体" w:cs="宋体" w:eastAsia="宋体" w:hint="default"/>
                            <w:spacing w:val="-1"/>
                            <w:w w:val="100"/>
                            <w:sz w:val="18"/>
                            <w:szCs w:val="18"/>
                          </w:rPr>
                          <w:t>万元置换预先已投入募集资金投资项目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移动互联网</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w:t>
                        </w: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1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6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1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、根据招股说明书中披露的项目完成时间及项目总投资额，</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 业化项目</w:t>
                        </w:r>
                        <w:r>
                          <w:rPr>
                            <w:rFonts w:ascii="Times New Roman" w:hAnsi="Times New Roman" w:cs="Times New Roman" w:eastAsia="Times New Roman" w:hint="default"/>
                            <w:sz w:val="18"/>
                            <w:szCs w:val="18"/>
                          </w:rPr>
                          <w:t>”  </w:t>
                        </w:r>
                        <w:r>
                          <w:rPr>
                            <w:rFonts w:ascii="宋体" w:hAnsi="宋体" w:cs="宋体" w:eastAsia="宋体" w:hint="default"/>
                            <w:sz w:val="18"/>
                            <w:szCs w:val="18"/>
                          </w:rPr>
                          <w:t>达到预定可使用状态的日期为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日，募集资金承诺投资总额为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12,387.00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2" w:lineRule="auto" w:before="13"/>
                          <w:ind w:left="22"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日，该投资项目已经完结，实际投资总额为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11,402.82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984.18 </w:t>
                        </w:r>
                        <w:r>
                          <w:rPr>
                            <w:rFonts w:ascii="宋体" w:hAnsi="宋体" w:cs="宋体" w:eastAsia="宋体" w:hint="default"/>
                            <w:sz w:val="18"/>
                            <w:szCs w:val="18"/>
                          </w:rPr>
                          <w:t>万元。结余的主要原因为，公司从项目的实际情况出发，本着节约、合理及有效的原则使用募集资金， 并且公司结合自身的技术优势和经验，充分利用现有的设备资源，减少了新设备的购置，节省了设备购 置费用，致使募集资金出现结余。</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、根据招股说明书及公司董事会决议，</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预计完成时间为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资金承诺投资总额为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日，该投资项目已经完结，实际投资金额为</w:t>
                        </w:r>
                      </w:p>
                      <w:p>
                        <w:pPr>
                          <w:pStyle w:val="TableParagraph"/>
                          <w:spacing w:line="309" w:lineRule="auto" w:before="63"/>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1,810.31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万元，结余募集资金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1,331.69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万元。结余的主要原因为，公司本着节约、合理及有效的原则使 用募集资金，严格控制各项支出，并对各项资源进行合理调度和优化配置，充分考虑资源的共通性，节 省了项目费用，致使募集资金出现结余。</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截至报告期末，尚未使用的募集资金存放于公司募集资金专户。</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900"/>
        </w:sectPr>
      </w:pPr>
    </w:p>
    <w:p>
      <w:pPr>
        <w:pStyle w:val="BodyText"/>
        <w:spacing w:line="240" w:lineRule="auto" w:before="44"/>
        <w:ind w:left="154" w:right="-9"/>
        <w:jc w:val="left"/>
      </w:pPr>
      <w:r>
        <w:rPr>
          <w:rFonts w:ascii="Times New Roman" w:hAnsi="Times New Roman" w:cs="Times New Roman" w:eastAsia="Times New Roman" w:hint="default"/>
          <w:spacing w:val="-1"/>
        </w:rPr>
        <w:t>3.</w:t>
      </w:r>
      <w:r>
        <w:rPr>
          <w:spacing w:val="-1"/>
        </w:rPr>
        <w:t>募集资金变更项目情况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00"/>
          <w:cols w:num="2" w:equalWidth="0">
            <w:col w:w="2089" w:space="6651"/>
            <w:col w:w="12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779"/>
        <w:gridCol w:w="958"/>
        <w:gridCol w:w="958"/>
        <w:gridCol w:w="956"/>
        <w:gridCol w:w="956"/>
        <w:gridCol w:w="957"/>
        <w:gridCol w:w="956"/>
        <w:gridCol w:w="1204"/>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6" w:right="56"/>
              <w:jc w:val="both"/>
              <w:rPr>
                <w:rFonts w:ascii="宋体" w:hAnsi="宋体" w:cs="宋体" w:eastAsia="宋体" w:hint="default"/>
                <w:sz w:val="18"/>
                <w:szCs w:val="18"/>
              </w:rPr>
            </w:pPr>
            <w:r>
              <w:rPr>
                <w:rFonts w:ascii="宋体" w:hAnsi="宋体" w:cs="宋体" w:eastAsia="宋体" w:hint="default"/>
                <w:sz w:val="18"/>
                <w:szCs w:val="18"/>
              </w:rPr>
              <w:t>变更后的项目 可行性是否发 生重大变化</w:t>
            </w:r>
          </w:p>
        </w:tc>
      </w:tr>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便携式消费 电子产品用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324.3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324.3</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779"/>
        <w:gridCol w:w="958"/>
        <w:gridCol w:w="958"/>
        <w:gridCol w:w="956"/>
        <w:gridCol w:w="956"/>
        <w:gridCol w:w="957"/>
        <w:gridCol w:w="956"/>
        <w:gridCol w:w="1205"/>
      </w:tblGrid>
      <w:tr>
        <w:trPr>
          <w:trHeight w:val="986"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多媒体处理 器芯片技术 改造项目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1,810.31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物联网及智 能可穿戴设 备核心技术 及产品研发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便携式教育 电子产品用 多媒体处理 器芯片技术 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13,991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17,457.3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3,219.81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-627.38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346"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9"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946"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市场受移动互联网终端产品的冲击持续衰退，消费电子市场已经发生 了较大变化，继续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 法达到理想的投资回报，实施该项目存在较大风险，经公司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w:t>
            </w:r>
          </w:p>
          <w:p>
            <w:pPr>
              <w:pStyle w:val="TableParagraph"/>
              <w:spacing w:line="302" w:lineRule="auto" w:before="13"/>
              <w:ind w:left="22" w:right="78"/>
              <w:jc w:val="both"/>
              <w:rPr>
                <w:rFonts w:ascii="宋体" w:hAnsi="宋体" w:cs="宋体" w:eastAsia="宋体" w:hint="default"/>
                <w:sz w:val="18"/>
                <w:szCs w:val="18"/>
              </w:rPr>
            </w:pPr>
            <w:r>
              <w:rPr>
                <w:rFonts w:ascii="宋体" w:hAnsi="宋体" w:cs="宋体" w:eastAsia="宋体" w:hint="default"/>
                <w:sz w:val="18"/>
                <w:szCs w:val="18"/>
              </w:rPr>
              <w:t>一届董事会第十九次会议和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 通过，决定终止该投资项目。</w:t>
            </w:r>
          </w:p>
          <w:p>
            <w:pPr>
              <w:pStyle w:val="TableParagraph"/>
              <w:spacing w:line="300" w:lineRule="auto" w:before="6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日召开的第一届董事会第十五次会议审议通过了《关于变更募 </w:t>
            </w:r>
            <w:r>
              <w:rPr>
                <w:rFonts w:ascii="宋体" w:hAnsi="宋体" w:cs="宋体" w:eastAsia="宋体" w:hint="default"/>
                <w:spacing w:val="-3"/>
                <w:sz w:val="18"/>
                <w:szCs w:val="18"/>
              </w:rPr>
              <w:t>集资金投资项目实施地点和实施金额及延期实施的议案》，对募集资金投资项目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的实施地点进行了变更，原实施地点为北京市海淀区中关村软件园区内 </w:t>
            </w:r>
            <w:r>
              <w:rPr>
                <w:rFonts w:ascii="Times New Roman" w:hAnsi="Times New Roman" w:cs="Times New Roman" w:eastAsia="Times New Roman" w:hint="default"/>
                <w:sz w:val="18"/>
                <w:szCs w:val="18"/>
              </w:rPr>
              <w:t>1,760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平方米租赁区内，变更后的实施地点位于中关村软件园二期（西扩）起步区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w:t>
            </w:r>
            <w:r>
              <w:rPr>
                <w:rFonts w:ascii="宋体" w:hAnsi="宋体" w:cs="宋体" w:eastAsia="宋体" w:hint="default"/>
                <w:w w:val="99"/>
                <w:sz w:val="18"/>
                <w:szCs w:val="18"/>
              </w:rPr>
              <w:t> </w:t>
            </w:r>
            <w:r>
              <w:rPr>
                <w:rFonts w:ascii="宋体" w:hAnsi="宋体" w:cs="宋体" w:eastAsia="宋体" w:hint="default"/>
                <w:sz w:val="18"/>
                <w:szCs w:val="18"/>
              </w:rPr>
              <w:t>块，变更后结余的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万元转入超募资金的管理，并将预计完成时间由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日。由于公司研发基地建设工作比预期有所延后，致使</w:t>
            </w:r>
            <w:r>
              <w:rPr>
                <w:rFonts w:ascii="Times New Roman" w:hAnsi="Times New Roman" w:cs="Times New Roman" w:eastAsia="Times New Roman" w:hint="default"/>
                <w:sz w:val="18"/>
                <w:szCs w:val="18"/>
              </w:rPr>
              <w:t>“</w:t>
            </w:r>
            <w:r>
              <w:rPr>
                <w:rFonts w:ascii="宋体" w:hAnsi="宋体" w:cs="宋体" w:eastAsia="宋体" w:hint="default"/>
                <w:sz w:val="18"/>
                <w:szCs w:val="18"/>
              </w:rPr>
              <w:t>研</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的实施进度受到影响，经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日公司第二届董事会第九次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会议审议通过，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预计完成时间由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2" w:lineRule="auto" w:before="101"/>
              <w:ind w:left="22" w:right="22"/>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年以来，教育电子市场中高端学习机产品逐渐被学生平板所替代，在芯片产品的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性能需求上，学生平板和普通消费类的平板电脑趋于一致。鉴于国内平板电脑市场竞争 越来越激烈，芯片提供商需要不断跟进新的生产工艺，从而导致越来越高的研发和生产 成本，而教育电子作为一个行业类市场，高端产品的市场容量有限，如果公司仅为满足 教育电子的高端需求而进行新工艺产品的开发，将会带来成本无法收回的风险。为避免 在市场变化时出现募集资金投资无法收回的风险，并综合考虑电子市场的发展趋势，经 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日召开的第二届董事会第十一次会议和</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日召开的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pacing w:val="-1"/>
                <w:sz w:val="18"/>
                <w:szCs w:val="18"/>
              </w:rPr>
              <w:t>年年度股东大会审议通过，公司将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便携式教育电子产品用嵌入式处理器芯片技术改造项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1"/>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9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9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rFonts w:ascii="Times New Roman" w:hAnsi="Times New Roman" w:cs="Times New Roman" w:eastAsia="Times New Roman" w:hint="default"/>
        </w:rPr>
        <w:t>3</w:t>
      </w:r>
      <w:r>
        <w:rPr/>
        <w:t>）非募集资金投资的重大项目情况</w:t>
      </w:r>
    </w:p>
    <w:p>
      <w:pPr>
        <w:pStyle w:val="BodyText"/>
        <w:spacing w:line="348" w:lineRule="auto" w:before="102"/>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spacing w:after="0" w:line="348"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7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7173"/>
        <w:jc w:val="left"/>
      </w:pPr>
      <w:r>
        <w:rPr>
          <w:rFonts w:ascii="Times New Roman" w:hAnsi="Times New Roman" w:cs="Times New Roman" w:eastAsia="Times New Roman" w:hint="default"/>
        </w:rPr>
        <w:t>5</w:t>
      </w:r>
      <w:r>
        <w:rPr/>
        <w:t>）持有金融企业股权情况</w:t>
      </w:r>
    </w:p>
    <w:p>
      <w:pPr>
        <w:pStyle w:val="BodyText"/>
        <w:spacing w:line="348" w:lineRule="auto" w:before="103"/>
        <w:ind w:right="7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4"/>
        <w:ind w:right="7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7173"/>
        <w:jc w:val="left"/>
      </w:pPr>
      <w:r>
        <w:rPr>
          <w:rFonts w:ascii="Times New Roman" w:hAnsi="Times New Roman" w:cs="Times New Roman" w:eastAsia="Times New Roman" w:hint="default"/>
        </w:rPr>
        <w:t>7</w:t>
      </w:r>
      <w:r>
        <w:rPr/>
        <w:t>）以公允价值计量的金融资产</w:t>
      </w:r>
    </w:p>
    <w:p>
      <w:pPr>
        <w:pStyle w:val="BodyText"/>
        <w:spacing w:line="240" w:lineRule="auto" w:before="102"/>
        <w:ind w:left="154" w:right="7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7173"/>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2"/>
          <w:pgSz w:w="11910" w:h="16840"/>
          <w:pgMar w:footer="979" w:header="747" w:top="1060" w:bottom="1160" w:left="980" w:right="880"/>
          <w:pgNumType w:start="21"/>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880"/>
          <w:cols w:num="2" w:equalWidth="0">
            <w:col w:w="2315" w:space="6605"/>
            <w:col w:w="113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47"/>
        <w:gridCol w:w="514"/>
        <w:gridCol w:w="709"/>
        <w:gridCol w:w="708"/>
        <w:gridCol w:w="825"/>
        <w:gridCol w:w="1276"/>
        <w:gridCol w:w="1195"/>
        <w:gridCol w:w="1134"/>
        <w:gridCol w:w="1134"/>
        <w:gridCol w:w="1153"/>
      </w:tblGrid>
      <w:tr>
        <w:trPr>
          <w:trHeight w:val="1025" w:hRule="exact"/>
        </w:trPr>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7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center"/>
              <w:rPr>
                <w:rFonts w:ascii="宋体" w:hAnsi="宋体" w:cs="宋体" w:eastAsia="宋体" w:hint="default"/>
                <w:sz w:val="18"/>
                <w:szCs w:val="18"/>
              </w:rPr>
            </w:pPr>
            <w:r>
              <w:rPr>
                <w:rFonts w:ascii="宋体" w:hAnsi="宋体" w:cs="宋体" w:eastAsia="宋体" w:hint="default"/>
                <w:sz w:val="18"/>
                <w:szCs w:val="18"/>
              </w:rPr>
              <w:t>主要产 品或服 务</w:t>
            </w:r>
          </w:p>
        </w:tc>
        <w:tc>
          <w:tcPr>
            <w:tcW w:w="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北京君正集 成电路（香 </w:t>
            </w:r>
            <w:r>
              <w:rPr>
                <w:rFonts w:ascii="宋体" w:hAnsi="宋体" w:cs="宋体" w:eastAsia="宋体" w:hint="default"/>
                <w:spacing w:val="-15"/>
                <w:sz w:val="18"/>
                <w:szCs w:val="18"/>
              </w:rPr>
              <w:t>港）集团有限</w:t>
            </w:r>
            <w:r>
              <w:rPr>
                <w:rFonts w:ascii="宋体" w:hAnsi="宋体" w:cs="宋体" w:eastAsia="宋体" w:hint="default"/>
                <w:sz w:val="18"/>
                <w:szCs w:val="18"/>
              </w:rPr>
              <w:t> 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9"/>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4"/>
              <w:jc w:val="left"/>
              <w:rPr>
                <w:rFonts w:ascii="宋体" w:hAnsi="宋体" w:cs="宋体" w:eastAsia="宋体" w:hint="default"/>
                <w:sz w:val="18"/>
                <w:szCs w:val="18"/>
              </w:rPr>
            </w:pPr>
            <w:r>
              <w:rPr>
                <w:rFonts w:ascii="宋体" w:hAnsi="宋体" w:cs="宋体" w:eastAsia="宋体" w:hint="default"/>
                <w:sz w:val="18"/>
                <w:szCs w:val="18"/>
              </w:rPr>
              <w:t>集成电 路设计</w:t>
            </w:r>
          </w:p>
        </w:tc>
        <w:tc>
          <w:tcPr>
            <w:tcW w:w="70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集成电 路开发、 销售</w:t>
            </w:r>
          </w:p>
        </w:tc>
        <w:tc>
          <w:tcPr>
            <w:tcW w:w="8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48,410.16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84,158.40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-3,288,898.71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-3,288,898.71</w:t>
            </w:r>
          </w:p>
        </w:tc>
      </w:tr>
      <w:tr>
        <w:trPr>
          <w:trHeight w:val="1026"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2"/>
              <w:jc w:val="both"/>
              <w:rPr>
                <w:rFonts w:ascii="宋体" w:hAnsi="宋体" w:cs="宋体" w:eastAsia="宋体" w:hint="default"/>
                <w:sz w:val="18"/>
                <w:szCs w:val="18"/>
              </w:rPr>
            </w:pPr>
            <w:r>
              <w:rPr>
                <w:rFonts w:ascii="宋体" w:hAnsi="宋体" w:cs="宋体" w:eastAsia="宋体" w:hint="default"/>
                <w:sz w:val="18"/>
                <w:szCs w:val="18"/>
              </w:rPr>
              <w:t>深圳君正时 代集成电路 有限公司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集成电 路设计</w:t>
            </w:r>
          </w:p>
        </w:tc>
        <w:tc>
          <w:tcPr>
            <w:tcW w:w="70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56"/>
              <w:jc w:val="left"/>
              <w:rPr>
                <w:rFonts w:ascii="宋体" w:hAnsi="宋体" w:cs="宋体" w:eastAsia="宋体" w:hint="default"/>
                <w:sz w:val="18"/>
                <w:szCs w:val="18"/>
              </w:rPr>
            </w:pPr>
            <w:r>
              <w:rPr>
                <w:rFonts w:ascii="宋体" w:hAnsi="宋体" w:cs="宋体" w:eastAsia="宋体" w:hint="default"/>
                <w:sz w:val="18"/>
                <w:szCs w:val="18"/>
              </w:rPr>
              <w:t>集成电 路开发、 销售</w:t>
            </w:r>
          </w:p>
        </w:tc>
        <w:tc>
          <w:tcPr>
            <w:tcW w:w="8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3,056,676.71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-19,116,618.18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29,865,875.70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-3,963,123.60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-4,086,691.91</w:t>
            </w:r>
          </w:p>
        </w:tc>
      </w:tr>
      <w:tr>
        <w:trPr>
          <w:trHeight w:val="1026"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2"/>
              <w:jc w:val="both"/>
              <w:rPr>
                <w:rFonts w:ascii="宋体" w:hAnsi="宋体" w:cs="宋体" w:eastAsia="宋体" w:hint="default"/>
                <w:sz w:val="18"/>
                <w:szCs w:val="18"/>
              </w:rPr>
            </w:pPr>
            <w:r>
              <w:rPr>
                <w:rFonts w:ascii="宋体" w:hAnsi="宋体" w:cs="宋体" w:eastAsia="宋体" w:hint="default"/>
                <w:sz w:val="18"/>
                <w:szCs w:val="18"/>
              </w:rPr>
              <w:t>北京君诚易 恒科技有限 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技术开 </w:t>
            </w:r>
            <w:r>
              <w:rPr>
                <w:rFonts w:ascii="宋体" w:hAnsi="宋体" w:cs="宋体" w:eastAsia="宋体" w:hint="default"/>
                <w:spacing w:val="-18"/>
                <w:sz w:val="18"/>
                <w:szCs w:val="18"/>
              </w:rPr>
              <w:t>发、技术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3,198,763.50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2,987,637.76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2,676,044.84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144,621.42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144,621.42</w:t>
            </w:r>
          </w:p>
        </w:tc>
      </w:tr>
      <w:tr>
        <w:trPr>
          <w:trHeight w:val="1027"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合肥君正科 技有限公司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集成电 路设计</w:t>
            </w:r>
          </w:p>
        </w:tc>
        <w:tc>
          <w:tcPr>
            <w:tcW w:w="70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56"/>
              <w:jc w:val="left"/>
              <w:rPr>
                <w:rFonts w:ascii="宋体" w:hAnsi="宋体" w:cs="宋体" w:eastAsia="宋体" w:hint="default"/>
                <w:sz w:val="18"/>
                <w:szCs w:val="18"/>
              </w:rPr>
            </w:pPr>
            <w:r>
              <w:rPr>
                <w:rFonts w:ascii="宋体" w:hAnsi="宋体" w:cs="宋体" w:eastAsia="宋体" w:hint="default"/>
                <w:sz w:val="18"/>
                <w:szCs w:val="18"/>
              </w:rPr>
              <w:t>集成电 路开发、 销售</w:t>
            </w:r>
          </w:p>
        </w:tc>
        <w:tc>
          <w:tcPr>
            <w:tcW w:w="8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137,054,463.36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136,352,138.81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-3,665,861.19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-3,647,861.19</w:t>
            </w:r>
          </w:p>
        </w:tc>
      </w:tr>
    </w:tbl>
    <w:p>
      <w:pPr>
        <w:pStyle w:val="BodyText"/>
        <w:spacing w:line="357" w:lineRule="auto" w:before="51"/>
        <w:ind w:left="154" w:right="7172"/>
        <w:jc w:val="left"/>
      </w:pPr>
      <w:r>
        <w:rPr/>
        <w:t>主要子公司、参股公司情况说明 不适用 报告期内取得和处置子公司的情况</w:t>
      </w:r>
    </w:p>
    <w:p>
      <w:pPr>
        <w:pStyle w:val="BodyText"/>
        <w:spacing w:line="240" w:lineRule="auto" w:before="29"/>
        <w:ind w:right="7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2836"/>
        <w:gridCol w:w="2693"/>
        <w:gridCol w:w="2268"/>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合肥君正科技有限公司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为更好地进行公司产业布局，推进 企业发展整体规划</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259"/>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7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880"/>
        </w:sectPr>
      </w:pPr>
    </w:p>
    <w:p>
      <w:pPr>
        <w:spacing w:line="240" w:lineRule="auto" w:before="8"/>
        <w:rPr>
          <w:rFonts w:ascii="宋体" w:hAnsi="宋体" w:cs="宋体" w:eastAsia="宋体" w:hint="default"/>
          <w:sz w:val="23"/>
          <w:szCs w:val="23"/>
        </w:rPr>
      </w:pPr>
    </w:p>
    <w:p>
      <w:pPr>
        <w:pStyle w:val="Heading2"/>
        <w:spacing w:line="240" w:lineRule="auto" w:before="26"/>
        <w:ind w:right="43"/>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9"/>
        <w:rPr>
          <w:rFonts w:ascii="宋体" w:hAnsi="宋体" w:cs="宋体" w:eastAsia="宋体" w:hint="default"/>
          <w:b/>
          <w:bCs/>
          <w:sz w:val="26"/>
          <w:szCs w:val="26"/>
        </w:rPr>
      </w:pPr>
    </w:p>
    <w:p>
      <w:pPr>
        <w:pStyle w:val="Heading4"/>
        <w:spacing w:line="240" w:lineRule="auto"/>
        <w:ind w:right="43"/>
        <w:jc w:val="left"/>
        <w:rPr>
          <w:b w:val="0"/>
          <w:bCs w:val="0"/>
        </w:rPr>
      </w:pPr>
      <w:r>
        <w:rPr>
          <w:rFonts w:ascii="Times New Roman" w:hAnsi="Times New Roman" w:cs="Times New Roman" w:eastAsia="Times New Roman" w:hint="default"/>
        </w:rPr>
        <w:t>1</w:t>
      </w:r>
      <w:r>
        <w:rPr/>
        <w:t>、行业格局和趋势</w:t>
      </w:r>
      <w:r>
        <w:rPr>
          <w:b w:val="0"/>
          <w:bCs w:val="0"/>
        </w:rPr>
      </w:r>
    </w:p>
    <w:p>
      <w:pPr>
        <w:pStyle w:val="BodyText"/>
        <w:spacing w:line="312" w:lineRule="auto" w:before="101"/>
        <w:ind w:right="43" w:firstLine="360"/>
        <w:jc w:val="left"/>
      </w:pPr>
      <w:r>
        <w:rPr>
          <w:rFonts w:ascii="Times New Roman" w:hAnsi="Times New Roman" w:cs="Times New Roman" w:eastAsia="Times New Roman" w:hint="default"/>
        </w:rPr>
        <w:t>2014</w:t>
      </w:r>
      <w:r>
        <w:rPr/>
        <w:t>年国内平板电脑市场的增长有所放缓，同时芯片产品的市场竞争愈加激烈。联发科和</w:t>
      </w:r>
      <w:r>
        <w:rPr>
          <w:rFonts w:ascii="Times New Roman" w:hAnsi="Times New Roman" w:cs="Times New Roman" w:eastAsia="Times New Roman" w:hint="default"/>
        </w:rPr>
        <w:t>Intel</w:t>
      </w:r>
      <w:r>
        <w:rPr/>
        <w:t>的加入使得本土芯片供应 </w:t>
      </w:r>
      <w:r>
        <w:rPr>
          <w:spacing w:val="-2"/>
        </w:rPr>
        <w:t>商面临更为严峻的市场竞争，导致国内芯片厂商市场份额的下降。在平板电脑市场，整合通讯功能已成为平板电脑产品的趋</w:t>
      </w:r>
      <w:r>
        <w:rPr>
          <w:spacing w:val="-65"/>
        </w:rPr>
        <w:t> </w:t>
      </w:r>
      <w:r>
        <w:rPr>
          <w:spacing w:val="-65"/>
        </w:rPr>
      </w:r>
      <w:r>
        <w:rPr>
          <w:spacing w:val="-4"/>
        </w:rPr>
        <w:t>势，这也给国内该市场的芯片供应商带来较大的挑战和不确定性。在平板电脑市场，国内芯片供应商面临着巨大的发展压力。</w:t>
      </w:r>
      <w:r>
        <w:rPr>
          <w:spacing w:val="-44"/>
        </w:rPr>
        <w:t> </w:t>
      </w:r>
      <w:r>
        <w:rPr>
          <w:spacing w:val="-44"/>
        </w:rPr>
      </w:r>
      <w:r>
        <w:rPr/>
        <w:t>由于软件兼容性问题，公司基本退出该市场。</w:t>
      </w:r>
    </w:p>
    <w:p>
      <w:pPr>
        <w:pStyle w:val="BodyText"/>
        <w:spacing w:line="314" w:lineRule="auto" w:before="62"/>
        <w:ind w:right="192" w:firstLine="360"/>
        <w:jc w:val="both"/>
      </w:pPr>
      <w:r>
        <w:rPr/>
        <w:t>教育电子市场，基于</w:t>
      </w:r>
      <w:r>
        <w:rPr>
          <w:rFonts w:ascii="Times New Roman" w:hAnsi="Times New Roman" w:cs="Times New Roman" w:eastAsia="Times New Roman" w:hint="default"/>
        </w:rPr>
        <w:t>Android</w:t>
      </w:r>
      <w:r>
        <w:rPr/>
        <w:t>操作系统的学生平板逐渐替代了学习机产品，成为教育电子市场的高端产品。对芯片产品 </w:t>
      </w:r>
      <w:r>
        <w:rPr>
          <w:spacing w:val="-2"/>
        </w:rPr>
        <w:t>的性能需求上，学生平板和普通消费类的平板电脑趋于一致，使得消费类市场平板电脑的芯片厂商逐渐将市场竞争带入教育</w:t>
      </w:r>
      <w:r>
        <w:rPr>
          <w:spacing w:val="-64"/>
        </w:rPr>
        <w:t> </w:t>
      </w:r>
      <w:r>
        <w:rPr>
          <w:spacing w:val="-64"/>
        </w:rPr>
      </w:r>
      <w:r>
        <w:rPr>
          <w:spacing w:val="-2"/>
        </w:rPr>
        <w:t>电子市场，导致教育平板市场中芯片产品的竞争也在不断加剧。由于公司基本退出普通消费类平板电脑市场，而教育电子作</w:t>
      </w:r>
      <w:r>
        <w:rPr>
          <w:spacing w:val="-66"/>
        </w:rPr>
        <w:t> </w:t>
      </w:r>
      <w:r>
        <w:rPr>
          <w:spacing w:val="-66"/>
        </w:rPr>
      </w:r>
      <w:r>
        <w:rPr>
          <w:spacing w:val="-2"/>
        </w:rPr>
        <w:t>为一个行业类市场，高端产品的市场容量有限，如果公司仅为满足教育电子的高端需求而进行新工艺产品的开发，将会带来</w:t>
      </w:r>
      <w:r>
        <w:rPr>
          <w:spacing w:val="-66"/>
        </w:rPr>
        <w:t> </w:t>
      </w:r>
      <w:r>
        <w:rPr>
          <w:spacing w:val="-66"/>
        </w:rPr>
      </w:r>
      <w:r>
        <w:rPr/>
        <w:t>成本无法收回的风险，因此，公司未继续跟进教育平板市场。</w:t>
      </w:r>
    </w:p>
    <w:p>
      <w:pPr>
        <w:pStyle w:val="BodyText"/>
        <w:spacing w:line="309" w:lineRule="auto" w:before="59"/>
        <w:ind w:right="191" w:firstLine="360"/>
        <w:jc w:val="both"/>
      </w:pPr>
      <w:r>
        <w:rPr>
          <w:spacing w:val="-2"/>
        </w:rPr>
        <w:t>报告期内，智能可穿戴设备持续成为市场热点，其产品出现多样化趋势，目前主要为手环、智能手表、智能眼镜等类产</w:t>
      </w:r>
      <w:r>
        <w:rPr/>
        <w:t> </w:t>
      </w:r>
      <w:r>
        <w:rPr>
          <w:spacing w:val="-2"/>
        </w:rPr>
        <w:t>品，其中智能眼镜尚未有规模销售，智能手表已于</w:t>
      </w:r>
      <w:r>
        <w:rPr>
          <w:rFonts w:ascii="Times New Roman" w:hAnsi="Times New Roman" w:cs="Times New Roman" w:eastAsia="Times New Roman" w:hint="default"/>
          <w:spacing w:val="-2"/>
        </w:rPr>
        <w:t>2013</w:t>
      </w:r>
      <w:r>
        <w:rPr>
          <w:spacing w:val="-2"/>
        </w:rPr>
        <w:t>年实现批量的市场销售，但受制于产品功能的创新性、客户黏性等因</w:t>
      </w:r>
      <w:r>
        <w:rPr>
          <w:spacing w:val="-62"/>
        </w:rPr>
        <w:t> </w:t>
      </w:r>
      <w:r>
        <w:rPr>
          <w:spacing w:val="-62"/>
        </w:rPr>
      </w:r>
      <w:r>
        <w:rPr/>
        <w:t>素，市场仍存在一定的不确定性。手环销量较大，但手环类产品因无法运行操作系统，尚不属于严格意义上的智能产品。</w:t>
      </w:r>
    </w:p>
    <w:p>
      <w:pPr>
        <w:pStyle w:val="BodyText"/>
        <w:spacing w:line="304" w:lineRule="auto" w:before="62"/>
        <w:ind w:right="191" w:firstLine="360"/>
        <w:jc w:val="both"/>
      </w:pPr>
      <w:r>
        <w:rPr/>
        <w:t>基于对未来市场的预期，国内外产业界巨头纷纷投入智能可穿戴设备市场。</w:t>
      </w:r>
      <w:r>
        <w:rPr>
          <w:rFonts w:ascii="Times New Roman" w:hAnsi="Times New Roman" w:cs="Times New Roman" w:eastAsia="Times New Roman" w:hint="default"/>
          <w:color w:val="333333"/>
        </w:rPr>
        <w:t>2014</w:t>
      </w:r>
      <w:r>
        <w:rPr>
          <w:color w:val="333333"/>
        </w:rPr>
        <w:t>年</w:t>
      </w:r>
      <w:r>
        <w:rPr>
          <w:rFonts w:ascii="Times New Roman" w:hAnsi="Times New Roman" w:cs="Times New Roman" w:eastAsia="Times New Roman" w:hint="default"/>
          <w:color w:val="333333"/>
        </w:rPr>
        <w:t>3</w:t>
      </w:r>
      <w:r>
        <w:rPr>
          <w:color w:val="333333"/>
        </w:rPr>
        <w:t>月，谷歌宣布了为智能手表打造的 全新智能平台</w:t>
      </w:r>
      <w:r>
        <w:rPr>
          <w:rFonts w:ascii="Times New Roman" w:hAnsi="Times New Roman" w:cs="Times New Roman" w:eastAsia="Times New Roman" w:hint="default"/>
          <w:color w:val="333333"/>
        </w:rPr>
        <w:t>Android</w:t>
      </w:r>
      <w:r>
        <w:rPr>
          <w:rFonts w:ascii="Times New Roman" w:hAnsi="Times New Roman" w:cs="Times New Roman" w:eastAsia="Times New Roman" w:hint="default"/>
          <w:color w:val="333333"/>
          <w:spacing w:val="-24"/>
        </w:rPr>
        <w:t> </w:t>
      </w:r>
      <w:r>
        <w:rPr>
          <w:rFonts w:ascii="Times New Roman" w:hAnsi="Times New Roman" w:cs="Times New Roman" w:eastAsia="Times New Roman" w:hint="default"/>
          <w:color w:val="333333"/>
          <w:spacing w:val="-3"/>
        </w:rPr>
        <w:t>Wear</w:t>
      </w:r>
      <w:r>
        <w:rPr>
          <w:color w:val="333333"/>
          <w:spacing w:val="-3"/>
        </w:rPr>
        <w:t>。</w:t>
      </w:r>
      <w:r>
        <w:rPr>
          <w:rFonts w:ascii="Times New Roman" w:hAnsi="Times New Roman" w:cs="Times New Roman" w:eastAsia="Times New Roman" w:hint="default"/>
          <w:color w:val="333333"/>
          <w:spacing w:val="-3"/>
        </w:rPr>
        <w:t>Android</w:t>
      </w:r>
      <w:r>
        <w:rPr>
          <w:rFonts w:ascii="Times New Roman" w:hAnsi="Times New Roman" w:cs="Times New Roman" w:eastAsia="Times New Roman" w:hint="default"/>
          <w:color w:val="333333"/>
          <w:spacing w:val="-24"/>
        </w:rPr>
        <w:t> </w:t>
      </w:r>
      <w:r>
        <w:rPr>
          <w:rFonts w:ascii="Times New Roman" w:hAnsi="Times New Roman" w:cs="Times New Roman" w:eastAsia="Times New Roman" w:hint="default"/>
          <w:color w:val="333333"/>
        </w:rPr>
        <w:t>Wear</w:t>
      </w:r>
      <w:r>
        <w:rPr>
          <w:color w:val="333333"/>
        </w:rPr>
        <w:t>的推出促进了智能可穿戴设备市场的发展。苹果公司于</w:t>
      </w:r>
      <w:r>
        <w:rPr>
          <w:rFonts w:ascii="Times New Roman" w:hAnsi="Times New Roman" w:cs="Times New Roman" w:eastAsia="Times New Roman" w:hint="default"/>
          <w:color w:val="333333"/>
        </w:rPr>
        <w:t>2014</w:t>
      </w:r>
      <w:r>
        <w:rPr>
          <w:color w:val="333333"/>
        </w:rPr>
        <w:t>年</w:t>
      </w:r>
      <w:r>
        <w:rPr>
          <w:rFonts w:ascii="Times New Roman" w:hAnsi="Times New Roman" w:cs="Times New Roman" w:eastAsia="Times New Roman" w:hint="default"/>
          <w:color w:val="333333"/>
        </w:rPr>
        <w:t>9</w:t>
      </w:r>
      <w:r>
        <w:rPr>
          <w:color w:val="333333"/>
        </w:rPr>
        <w:t>月发布了其智能手</w:t>
      </w:r>
      <w:r>
        <w:rPr>
          <w:color w:val="333333"/>
          <w:w w:val="99"/>
        </w:rPr>
        <w:t> </w:t>
      </w:r>
      <w:r>
        <w:rPr>
          <w:color w:val="333333"/>
          <w:spacing w:val="-2"/>
        </w:rPr>
        <w:t>表产品，并预计于</w:t>
      </w:r>
      <w:r>
        <w:rPr>
          <w:rFonts w:ascii="Times New Roman" w:hAnsi="Times New Roman" w:cs="Times New Roman" w:eastAsia="Times New Roman" w:hint="default"/>
          <w:color w:val="333333"/>
          <w:spacing w:val="-2"/>
        </w:rPr>
        <w:t>2015</w:t>
      </w:r>
      <w:r>
        <w:rPr>
          <w:color w:val="333333"/>
          <w:spacing w:val="-2"/>
        </w:rPr>
        <w:t>年上半年推向市场。作为智能设备市场的重要引领者，苹果公司智能穿戴设备的推出，将给市场带来</w:t>
      </w:r>
      <w:r>
        <w:rPr>
          <w:color w:val="333333"/>
          <w:spacing w:val="-63"/>
        </w:rPr>
        <w:t> </w:t>
      </w:r>
      <w:r>
        <w:rPr>
          <w:color w:val="333333"/>
          <w:spacing w:val="-63"/>
        </w:rPr>
      </w:r>
      <w:r>
        <w:rPr>
          <w:color w:val="333333"/>
          <w:spacing w:val="-2"/>
        </w:rPr>
        <w:t>较大的推动作用。公司在可穿戴设备市场积极布局，公司产品超低功耗的特点在该市场具有突出优势，智能可穿戴设备市场</w:t>
      </w:r>
      <w:r>
        <w:rPr>
          <w:color w:val="333333"/>
          <w:spacing w:val="-67"/>
        </w:rPr>
        <w:t> </w:t>
      </w:r>
      <w:r>
        <w:rPr>
          <w:color w:val="333333"/>
          <w:spacing w:val="-67"/>
        </w:rPr>
      </w:r>
      <w:r>
        <w:rPr>
          <w:color w:val="333333"/>
        </w:rPr>
        <w:t>的发展有望为公司带来新的市场机遇。</w:t>
      </w:r>
      <w:r>
        <w:rPr/>
      </w:r>
    </w:p>
    <w:p>
      <w:pPr>
        <w:pStyle w:val="BodyText"/>
        <w:spacing w:line="307" w:lineRule="auto" w:before="67"/>
        <w:ind w:right="93" w:firstLine="360"/>
        <w:jc w:val="left"/>
      </w:pPr>
      <w:r>
        <w:rPr>
          <w:rFonts w:ascii="Times New Roman" w:hAnsi="Times New Roman" w:cs="Times New Roman" w:eastAsia="Times New Roman" w:hint="default"/>
          <w:color w:val="333333"/>
          <w:spacing w:val="-2"/>
        </w:rPr>
        <w:t>2014</w:t>
      </w:r>
      <w:r>
        <w:rPr>
          <w:color w:val="333333"/>
          <w:spacing w:val="-2"/>
        </w:rPr>
        <w:t>年电子产品市场越来越呈现多样化特点，应用于各个领域的各种智能类产品不断涌现，与以往</w:t>
      </w:r>
      <w:r>
        <w:rPr>
          <w:rFonts w:ascii="Times New Roman" w:hAnsi="Times New Roman" w:cs="Times New Roman" w:eastAsia="Times New Roman" w:hint="default"/>
          <w:color w:val="333333"/>
          <w:spacing w:val="-2"/>
        </w:rPr>
        <w:t>MP4</w:t>
      </w:r>
      <w:r>
        <w:rPr>
          <w:color w:val="333333"/>
          <w:spacing w:val="-2"/>
        </w:rPr>
        <w:t>、平板电脑等时</w:t>
      </w:r>
      <w:r>
        <w:rPr>
          <w:color w:val="333333"/>
        </w:rPr>
        <w:t> 期一类产品主导整个消费电子市场的特点有所不同。这一发展趋势将为电子市场带来更多的发展机会。在各类产品领域中， </w:t>
      </w:r>
      <w:r>
        <w:rPr>
          <w:spacing w:val="-2"/>
        </w:rPr>
        <w:t>物联网、智能家居、安防监控等应用领域受到市场越来越多的关注，公司在</w:t>
      </w:r>
      <w:r>
        <w:rPr>
          <w:rFonts w:ascii="Times New Roman" w:hAnsi="Times New Roman" w:cs="Times New Roman" w:eastAsia="Times New Roman" w:hint="default"/>
          <w:spacing w:val="-2"/>
        </w:rPr>
        <w:t>2014</w:t>
      </w:r>
      <w:r>
        <w:rPr>
          <w:spacing w:val="-2"/>
        </w:rPr>
        <w:t>年陆续推出多个开发平台，希望籍此抓住更</w:t>
      </w:r>
      <w:r>
        <w:rPr>
          <w:spacing w:val="-62"/>
        </w:rPr>
        <w:t> </w:t>
      </w:r>
      <w:r>
        <w:rPr>
          <w:spacing w:val="-62"/>
        </w:rPr>
      </w:r>
      <w:r>
        <w:rPr/>
        <w:t>多的市场机会。</w:t>
      </w:r>
    </w:p>
    <w:p>
      <w:pPr>
        <w:pStyle w:val="BodyText"/>
        <w:spacing w:line="309" w:lineRule="auto" w:before="64"/>
        <w:ind w:right="43" w:firstLine="360"/>
        <w:jc w:val="left"/>
      </w:pPr>
      <w:r>
        <w:rPr>
          <w:spacing w:val="-5"/>
        </w:rPr>
        <w:t>国内产业政策方面，为加快推进国内集成电路产业发展，</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6</w:t>
      </w:r>
      <w:r>
        <w:rPr>
          <w:spacing w:val="-5"/>
        </w:rPr>
        <w:t>月，国务院印发了《国家集成电路产业发展推进纲要》。</w:t>
      </w:r>
      <w:r>
        <w:rPr/>
        <w:t> </w:t>
      </w:r>
      <w:r>
        <w:rPr>
          <w:spacing w:val="-2"/>
        </w:rPr>
        <w:t>集成电路产业是信息技术产业的核心，国家对自主知识产权核心技术的重视和对国家信息安全的需要，将促使国内芯片产业</w:t>
      </w:r>
      <w:r>
        <w:rPr>
          <w:spacing w:val="-63"/>
        </w:rPr>
        <w:t> </w:t>
      </w:r>
      <w:r>
        <w:rPr>
          <w:spacing w:val="-63"/>
        </w:rPr>
      </w:r>
      <w:r>
        <w:rPr>
          <w:spacing w:val="-2"/>
        </w:rPr>
        <w:t>的进一步发展。</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月，在工信部、财政部的指导下，国家集成电路产业投资基金正式设立，该基金将在集成电路制造、</w:t>
      </w:r>
      <w:r>
        <w:rPr>
          <w:spacing w:val="-60"/>
        </w:rPr>
        <w:t> </w:t>
      </w:r>
      <w:r>
        <w:rPr>
          <w:spacing w:val="-60"/>
        </w:rPr>
      </w:r>
      <w:r>
        <w:rPr>
          <w:spacing w:val="-2"/>
        </w:rPr>
        <w:t>设计、封装、设备等领域进行投资，加速开展对中国集成电路产业链的全面布局，与此同时，各地地方集成电路扶持基金也</w:t>
      </w:r>
      <w:r>
        <w:rPr>
          <w:spacing w:val="-67"/>
        </w:rPr>
        <w:t> </w:t>
      </w:r>
      <w:r>
        <w:rPr>
          <w:spacing w:val="-67"/>
        </w:rPr>
      </w:r>
      <w:r>
        <w:rPr/>
        <w:t>密集出台。集成电路产业投资基金的设立将有力推动中国集成电路产业的发展，给产业内企业带来普遍的政策利好。</w:t>
      </w:r>
    </w:p>
    <w:p>
      <w:pPr>
        <w:pStyle w:val="Heading4"/>
        <w:spacing w:line="240" w:lineRule="auto" w:before="64"/>
        <w:ind w:right="43"/>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年经营计划</w:t>
      </w:r>
      <w:r>
        <w:rPr>
          <w:b w:val="0"/>
          <w:bCs w:val="0"/>
        </w:rPr>
      </w:r>
    </w:p>
    <w:p>
      <w:pPr>
        <w:pStyle w:val="BodyText"/>
        <w:spacing w:line="302" w:lineRule="auto" w:before="102"/>
        <w:ind w:right="43" w:firstLine="360"/>
        <w:jc w:val="left"/>
      </w:pPr>
      <w:r>
        <w:rPr>
          <w:rFonts w:ascii="Times New Roman" w:hAnsi="Times New Roman" w:cs="Times New Roman" w:eastAsia="Times New Roman" w:hint="default"/>
          <w:spacing w:val="-4"/>
        </w:rPr>
        <w:t>2015</w:t>
      </w:r>
      <w:r>
        <w:rPr>
          <w:spacing w:val="-4"/>
        </w:rPr>
        <w:t>年公司将继续加大研发投入，坚持核心技术的研发，坚持技术创新，不断完善公司的经营管理水平和市场拓展能力，</w:t>
      </w:r>
      <w:r>
        <w:rPr/>
        <w:t> 努力抓住新兴市场机会，根据市场的发展情况及时进行市场策略的调整，不断寻求新的应用领域。</w:t>
      </w:r>
    </w:p>
    <w:p>
      <w:pPr>
        <w:pStyle w:val="BodyText"/>
        <w:spacing w:line="240" w:lineRule="auto" w:before="69"/>
        <w:ind w:left="513" w:right="43"/>
        <w:jc w:val="left"/>
      </w:pPr>
      <w:r>
        <w:rPr/>
        <w:t>具体来说，公司</w:t>
      </w:r>
      <w:r>
        <w:rPr>
          <w:rFonts w:ascii="Times New Roman" w:hAnsi="Times New Roman" w:cs="Times New Roman" w:eastAsia="Times New Roman" w:hint="default"/>
        </w:rPr>
        <w:t>2015</w:t>
      </w:r>
      <w:r>
        <w:rPr/>
        <w:t>年经营计划如下：</w:t>
      </w:r>
    </w:p>
    <w:p>
      <w:pPr>
        <w:pStyle w:val="BodyText"/>
        <w:spacing w:line="338" w:lineRule="auto" w:before="102"/>
        <w:ind w:left="513" w:right="253"/>
        <w:jc w:val="left"/>
      </w:pPr>
      <w:r>
        <w:rPr/>
        <w:t>（</w:t>
      </w:r>
      <w:r>
        <w:rPr>
          <w:rFonts w:ascii="Times New Roman" w:hAnsi="Times New Roman" w:cs="Times New Roman" w:eastAsia="Times New Roman" w:hint="default"/>
        </w:rPr>
        <w:t>1</w:t>
      </w:r>
      <w:r>
        <w:rPr/>
        <w:t>）继续推动核心技术的开发和技术创新 公司将继续推进下一代</w:t>
      </w:r>
      <w:r>
        <w:rPr>
          <w:rFonts w:ascii="Times New Roman" w:hAnsi="Times New Roman" w:cs="Times New Roman" w:eastAsia="Times New Roman" w:hint="default"/>
        </w:rPr>
        <w:t>CPU</w:t>
      </w:r>
      <w:r>
        <w:rPr/>
        <w:t>核</w:t>
      </w:r>
      <w:r>
        <w:rPr>
          <w:rFonts w:ascii="Times New Roman" w:hAnsi="Times New Roman" w:cs="Times New Roman" w:eastAsia="Times New Roman" w:hint="default"/>
        </w:rPr>
        <w:t>Xburst2</w:t>
      </w:r>
      <w:r>
        <w:rPr/>
        <w:t>的研发。由于</w:t>
      </w:r>
      <w:r>
        <w:rPr>
          <w:rFonts w:ascii="Times New Roman" w:hAnsi="Times New Roman" w:cs="Times New Roman" w:eastAsia="Times New Roman" w:hint="default"/>
        </w:rPr>
        <w:t>CPU</w:t>
      </w:r>
      <w:r>
        <w:rPr/>
        <w:t>核的研发复杂度较高，技术难度较大，研发所需的时间跨度较</w:t>
      </w:r>
    </w:p>
    <w:p>
      <w:pPr>
        <w:pStyle w:val="BodyText"/>
        <w:spacing w:line="230" w:lineRule="exact"/>
        <w:ind w:right="43"/>
        <w:jc w:val="left"/>
      </w:pPr>
      <w:r>
        <w:rPr>
          <w:spacing w:val="-2"/>
        </w:rPr>
        <w:t>长，公司将加快进行研发工作，预计于</w:t>
      </w:r>
      <w:r>
        <w:rPr>
          <w:rFonts w:ascii="Times New Roman" w:hAnsi="Times New Roman" w:cs="Times New Roman" w:eastAsia="Times New Roman" w:hint="default"/>
          <w:spacing w:val="-2"/>
        </w:rPr>
        <w:t>2015</w:t>
      </w:r>
      <w:r>
        <w:rPr>
          <w:spacing w:val="-2"/>
        </w:rPr>
        <w:t>年初步完成</w:t>
      </w:r>
      <w:r>
        <w:rPr>
          <w:rFonts w:ascii="Times New Roman" w:hAnsi="Times New Roman" w:cs="Times New Roman" w:eastAsia="Times New Roman" w:hint="default"/>
          <w:spacing w:val="-2"/>
        </w:rPr>
        <w:t>Xburst2</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1"/>
        </w:rPr>
        <w:t>CPU</w:t>
      </w:r>
      <w:r>
        <w:rPr>
          <w:spacing w:val="-1"/>
        </w:rPr>
        <w:t>核的研发。公司将坚持自主知识产权的核心技术的研发，</w:t>
      </w:r>
    </w:p>
    <w:p>
      <w:pPr>
        <w:pStyle w:val="BodyText"/>
        <w:spacing w:line="357" w:lineRule="auto" w:before="64"/>
        <w:ind w:left="513" w:right="43" w:hanging="360"/>
        <w:jc w:val="left"/>
      </w:pPr>
      <w:r>
        <w:rPr/>
        <w:t>不断推动技术创新，加强公司低功耗技术的领先性，使公司在技术研发中不断缩短和业界先进技术的差距。 </w:t>
      </w:r>
      <w:r>
        <w:rPr>
          <w:spacing w:val="-2"/>
        </w:rPr>
        <w:t>公司将继续加强知识产权方面的工作，完善在专利申请方面存在的不足，提高专利申请的数量和及时性，提高公司的知</w:t>
      </w:r>
    </w:p>
    <w:p>
      <w:pPr>
        <w:pStyle w:val="BodyText"/>
        <w:spacing w:line="225" w:lineRule="exact"/>
        <w:ind w:right="43"/>
        <w:jc w:val="left"/>
      </w:pPr>
      <w:r>
        <w:rPr/>
        <w:t>识产权储备。</w:t>
      </w:r>
    </w:p>
    <w:p>
      <w:pPr>
        <w:pStyle w:val="BodyText"/>
        <w:spacing w:line="338" w:lineRule="auto" w:before="116"/>
        <w:ind w:left="513" w:right="43"/>
        <w:jc w:val="left"/>
      </w:pPr>
      <w:r>
        <w:rPr/>
        <w:t>（</w:t>
      </w:r>
      <w:r>
        <w:rPr>
          <w:rFonts w:ascii="Times New Roman" w:hAnsi="Times New Roman" w:cs="Times New Roman" w:eastAsia="Times New Roman" w:hint="default"/>
        </w:rPr>
        <w:t>2</w:t>
      </w:r>
      <w:r>
        <w:rPr/>
        <w:t>）根据市场需求展开新产品的研发工作 </w:t>
      </w:r>
      <w:r>
        <w:rPr>
          <w:spacing w:val="-2"/>
        </w:rPr>
        <w:t>公司将针对物联网、智能可穿戴设备以及其他市场产品的需求情况，进行下一代芯片产品的规划和开发，继续优化和完</w:t>
      </w:r>
    </w:p>
    <w:p>
      <w:pPr>
        <w:pStyle w:val="BodyText"/>
        <w:spacing w:line="240" w:lineRule="auto" w:before="4"/>
        <w:ind w:right="43"/>
        <w:jc w:val="left"/>
      </w:pPr>
      <w:r>
        <w:rPr/>
        <w:t>善公司针对大市场的</w:t>
      </w:r>
      <w:r>
        <w:rPr>
          <w:rFonts w:ascii="Times New Roman" w:hAnsi="Times New Roman" w:cs="Times New Roman" w:eastAsia="Times New Roman" w:hint="default"/>
        </w:rPr>
        <w:t>turnkey</w:t>
      </w:r>
      <w:r>
        <w:rPr/>
        <w:t>方案，并针对新产品和新的应用领域，展开相应的方案研发。</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3" w:right="43"/>
        <w:jc w:val="left"/>
      </w:pPr>
      <w:r>
        <w:rPr/>
        <w:t>（</w:t>
      </w:r>
      <w:r>
        <w:rPr>
          <w:rFonts w:ascii="Times New Roman" w:hAnsi="Times New Roman" w:cs="Times New Roman" w:eastAsia="Times New Roman" w:hint="default"/>
        </w:rPr>
        <w:t>3</w:t>
      </w:r>
      <w:r>
        <w:rPr/>
        <w:t>）加强市场拓展工作，保障重点市场的开拓</w:t>
      </w:r>
    </w:p>
    <w:p>
      <w:pPr>
        <w:pStyle w:val="BodyText"/>
        <w:spacing w:line="309" w:lineRule="auto" w:before="101"/>
        <w:ind w:right="43" w:firstLine="360"/>
        <w:jc w:val="left"/>
      </w:pPr>
      <w:r>
        <w:rPr>
          <w:rFonts w:ascii="Times New Roman" w:hAnsi="Times New Roman" w:cs="Times New Roman" w:eastAsia="Times New Roman" w:hint="default"/>
          <w:spacing w:val="-2"/>
        </w:rPr>
        <w:t>2014</w:t>
      </w:r>
      <w:r>
        <w:rPr>
          <w:spacing w:val="-2"/>
        </w:rPr>
        <w:t>年公司将智能可穿戴设备作为一个重点市场领域，积极进行拓展。</w:t>
      </w:r>
      <w:r>
        <w:rPr>
          <w:rFonts w:ascii="Times New Roman" w:hAnsi="Times New Roman" w:cs="Times New Roman" w:eastAsia="Times New Roman" w:hint="default"/>
          <w:spacing w:val="-2"/>
        </w:rPr>
        <w:t>2015</w:t>
      </w:r>
      <w:r>
        <w:rPr>
          <w:spacing w:val="-2"/>
        </w:rPr>
        <w:t>年，公司将根据该市场发展的需要，调动更</w:t>
      </w:r>
      <w:r>
        <w:rPr/>
        <w:t> </w:t>
      </w:r>
      <w:r>
        <w:rPr>
          <w:spacing w:val="-2"/>
        </w:rPr>
        <w:t>多的技术力量和市场力量，更好地对该市场进行布局和推广。同时，鉴于可穿戴设备市场的发展情况仍然存在一定的不确定</w:t>
      </w:r>
      <w:r>
        <w:rPr>
          <w:spacing w:val="-66"/>
        </w:rPr>
        <w:t> </w:t>
      </w:r>
      <w:r>
        <w:rPr>
          <w:spacing w:val="-66"/>
        </w:rPr>
      </w:r>
      <w:r>
        <w:rPr/>
        <w:t>性，公司也将密切关注其他市场，例如智能物联网、智能家居、</w:t>
      </w:r>
      <w:r>
        <w:rPr>
          <w:rFonts w:ascii="Times New Roman" w:hAnsi="Times New Roman" w:cs="Times New Roman" w:eastAsia="Times New Roman" w:hint="default"/>
        </w:rPr>
        <w:t>WIFI</w:t>
      </w:r>
      <w:r>
        <w:rPr/>
        <w:t>音响、安防监控等，努力寻求新的应用领域。在市场 </w:t>
      </w:r>
      <w:r>
        <w:rPr>
          <w:spacing w:val="-2"/>
        </w:rPr>
        <w:t>宣传方面，公司将通过展会、自媒体、论坛等各种方式进行产品的宣传和推广，提高公司产品在业内的知名度，推动公司产</w:t>
      </w:r>
      <w:r>
        <w:rPr>
          <w:spacing w:val="-66"/>
        </w:rPr>
        <w:t> </w:t>
      </w:r>
      <w:r>
        <w:rPr>
          <w:spacing w:val="-66"/>
        </w:rPr>
      </w:r>
      <w:r>
        <w:rPr/>
        <w:t>品在各个领域的应用。</w:t>
      </w:r>
    </w:p>
    <w:p>
      <w:pPr>
        <w:pStyle w:val="BodyText"/>
        <w:spacing w:line="338" w:lineRule="auto" w:before="65"/>
        <w:ind w:left="513" w:right="43"/>
        <w:jc w:val="left"/>
      </w:pPr>
      <w:r>
        <w:rPr/>
        <w:t>（</w:t>
      </w:r>
      <w:r>
        <w:rPr>
          <w:rFonts w:ascii="Times New Roman" w:hAnsi="Times New Roman" w:cs="Times New Roman" w:eastAsia="Times New Roman" w:hint="default"/>
        </w:rPr>
        <w:t>4</w:t>
      </w:r>
      <w:r>
        <w:rPr/>
        <w:t>）加强公司管理水平和人才队伍建设 </w:t>
      </w:r>
      <w:r>
        <w:rPr>
          <w:spacing w:val="-2"/>
        </w:rPr>
        <w:t>随着公司业务的发展和子公司数量的增加，公司的管理水平需要不断提高。公司将加强管理人员的学习和培训，不断完</w:t>
      </w:r>
    </w:p>
    <w:p>
      <w:pPr>
        <w:pStyle w:val="BodyText"/>
        <w:spacing w:line="319" w:lineRule="auto" w:before="2"/>
        <w:ind w:right="93"/>
        <w:jc w:val="left"/>
      </w:pPr>
      <w:r>
        <w:rPr/>
        <w:t>善管理制度，加强对控股公司的监督和管理，提高公司的总体管理水平，同时，也将进一步加强各子公司的人才队伍建设， 以顺利展开业务经营活动。</w:t>
      </w:r>
    </w:p>
    <w:p>
      <w:pPr>
        <w:pStyle w:val="BodyText"/>
        <w:spacing w:line="338" w:lineRule="auto" w:before="56"/>
        <w:ind w:left="514" w:right="43"/>
        <w:jc w:val="left"/>
      </w:pPr>
      <w:r>
        <w:rPr/>
        <w:t>（</w:t>
      </w:r>
      <w:r>
        <w:rPr>
          <w:rFonts w:ascii="Times New Roman" w:hAnsi="Times New Roman" w:cs="Times New Roman" w:eastAsia="Times New Roman" w:hint="default"/>
        </w:rPr>
        <w:t>5</w:t>
      </w:r>
      <w:r>
        <w:rPr/>
        <w:t>）加强产业投资方面的工作，推动公司的整体发展 </w:t>
      </w:r>
      <w:r>
        <w:rPr>
          <w:spacing w:val="-2"/>
        </w:rPr>
        <w:t>为更好地促进公司的总体发展，公司将在努力进行内生式发展的基础上，积极寻求产业投资机会，通过并购基金和直接</w:t>
      </w:r>
    </w:p>
    <w:p>
      <w:pPr>
        <w:pStyle w:val="BodyText"/>
        <w:spacing w:line="240" w:lineRule="auto" w:before="4"/>
        <w:ind w:left="154" w:right="43"/>
        <w:jc w:val="left"/>
      </w:pPr>
      <w:r>
        <w:rPr/>
        <w:t>参控股被投资企业等方式，加强产业融合，推动公司的整体发展。</w:t>
      </w:r>
    </w:p>
    <w:p>
      <w:pPr>
        <w:pStyle w:val="BodyText"/>
        <w:spacing w:line="338" w:lineRule="auto" w:before="116"/>
        <w:ind w:left="514" w:right="43"/>
        <w:jc w:val="left"/>
      </w:pPr>
      <w:r>
        <w:rPr/>
        <w:t>（</w:t>
      </w:r>
      <w:r>
        <w:rPr>
          <w:rFonts w:ascii="Times New Roman" w:hAnsi="Times New Roman" w:cs="Times New Roman" w:eastAsia="Times New Roman" w:hint="default"/>
        </w:rPr>
        <w:t>6</w:t>
      </w:r>
      <w:r>
        <w:rPr/>
        <w:t>）完成合肥君正研发办公楼用地的手续办理 </w:t>
      </w:r>
      <w:r>
        <w:rPr>
          <w:spacing w:val="-2"/>
        </w:rPr>
        <w:t>根据超募资金投资成立合肥君正的资金使用计划，公司将在合肥高新技术产业区进行合肥君正研发办公楼的建设。公司</w:t>
      </w:r>
    </w:p>
    <w:p>
      <w:pPr>
        <w:pStyle w:val="BodyText"/>
        <w:spacing w:line="338" w:lineRule="auto" w:before="4"/>
        <w:ind w:left="513" w:right="93" w:hanging="360"/>
        <w:jc w:val="left"/>
      </w:pPr>
      <w:r>
        <w:rPr/>
        <w:t>将于</w:t>
      </w:r>
      <w:r>
        <w:rPr>
          <w:rFonts w:ascii="Times New Roman" w:hAnsi="Times New Roman" w:cs="Times New Roman" w:eastAsia="Times New Roman" w:hint="default"/>
        </w:rPr>
        <w:t>2015</w:t>
      </w:r>
      <w:r>
        <w:rPr/>
        <w:t>年完成购买土地使用权的审批手续，并根据地方政府的要求和公司的具体需求情况，择机展开办公楼的建设工作。 </w:t>
      </w:r>
      <w:r>
        <w:rPr>
          <w:spacing w:val="-2"/>
        </w:rPr>
        <w:t>上述公司经营计划并不构成公司对投资者的业绩承诺，提示投资者对此保持足够的风险意识，并且应当理解经营计划与</w:t>
      </w:r>
    </w:p>
    <w:p>
      <w:pPr>
        <w:pStyle w:val="BodyText"/>
        <w:spacing w:line="240" w:lineRule="auto" w:before="4"/>
        <w:ind w:right="43"/>
        <w:jc w:val="left"/>
      </w:pPr>
      <w:r>
        <w:rPr/>
        <w:t>业绩承诺之间的差异。</w:t>
      </w:r>
    </w:p>
    <w:p>
      <w:pPr>
        <w:spacing w:line="240" w:lineRule="auto" w:before="13"/>
        <w:rPr>
          <w:rFonts w:ascii="宋体" w:hAnsi="宋体" w:cs="宋体" w:eastAsia="宋体" w:hint="default"/>
          <w:sz w:val="24"/>
          <w:szCs w:val="24"/>
        </w:rPr>
      </w:pPr>
    </w:p>
    <w:p>
      <w:pPr>
        <w:pStyle w:val="Heading2"/>
        <w:spacing w:line="240" w:lineRule="auto"/>
        <w:ind w:right="43"/>
        <w:jc w:val="left"/>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3"/>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3"/>
        <w:jc w:val="left"/>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43"/>
        <w:jc w:val="left"/>
      </w:pPr>
      <w:r>
        <w:rPr/>
        <w:t>报告期内利润分配政策特别是现金分红政策的制定、执行或调整情况</w:t>
      </w:r>
    </w:p>
    <w:p>
      <w:pPr>
        <w:pStyle w:val="BodyText"/>
        <w:spacing w:line="240" w:lineRule="auto" w:before="116"/>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43"/>
        <w:jc w:val="left"/>
      </w:pPr>
      <w:r>
        <w:rPr/>
        <w:t>报告期内，公司按照《公司章程》和分红管理办法等相关规定执行了现金分红政策，实施了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年度利润分配方案。</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6499"/>
        <w:gridCol w:w="3059"/>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2"/>
        <w:ind w:left="154" w:right="43"/>
        <w:jc w:val="left"/>
      </w:pPr>
      <w:r>
        <w:rPr/>
        <w:t>公司报告期利润分配预案及资本公积金转增股本预案与公司章程和分红管理办法等的相关规定一致</w:t>
      </w:r>
    </w:p>
    <w:p>
      <w:pPr>
        <w:pStyle w:val="BodyText"/>
        <w:spacing w:line="240" w:lineRule="auto" w:before="116"/>
        <w:ind w:right="4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57" w:lineRule="auto" w:before="44"/>
        <w:ind w:right="3333"/>
        <w:jc w:val="left"/>
      </w:pPr>
      <w:r>
        <w:rPr/>
        <w:t>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139,478,450.73</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7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经北京兴华会计师事务所（特殊普通合伙）出具的（</w:t>
            </w:r>
            <w:r>
              <w:rPr>
                <w:rFonts w:ascii="Times New Roman" w:hAnsi="Times New Roman" w:cs="Times New Roman" w:eastAsia="Times New Roman" w:hint="default"/>
                <w:sz w:val="18"/>
                <w:szCs w:val="18"/>
              </w:rPr>
              <w:t>2015</w:t>
            </w:r>
            <w:r>
              <w:rPr>
                <w:rFonts w:ascii="宋体" w:hAnsi="宋体" w:cs="宋体" w:eastAsia="宋体" w:hint="default"/>
                <w:sz w:val="18"/>
                <w:szCs w:val="18"/>
              </w:rPr>
              <w:t>）京会兴审字第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01010037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宋体" w:hAnsi="宋体" w:cs="宋体" w:eastAsia="宋体" w:hint="default"/>
                <w:sz w:val="18"/>
                <w:szCs w:val="18"/>
              </w:rPr>
              <w:t>《审计报告</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母公司实现净利润</w:t>
            </w:r>
            <w:r>
              <w:rPr>
                <w:rFonts w:ascii="Times New Roman" w:hAnsi="Times New Roman" w:cs="Times New Roman" w:eastAsia="Times New Roman" w:hint="default"/>
                <w:sz w:val="18"/>
                <w:szCs w:val="18"/>
              </w:rPr>
              <w:t>-6,897,584.83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日，公司资本公积金为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795,817,178.85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2"/>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由于公司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年度经营亏损，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年度拟不派发现金红利；同时，公司拟以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万股为基数，以资本公积金向全体股东每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股，合计转增股本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r>
    </w:tbl>
    <w:p>
      <w:pPr>
        <w:pStyle w:val="BodyText"/>
        <w:spacing w:line="319" w:lineRule="auto" w:before="68"/>
        <w:ind w:right="4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2014</w:t>
      </w:r>
      <w:r>
        <w:rPr>
          <w:spacing w:val="-1"/>
        </w:rPr>
        <w:t>年利润分配方案：以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10,400</w:t>
      </w:r>
      <w:r>
        <w:rPr>
          <w:spacing w:val="-1"/>
        </w:rPr>
        <w:t>万股为基数，以资本公积金向全体股东每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6</w:t>
      </w:r>
      <w:r>
        <w:rPr>
          <w:spacing w:val="-1"/>
        </w:rPr>
        <w:t>股，合计</w:t>
      </w:r>
      <w:r>
        <w:rPr>
          <w:spacing w:val="-67"/>
        </w:rPr>
        <w:t> </w:t>
      </w:r>
      <w:r>
        <w:rPr>
          <w:spacing w:val="-67"/>
        </w:rPr>
      </w:r>
      <w:r>
        <w:rPr/>
        <w:t>转增股本</w:t>
      </w:r>
      <w:r>
        <w:rPr>
          <w:rFonts w:ascii="Times New Roman" w:hAnsi="Times New Roman" w:cs="Times New Roman" w:eastAsia="Times New Roman" w:hint="default"/>
        </w:rPr>
        <w:t>6,240</w:t>
      </w:r>
      <w:r>
        <w:rPr/>
        <w:t>万股；</w:t>
      </w:r>
      <w:r>
        <w:rPr>
          <w:rFonts w:ascii="Times New Roman" w:hAnsi="Times New Roman" w:cs="Times New Roman" w:eastAsia="Times New Roman" w:hint="default"/>
        </w:rPr>
        <w:t>2014</w:t>
      </w:r>
      <w:r>
        <w:rPr/>
        <w:t>年度不派发现金红利。</w:t>
      </w:r>
    </w:p>
    <w:p>
      <w:pPr>
        <w:pStyle w:val="BodyText"/>
        <w:spacing w:line="319" w:lineRule="auto" w:before="35"/>
        <w:ind w:right="43"/>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2013</w:t>
      </w:r>
      <w:r>
        <w:rPr>
          <w:spacing w:val="-1"/>
        </w:rPr>
        <w:t>年利润分配方案：以</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10,400</w:t>
      </w:r>
      <w:r>
        <w:rPr>
          <w:spacing w:val="-1"/>
        </w:rPr>
        <w:t>万股为基数，按每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w:t>
      </w:r>
      <w:r>
        <w:rPr>
          <w:spacing w:val="-1"/>
        </w:rPr>
        <w:t>元（含税），共分配现</w:t>
      </w:r>
      <w:r>
        <w:rPr>
          <w:spacing w:val="-65"/>
        </w:rPr>
        <w:t> </w:t>
      </w:r>
      <w:r>
        <w:rPr>
          <w:spacing w:val="-65"/>
        </w:rPr>
      </w:r>
      <w:r>
        <w:rPr/>
        <w:t>金股利</w:t>
      </w:r>
      <w:r>
        <w:rPr>
          <w:rFonts w:ascii="Times New Roman" w:hAnsi="Times New Roman" w:cs="Times New Roman" w:eastAsia="Times New Roman" w:hint="default"/>
        </w:rPr>
        <w:t>1,040.00</w:t>
      </w:r>
      <w:r>
        <w:rPr/>
        <w:t>万元（含税），剩余未分配利润结转以后年度。 </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2012</w:t>
      </w:r>
      <w:r>
        <w:rPr>
          <w:spacing w:val="-1"/>
        </w:rPr>
        <w:t>年利润分配方案：以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10,400</w:t>
      </w:r>
      <w:r>
        <w:rPr>
          <w:spacing w:val="-1"/>
        </w:rPr>
        <w:t>万股为基数，按每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3</w:t>
      </w:r>
      <w:r>
        <w:rPr>
          <w:spacing w:val="-1"/>
        </w:rPr>
        <w:t>元（含税），共分配现</w:t>
      </w:r>
    </w:p>
    <w:p>
      <w:pPr>
        <w:pStyle w:val="BodyText"/>
        <w:spacing w:line="338" w:lineRule="auto"/>
        <w:ind w:left="154" w:right="4862"/>
        <w:jc w:val="left"/>
      </w:pPr>
      <w:r>
        <w:rPr/>
        <w:t>金股利</w:t>
      </w:r>
      <w:r>
        <w:rPr>
          <w:rFonts w:ascii="Times New Roman" w:hAnsi="Times New Roman" w:cs="Times New Roman" w:eastAsia="Times New Roman" w:hint="default"/>
        </w:rPr>
        <w:t>3,120.00</w:t>
      </w:r>
      <w:r>
        <w:rPr/>
        <w:t>万元（含税），剩余未分配利润结转以后年度。 公司近三年现金分红情况表</w:t>
      </w:r>
    </w:p>
    <w:p>
      <w:pPr>
        <w:pStyle w:val="BodyText"/>
        <w:spacing w:line="240" w:lineRule="auto" w:before="42"/>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016"/>
        <w:gridCol w:w="2693"/>
        <w:gridCol w:w="2569"/>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1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51" w:right="81" w:hanging="270"/>
              <w:jc w:val="left"/>
              <w:rPr>
                <w:rFonts w:ascii="宋体" w:hAnsi="宋体" w:cs="宋体" w:eastAsia="宋体" w:hint="default"/>
                <w:sz w:val="18"/>
                <w:szCs w:val="18"/>
              </w:rPr>
            </w:pPr>
            <w:r>
              <w:rPr>
                <w:rFonts w:ascii="宋体" w:hAnsi="宋体" w:cs="宋体" w:eastAsia="宋体" w:hint="default"/>
                <w:sz w:val="18"/>
                <w:szCs w:val="18"/>
              </w:rPr>
              <w:t>分红年度合并报表中归属于上市 公司普通股股东的净利润</w:t>
            </w:r>
          </w:p>
        </w:tc>
        <w:tc>
          <w:tcPr>
            <w:tcW w:w="2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99" w:right="108" w:hanging="90"/>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0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693" w:type="dxa"/>
            <w:vMerge/>
            <w:tcBorders>
              <w:left w:val="single" w:sz="4" w:space="0" w:color="000000"/>
              <w:right w:val="single" w:sz="4" w:space="0" w:color="000000"/>
            </w:tcBorders>
            <w:shd w:val="clear" w:color="auto" w:fill="D2D2D2"/>
          </w:tcPr>
          <w:p>
            <w:pPr/>
          </w:p>
        </w:tc>
        <w:tc>
          <w:tcPr>
            <w:tcW w:w="2569"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16" w:type="dxa"/>
            <w:tcBorders>
              <w:top w:val="nil" w:sz="6" w:space="0" w:color="auto"/>
              <w:left w:val="single" w:sz="4" w:space="0" w:color="000000"/>
              <w:bottom w:val="single" w:sz="4" w:space="0" w:color="000000"/>
              <w:right w:val="single" w:sz="4" w:space="0" w:color="000000"/>
            </w:tcBorders>
            <w:shd w:val="clear" w:color="auto" w:fill="D2D2D2"/>
          </w:tcPr>
          <w:p>
            <w:pPr/>
          </w:p>
        </w:tc>
        <w:tc>
          <w:tcPr>
            <w:tcW w:w="2693" w:type="dxa"/>
            <w:vMerge/>
            <w:tcBorders>
              <w:left w:val="single" w:sz="4" w:space="0" w:color="000000"/>
              <w:bottom w:val="single" w:sz="4" w:space="0" w:color="000000"/>
              <w:right w:val="single" w:sz="4" w:space="0" w:color="000000"/>
            </w:tcBorders>
            <w:shd w:val="clear" w:color="auto" w:fill="D2D2D2"/>
          </w:tcPr>
          <w:p>
            <w:pPr/>
          </w:p>
        </w:tc>
        <w:tc>
          <w:tcPr>
            <w:tcW w:w="256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-10,029,719.23</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25,569,724.44</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47,875,614.78</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65.17%</w:t>
            </w:r>
          </w:p>
        </w:tc>
      </w:tr>
    </w:tbl>
    <w:p>
      <w:pPr>
        <w:pStyle w:val="BodyText"/>
        <w:spacing w:line="240" w:lineRule="auto" w:before="51"/>
        <w:ind w:left="154" w:right="43"/>
        <w:jc w:val="left"/>
      </w:pPr>
      <w:r>
        <w:rPr/>
        <w:t>公司报告期内盈利且母公司未分配利润为正但未提出现金红利分配预案</w:t>
      </w:r>
    </w:p>
    <w:p>
      <w:pPr>
        <w:pStyle w:val="BodyText"/>
        <w:spacing w:line="240" w:lineRule="auto" w:before="117"/>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3"/>
        <w:jc w:val="left"/>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4" w:right="43"/>
        <w:jc w:val="left"/>
      </w:pPr>
      <w:r>
        <w:rPr>
          <w:rFonts w:ascii="Times New Roman" w:hAnsi="Times New Roman" w:cs="Times New Roman" w:eastAsia="Times New Roman" w:hint="default"/>
        </w:rPr>
        <w:t>1</w:t>
      </w:r>
      <w:r>
        <w:rPr/>
        <w:t>、内幕知情人管理制度的建立和执行情况 </w:t>
      </w:r>
      <w:r>
        <w:rPr>
          <w:spacing w:val="-2"/>
        </w:rPr>
        <w:t>报告期内，公司严格执行内幕信息相关管理制度，对于定期报告及未公开的重大信息等，董事会办公室严格规范信息传</w:t>
      </w:r>
    </w:p>
    <w:p>
      <w:pPr>
        <w:pStyle w:val="BodyText"/>
        <w:spacing w:line="316" w:lineRule="auto" w:before="31"/>
        <w:ind w:left="154" w:right="92"/>
        <w:jc w:val="left"/>
      </w:pPr>
      <w:r>
        <w:rPr/>
        <w:t>递流程，控制信息知悉范围并对相关内幕信息知情人进行登记，如实、完整记录上述信息在公开前的所有内幕知情人名单， </w:t>
      </w:r>
      <w:r>
        <w:rPr>
          <w:spacing w:val="-2"/>
        </w:rPr>
        <w:t>以及知情人知悉内幕信息的时间，经公司董事会办公室核实无误后，按照有关法律法规规定向深交所和证监局报备内幕信息</w:t>
      </w:r>
    </w:p>
    <w:p>
      <w:pPr>
        <w:spacing w:after="0" w:line="316" w:lineRule="auto"/>
        <w:jc w:val="left"/>
        <w:sectPr>
          <w:footerReference w:type="default" r:id="rId13"/>
          <w:pgSz w:w="11910" w:h="16840"/>
          <w:pgMar w:footer="979" w:header="747" w:top="1060" w:bottom="1160" w:left="980" w:right="940"/>
          <w:pgNumType w:start="24"/>
        </w:sectPr>
      </w:pPr>
    </w:p>
    <w:p>
      <w:pPr>
        <w:spacing w:line="240" w:lineRule="auto" w:before="12"/>
        <w:rPr>
          <w:rFonts w:ascii="宋体" w:hAnsi="宋体" w:cs="宋体" w:eastAsia="宋体" w:hint="default"/>
          <w:sz w:val="25"/>
          <w:szCs w:val="25"/>
        </w:rPr>
      </w:pPr>
    </w:p>
    <w:p>
      <w:pPr>
        <w:pStyle w:val="BodyText"/>
        <w:spacing w:line="316" w:lineRule="auto" w:before="44"/>
        <w:ind w:right="171"/>
        <w:jc w:val="both"/>
      </w:pPr>
      <w:r>
        <w:rPr>
          <w:spacing w:val="-2"/>
        </w:rPr>
        <w:t>知情人登记情况。对于日常投资者调研活动，主要由公司董事会办公室负责对调研人员的个人信息进行备案，并要求其签署</w:t>
      </w:r>
      <w:r>
        <w:rPr>
          <w:spacing w:val="-65"/>
        </w:rPr>
        <w:t> </w:t>
      </w:r>
      <w:r>
        <w:rPr>
          <w:spacing w:val="-65"/>
        </w:rPr>
      </w:r>
      <w:r>
        <w:rPr>
          <w:spacing w:val="-2"/>
        </w:rPr>
        <w:t>公平信息披露承诺书。在调研会议期间，董事会办公室人员认真做好相关会议记录，及时向深交所报备，按照相关规定在深</w:t>
      </w:r>
      <w:r>
        <w:rPr>
          <w:spacing w:val="-66"/>
        </w:rPr>
        <w:t> </w:t>
      </w:r>
      <w:r>
        <w:rPr>
          <w:spacing w:val="-66"/>
        </w:rPr>
      </w:r>
      <w:r>
        <w:rPr/>
        <w:t>交所指定的互动易平台对所有投资者进行披露。</w:t>
      </w:r>
    </w:p>
    <w:p>
      <w:pPr>
        <w:pStyle w:val="BodyText"/>
        <w:spacing w:line="300" w:lineRule="auto" w:before="19"/>
        <w:ind w:left="513" w:right="0"/>
        <w:jc w:val="left"/>
      </w:pPr>
      <w:r>
        <w:rPr>
          <w:rFonts w:ascii="Times New Roman" w:hAnsi="Times New Roman" w:cs="Times New Roman" w:eastAsia="Times New Roman" w:hint="default"/>
        </w:rPr>
        <w:t>2</w:t>
      </w:r>
      <w:r>
        <w:rPr/>
        <w:t>、报告期内自查内幕信息知情人涉嫌内幕交易以及监管部门的查处或整改情况 </w:t>
      </w:r>
      <w:r>
        <w:rPr>
          <w:spacing w:val="-2"/>
        </w:rPr>
        <w:t>报告期内，公司严格执行内幕信息管理的相关制度，董事、监事和高级管理人员均严格遵守了内幕信息知情人管理的制</w:t>
      </w:r>
    </w:p>
    <w:p>
      <w:pPr>
        <w:pStyle w:val="BodyText"/>
        <w:spacing w:line="240" w:lineRule="auto" w:before="31"/>
        <w:ind w:right="0"/>
        <w:jc w:val="both"/>
      </w:pPr>
      <w:r>
        <w:rPr/>
        <w:t>度要求，未发现有内幕信息知情人利用内幕信息买卖本公司股票的情况。</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107"/>
        <w:jc w:val="right"/>
      </w:pPr>
      <w:r>
        <w:rPr/>
        <w:pict>
          <v:shape style="position:absolute;margin-left:56.459999pt;margin-top:-194.998276pt;width:482.8pt;height:475.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058"/>
                    <w:gridCol w:w="991"/>
                    <w:gridCol w:w="710"/>
                    <w:gridCol w:w="2978"/>
                    <w:gridCol w:w="2410"/>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东兴证券、安信证券、中投证券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公司总体经营情况、产品研发 规划和重组并购计划等。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民生证券、中山证券、联讯证券、遵 道投资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公司总体经营情况、产品研发 规划和重组并购计划等。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光大资产管理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公司总体经营情况、产品研发 规划和重组并购计划等。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方正证券、华创证券、天安财险、长 盛基金、东方证券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可穿戴设备市场情况和公司研 发进展等。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上海混沌道然、申银万国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0"/>
                          <w:jc w:val="left"/>
                          <w:rPr>
                            <w:rFonts w:ascii="宋体" w:hAnsi="宋体" w:cs="宋体" w:eastAsia="宋体" w:hint="default"/>
                            <w:sz w:val="18"/>
                            <w:szCs w:val="18"/>
                          </w:rPr>
                        </w:pPr>
                        <w:r>
                          <w:rPr>
                            <w:rFonts w:ascii="宋体" w:hAnsi="宋体" w:cs="宋体" w:eastAsia="宋体" w:hint="default"/>
                            <w:sz w:val="18"/>
                            <w:szCs w:val="18"/>
                          </w:rPr>
                          <w:t>公司产品研发和市场拓展情 况、</w:t>
                        </w:r>
                        <w:r>
                          <w:rPr>
                            <w:rFonts w:ascii="Times New Roman" w:hAnsi="Times New Roman" w:cs="Times New Roman" w:eastAsia="Times New Roman" w:hint="default"/>
                            <w:sz w:val="18"/>
                            <w:szCs w:val="18"/>
                          </w:rPr>
                          <w:t>MIPS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架构的相关问题等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国信证券、中海以诺、博时基金、富 国基金、长江养老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公司总体经营情况和产品研发 规划等。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个人</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个人投资者（深交所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走进上市公司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活动）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公司总体经营情况、产品研发 规划和重组并购计划等。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同瑞汇金、中信产业基金、嘉实基金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产品研发的进度和市场拓展情 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东北证券、广发证券、北京盛世景、 天安财险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产品研发的进度和市场拓展情 况等。</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both"/>
                          <w:rPr>
                            <w:rFonts w:ascii="宋体" w:hAnsi="宋体" w:cs="宋体" w:eastAsia="宋体" w:hint="default"/>
                            <w:sz w:val="18"/>
                            <w:szCs w:val="18"/>
                          </w:rPr>
                        </w:pPr>
                        <w:r>
                          <w:rPr>
                            <w:rFonts w:ascii="宋体" w:hAnsi="宋体" w:cs="宋体" w:eastAsia="宋体" w:hint="default"/>
                            <w:sz w:val="18"/>
                            <w:szCs w:val="18"/>
                          </w:rPr>
                          <w:t>华夏基金、长江证券、方泰晟达、联 讯证券、工道投资、华创证券、广发 基金、中金公司、泰达宏利、东方证 券、长盛基金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0"/>
                          <w:jc w:val="left"/>
                          <w:rPr>
                            <w:rFonts w:ascii="宋体" w:hAnsi="宋体" w:cs="宋体" w:eastAsia="宋体" w:hint="default"/>
                            <w:sz w:val="18"/>
                            <w:szCs w:val="18"/>
                          </w:rPr>
                        </w:pPr>
                        <w:r>
                          <w:rPr>
                            <w:rFonts w:ascii="宋体" w:hAnsi="宋体" w:cs="宋体" w:eastAsia="宋体" w:hint="default"/>
                            <w:sz w:val="18"/>
                            <w:szCs w:val="18"/>
                          </w:rPr>
                          <w:t>公司产品研发和市场拓展情 况、</w:t>
                        </w:r>
                        <w:r>
                          <w:rPr>
                            <w:rFonts w:ascii="Times New Roman" w:hAnsi="Times New Roman" w:cs="Times New Roman" w:eastAsia="Times New Roman" w:hint="default"/>
                            <w:sz w:val="18"/>
                            <w:szCs w:val="18"/>
                          </w:rPr>
                          <w:t>MIPS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架构的相关问题等</w:t>
                        </w:r>
                      </w:p>
                    </w:tc>
                  </w:tr>
                  <w:tr>
                    <w:trPr>
                      <w:trHeight w:val="102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both"/>
                          <w:rPr>
                            <w:rFonts w:ascii="宋体" w:hAnsi="宋体" w:cs="宋体" w:eastAsia="宋体" w:hint="default"/>
                            <w:sz w:val="18"/>
                            <w:szCs w:val="18"/>
                          </w:rPr>
                        </w:pPr>
                        <w:r>
                          <w:rPr>
                            <w:rFonts w:ascii="宋体" w:hAnsi="宋体" w:cs="宋体" w:eastAsia="宋体" w:hint="default"/>
                            <w:sz w:val="18"/>
                            <w:szCs w:val="18"/>
                          </w:rPr>
                          <w:t>香港盛博证券、路博迈、百能投资、 中投公司、威灵顿管理公司、富邦人 寿、摩根证券、复华证券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公司总体经营情况、产品在未 来市场的兼容性问题和新兴市 场拓展情况等。</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5"/>
        <w:ind w:left="0" w:right="107"/>
        <w:jc w:val="right"/>
      </w:pPr>
      <w:r>
        <w:rPr/>
        <w:t>。</w:t>
      </w:r>
    </w:p>
    <w:p>
      <w:pPr>
        <w:spacing w:after="0" w:line="240" w:lineRule="auto"/>
        <w:jc w:val="right"/>
        <w:sectPr>
          <w:pgSz w:w="11910" w:h="16840"/>
          <w:pgMar w:header="747" w:footer="979" w:top="1060" w:bottom="116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3"/>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41"/>
      <w:bookmarkEnd w:id="4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公司报告期未收购资产。</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出售资产情况" w:id="42"/>
      <w:bookmarkEnd w:id="4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企业合并情况" w:id="43"/>
      <w:bookmarkEnd w:id="4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12"/>
        <w:rPr>
          <w:rFonts w:ascii="宋体" w:hAnsi="宋体" w:cs="宋体" w:eastAsia="宋体" w:hint="default"/>
          <w:sz w:val="20"/>
          <w:szCs w:val="20"/>
        </w:rPr>
      </w:pPr>
    </w:p>
    <w:p>
      <w:pPr>
        <w:pStyle w:val="Heading3"/>
        <w:spacing w:line="259" w:lineRule="auto"/>
        <w:ind w:left="153" w:right="0"/>
        <w:jc w:val="left"/>
        <w:rPr>
          <w:b w:val="0"/>
          <w:bCs w:val="0"/>
        </w:rPr>
      </w:pPr>
      <w:bookmarkStart w:name="4、自资产重组报告书或收购出售资产公告刊登后，该事项的进展情况及对报告期经营成果" w:id="44"/>
      <w:bookmarkEnd w:id="44"/>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公司报告期无股权激励计划及其实施情况。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重大关联交易" w:id="46"/>
      <w:bookmarkEnd w:id="46"/>
      <w:r>
        <w:rPr>
          <w:b w:val="0"/>
          <w:bCs w:val="0"/>
        </w:rPr>
      </w:r>
      <w:r>
        <w:rPr/>
        <w:t>六、重大关联交易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47"/>
      <w:bookmarkEnd w:id="4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资产收购、出售发生的关联交易" w:id="48"/>
      <w:bookmarkEnd w:id="4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共同对外投资的重大关联交易" w:id="49"/>
      <w:bookmarkEnd w:id="49"/>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公司报告期未发生共同对外投资的重大关联交易。</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4、关联债权债务往来" w:id="50"/>
      <w:bookmarkEnd w:id="5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5、其他重大关联交易" w:id="51"/>
      <w:bookmarkEnd w:id="5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53"/>
      <w:bookmarkEnd w:id="5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54"/>
      <w:bookmarkEnd w:id="5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承包情况" w:id="55"/>
      <w:bookmarkEnd w:id="5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38"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租赁情况" w:id="56"/>
      <w:bookmarkEnd w:id="5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60" w:lineRule="auto" w:before="42"/>
        <w:ind w:left="154" w:right="5078" w:firstLine="360"/>
        <w:jc w:val="left"/>
      </w:pPr>
      <w:r>
        <w:rPr/>
        <w:t>公司将自有办公用房中的部分闲置办公区域对外出租。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1416"/>
        <w:gridCol w:w="709"/>
        <w:gridCol w:w="870"/>
        <w:gridCol w:w="870"/>
        <w:gridCol w:w="869"/>
        <w:gridCol w:w="793"/>
        <w:gridCol w:w="869"/>
        <w:gridCol w:w="870"/>
        <w:gridCol w:w="595"/>
        <w:gridCol w:w="785"/>
      </w:tblGrid>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3" w:right="0"/>
              <w:jc w:val="left"/>
              <w:rPr>
                <w:rFonts w:ascii="宋体" w:hAnsi="宋体" w:cs="宋体" w:eastAsia="宋体" w:hint="default"/>
                <w:sz w:val="18"/>
                <w:szCs w:val="18"/>
              </w:rPr>
            </w:pPr>
            <w:r>
              <w:rPr>
                <w:rFonts w:ascii="宋体" w:hAnsi="宋体" w:cs="宋体" w:eastAsia="宋体" w:hint="default"/>
                <w:sz w:val="18"/>
                <w:szCs w:val="18"/>
              </w:rPr>
              <w:t>租赁方名称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7"/>
              <w:jc w:val="left"/>
              <w:rPr>
                <w:rFonts w:ascii="宋体" w:hAnsi="宋体" w:cs="宋体" w:eastAsia="宋体" w:hint="default"/>
                <w:sz w:val="18"/>
                <w:szCs w:val="18"/>
              </w:rPr>
            </w:pPr>
            <w:r>
              <w:rPr>
                <w:rFonts w:ascii="宋体" w:hAnsi="宋体" w:cs="宋体" w:eastAsia="宋体" w:hint="default"/>
                <w:sz w:val="18"/>
                <w:szCs w:val="18"/>
              </w:rPr>
              <w:t>租赁资 产情况</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9"/>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8" w:right="68"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9"/>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北京君正集 成电路股份 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北京中兴通软件 科技股份有限公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4"/>
              <w:jc w:val="both"/>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北京君正集 成电路股份 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1"/>
              <w:jc w:val="left"/>
              <w:rPr>
                <w:rFonts w:ascii="宋体" w:hAnsi="宋体" w:cs="宋体" w:eastAsia="宋体" w:hint="default"/>
                <w:sz w:val="18"/>
                <w:szCs w:val="18"/>
              </w:rPr>
            </w:pPr>
            <w:r>
              <w:rPr>
                <w:rFonts w:ascii="宋体" w:hAnsi="宋体" w:cs="宋体" w:eastAsia="宋体" w:hint="default"/>
                <w:sz w:val="18"/>
                <w:szCs w:val="18"/>
              </w:rPr>
              <w:t>北京华如科技股 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843.54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4"/>
              <w:jc w:val="both"/>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同一实际 控制人</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北京君正集 成电路股份 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上海微创软件股 份有限公司北京 分公司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4"/>
              <w:jc w:val="both"/>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北京君正集 成电路股份 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天津魔幻动力科 技有限责任公司 北京分公司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4"/>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4"/>
              <w:jc w:val="both"/>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担保情况" w:id="57"/>
      <w:bookmarkEnd w:id="5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委托理财、衍生品投资和委托贷款情况" w:id="58"/>
      <w:bookmarkEnd w:id="58"/>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59"/>
      <w:bookmarkEnd w:id="5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532"/>
        <w:gridCol w:w="492"/>
        <w:gridCol w:w="737"/>
        <w:gridCol w:w="623"/>
        <w:gridCol w:w="910"/>
        <w:gridCol w:w="871"/>
        <w:gridCol w:w="551"/>
        <w:gridCol w:w="796"/>
        <w:gridCol w:w="618"/>
        <w:gridCol w:w="851"/>
        <w:gridCol w:w="684"/>
        <w:gridCol w:w="709"/>
      </w:tblGrid>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3"/>
              <w:jc w:val="right"/>
              <w:rPr>
                <w:rFonts w:ascii="宋体" w:hAnsi="宋体" w:cs="宋体" w:eastAsia="宋体" w:hint="default"/>
                <w:sz w:val="18"/>
                <w:szCs w:val="18"/>
              </w:rPr>
            </w:pPr>
            <w:r>
              <w:rPr>
                <w:rFonts w:ascii="宋体" w:hAnsi="宋体" w:cs="宋体" w:eastAsia="宋体" w:hint="default"/>
                <w:sz w:val="18"/>
                <w:szCs w:val="18"/>
              </w:rPr>
              <w:t>受托人名称</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1" w:right="7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60"/>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5"/>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9"/>
              <w:jc w:val="right"/>
              <w:rPr>
                <w:rFonts w:ascii="宋体" w:hAnsi="宋体" w:cs="宋体" w:eastAsia="宋体" w:hint="default"/>
                <w:sz w:val="18"/>
                <w:szCs w:val="18"/>
              </w:rPr>
            </w:pPr>
            <w:r>
              <w:rPr>
                <w:rFonts w:ascii="宋体" w:hAnsi="宋体" w:cs="宋体" w:eastAsia="宋体" w:hint="default"/>
                <w:sz w:val="18"/>
                <w:szCs w:val="18"/>
              </w:rPr>
              <w:t>起始日期</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9" w:right="89"/>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 w:right="31"/>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是否经 过规定 程序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59"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6" w:right="6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招商银行股份 有限公司北京 万通中心支行</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3" w:right="137"/>
              <w:jc w:val="left"/>
              <w:rPr>
                <w:rFonts w:ascii="宋体" w:hAnsi="宋体" w:cs="宋体" w:eastAsia="宋体" w:hint="default"/>
                <w:sz w:val="18"/>
                <w:szCs w:val="18"/>
              </w:rPr>
            </w:pPr>
            <w:r>
              <w:rPr>
                <w:rFonts w:ascii="宋体" w:hAnsi="宋体" w:cs="宋体" w:eastAsia="宋体" w:hint="default"/>
                <w:sz w:val="18"/>
                <w:szCs w:val="18"/>
              </w:rPr>
              <w:t>非关 联方</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5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11.1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11.1</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61"/>
              <w:jc w:val="right"/>
              <w:rPr>
                <w:rFonts w:ascii="宋体" w:hAnsi="宋体" w:cs="宋体" w:eastAsia="宋体" w:hint="default"/>
                <w:sz w:val="18"/>
                <w:szCs w:val="18"/>
              </w:rPr>
            </w:pPr>
            <w:r>
              <w:rPr>
                <w:rFonts w:ascii="宋体" w:hAnsi="宋体" w:cs="宋体" w:eastAsia="宋体" w:hint="default"/>
                <w:sz w:val="18"/>
                <w:szCs w:val="18"/>
              </w:rPr>
              <w:t>招商银行股份</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非关</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532"/>
        <w:gridCol w:w="492"/>
        <w:gridCol w:w="737"/>
        <w:gridCol w:w="623"/>
        <w:gridCol w:w="910"/>
        <w:gridCol w:w="871"/>
        <w:gridCol w:w="551"/>
        <w:gridCol w:w="796"/>
        <w:gridCol w:w="618"/>
        <w:gridCol w:w="851"/>
        <w:gridCol w:w="684"/>
        <w:gridCol w:w="709"/>
      </w:tblGrid>
      <w:tr>
        <w:trPr>
          <w:trHeight w:val="67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有限公司北京 万通中心支行</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联方</w:t>
            </w: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公司大望路支 行</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37"/>
              <w:jc w:val="left"/>
              <w:rPr>
                <w:rFonts w:ascii="宋体" w:hAnsi="宋体" w:cs="宋体" w:eastAsia="宋体" w:hint="default"/>
                <w:sz w:val="18"/>
                <w:szCs w:val="18"/>
              </w:rPr>
            </w:pPr>
            <w:r>
              <w:rPr>
                <w:rFonts w:ascii="宋体" w:hAnsi="宋体" w:cs="宋体" w:eastAsia="宋体" w:hint="default"/>
                <w:sz w:val="18"/>
                <w:szCs w:val="18"/>
              </w:rPr>
              <w:t>非关 联方</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5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39.95</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公司大望路支 行</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37"/>
              <w:jc w:val="left"/>
              <w:rPr>
                <w:rFonts w:ascii="宋体" w:hAnsi="宋体" w:cs="宋体" w:eastAsia="宋体" w:hint="default"/>
                <w:sz w:val="18"/>
                <w:szCs w:val="18"/>
              </w:rPr>
            </w:pPr>
            <w:r>
              <w:rPr>
                <w:rFonts w:ascii="宋体" w:hAnsi="宋体" w:cs="宋体" w:eastAsia="宋体" w:hint="default"/>
                <w:sz w:val="18"/>
                <w:szCs w:val="18"/>
              </w:rPr>
              <w:t>非关 联方</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46.36</w:t>
            </w:r>
          </w:p>
        </w:tc>
      </w:tr>
      <w:tr>
        <w:trPr>
          <w:trHeight w:val="402" w:hRule="exact"/>
        </w:trPr>
        <w:tc>
          <w:tcPr>
            <w:tcW w:w="30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8,500</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8,500</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107.51</w:t>
            </w:r>
          </w:p>
        </w:tc>
      </w:tr>
      <w:tr>
        <w:trPr>
          <w:trHeight w:val="402" w:hRule="exact"/>
        </w:trPr>
        <w:tc>
          <w:tcPr>
            <w:tcW w:w="30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61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0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61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0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61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0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审议委托理财的董事会决议披露日期</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61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0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审议委托理财的股东大会决议披露日 期（如有</w:t>
            </w:r>
            <w:r>
              <w:rPr>
                <w:rFonts w:ascii="Times New Roman" w:hAnsi="Times New Roman" w:cs="Times New Roman" w:eastAsia="Times New Roman" w:hint="default"/>
                <w:sz w:val="18"/>
                <w:szCs w:val="18"/>
              </w:rPr>
              <w:t>)</w:t>
            </w:r>
          </w:p>
        </w:tc>
        <w:tc>
          <w:tcPr>
            <w:tcW w:w="6613" w:type="dxa"/>
            <w:gridSpan w:val="9"/>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委托理财情况及未来计划说明</w:t>
            </w:r>
          </w:p>
        </w:tc>
        <w:tc>
          <w:tcPr>
            <w:tcW w:w="6613" w:type="dxa"/>
            <w:gridSpan w:val="9"/>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公司将根据自有资金量和日常运营的资金需求情况，在保证公司日常经营不受影响 的情况下，进行适当的委托理财，提高闲置自有资金的使用效率，同时，公司将严 格控制委托理财产品的风险，保证资金的安全性。</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衍生品投资情况" w:id="60"/>
      <w:bookmarkEnd w:id="6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委托贷款情况" w:id="61"/>
      <w:bookmarkEnd w:id="61"/>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其他重大合同" w:id="62"/>
      <w:bookmarkEnd w:id="6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承诺事项履行情况" w:id="63"/>
      <w:bookmarkEnd w:id="63"/>
      <w:r>
        <w:rPr>
          <w:b w:val="0"/>
          <w:bCs w:val="0"/>
        </w:rPr>
      </w: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64"/>
      <w:bookmarkEnd w:id="64"/>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72.980011pt;margin-top:466.119995pt;width:73.4pt;height:231.25pt;mso-position-horizontal-relative:page;mso-position-vertical-relative:page;z-index:-671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0"/>
                    <w:ind w:left="0" w:right="0"/>
                    <w:jc w:val="left"/>
                  </w:pPr>
                  <w:r>
                    <w:rPr/>
                    <w:t>刘强、</w:t>
                  </w:r>
                </w:p>
              </w:txbxContent>
            </v:textbox>
            <w10:wrap type="none"/>
          </v:shape>
        </w:pict>
      </w:r>
      <w:r>
        <w:rPr/>
        <w:pict>
          <v:group style="position:absolute;margin-left:397.179993pt;margin-top:466.119995pt;width:49.2pt;height:231.25pt;mso-position-horizontal-relative:page;mso-position-vertical-relative:page;z-index:-671416" coordorigin="7944,9322" coordsize="984,4625">
            <v:shape style="position:absolute;left:7944;top:9322;width:984;height:4625" coordorigin="7944,9322" coordsize="984,4625" path="m7944,13947l8927,13947,8927,9322,7944,9322,7944,1394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709"/>
        <w:gridCol w:w="4820"/>
        <w:gridCol w:w="994"/>
        <w:gridCol w:w="990"/>
        <w:gridCol w:w="990"/>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709" w:type="dxa"/>
            <w:tcBorders>
              <w:top w:val="single" w:sz="4" w:space="0" w:color="000000"/>
              <w:left w:val="single" w:sz="13" w:space="0" w:color="D2D2D2"/>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709" w:type="dxa"/>
            <w:tcBorders>
              <w:top w:val="single" w:sz="4" w:space="0" w:color="000000"/>
              <w:left w:val="single" w:sz="13" w:space="0" w:color="D2D2D2"/>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709" w:type="dxa"/>
            <w:tcBorders>
              <w:top w:val="single" w:sz="4" w:space="0" w:color="000000"/>
              <w:left w:val="single" w:sz="13" w:space="0" w:color="D2D2D2"/>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5142"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17" w:right="20"/>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w:t>
            </w:r>
          </w:p>
        </w:tc>
        <w:tc>
          <w:tcPr>
            <w:tcW w:w="482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一、避免同业竞争的承诺：</w:t>
            </w:r>
          </w:p>
          <w:p>
            <w:pPr>
              <w:pStyle w:val="TableParagraph"/>
              <w:spacing w:line="314" w:lineRule="auto" w:before="116"/>
              <w:ind w:left="2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、其本人（包括其控制的全资、控股企业或其他关联企业， 下同）未经营与公司现从事的集成电路的设计、开发及产业 化业务相同或类似的业务，与公司不构成同业竞争。而且在 公司依法存续期间，承诺不经营前述业务，以避免与公司构 成同业竞争。</w:t>
            </w:r>
          </w:p>
          <w:p>
            <w:pPr>
              <w:pStyle w:val="TableParagraph"/>
              <w:spacing w:line="307" w:lineRule="auto" w:before="59"/>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、若因承诺人或公司的业务发展，而导致其经营的业务与公 司的业务发生重合而可能构成竞争，其同意由公司在同等条 件下优先收购该等业务所涉资产或股权，和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或通过合法途径 促使其所控制的全资、控股企业或其他关联企业向公司转让 该等资产或控股权，和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或通过其他公平、合理的途径对其经 营的业务进行调整以避免与公司的业务构成同业竞争。</w:t>
            </w:r>
          </w:p>
          <w:p>
            <w:pPr>
              <w:pStyle w:val="TableParagraph"/>
              <w:spacing w:line="302" w:lineRule="auto" w:before="65"/>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、如因其未履行本承诺而给公司造成损失的，其对因此给公 司造成的损失予以赔偿。</w:t>
            </w:r>
          </w:p>
          <w:p>
            <w:pPr>
              <w:pStyle w:val="TableParagraph"/>
              <w:spacing w:line="316" w:lineRule="auto" w:before="68"/>
              <w:ind w:left="22" w:right="22"/>
              <w:jc w:val="left"/>
              <w:rPr>
                <w:rFonts w:ascii="宋体" w:hAnsi="宋体" w:cs="宋体" w:eastAsia="宋体" w:hint="default"/>
                <w:sz w:val="18"/>
                <w:szCs w:val="18"/>
              </w:rPr>
            </w:pPr>
            <w:r>
              <w:rPr>
                <w:rFonts w:ascii="宋体" w:hAnsi="宋体" w:cs="宋体" w:eastAsia="宋体" w:hint="default"/>
                <w:sz w:val="18"/>
                <w:szCs w:val="18"/>
              </w:rPr>
              <w:t>二、股份限售承诺：自公司发行的股票在深圳证券交易所上 市之日起三十六个月内，不转让或者委托他人管理其已持有 的公司公开发行股票前已发行的股份，也不由公司回购该部 分股份。在前述限售期满后，每年转让的股份不得超过其所 持公司股份总数的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；所持公司股份不超过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股的，可</w:t>
            </w:r>
            <w:r>
              <w:rPr>
                <w:rFonts w:ascii="宋体" w:hAnsi="宋体" w:cs="宋体" w:eastAsia="宋体" w:hint="default"/>
                <w:sz w:val="18"/>
                <w:szCs w:val="18"/>
              </w:rPr>
              <w:t> 一次全部转让，不受前述转让比例的限制。在其本人及其关 联方担任公司董事、监事、高级管理人员期间每年转让的股 份不超过其直接和间接持有的公司股份总数的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半年内，不转让其直接和间接持有的公司股份；离职半年后 的十二个月内通过证券交易所挂牌交易出售公司股份数量占 其直接和间接持有的公司股份总数的比例不超过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三、对君正时代补缴住房公积金风险的承诺：君正时代未为 非深圳户籍员工缴交住房公积金。为此，公司实际控制人刘 强、李杰承诺：如主管部门要求君正时代为上述员工补缴住 房公积金或因该事项致使君正时代遭受任何经济损失， 李杰将承担有关的费用，并及时、足额将有关费用支付给君 正时代。</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2" w:right="55"/>
              <w:jc w:val="both"/>
              <w:rPr>
                <w:rFonts w:ascii="宋体" w:hAnsi="宋体" w:cs="宋体" w:eastAsia="宋体" w:hint="default"/>
                <w:sz w:val="18"/>
                <w:szCs w:val="18"/>
              </w:rPr>
            </w:pPr>
            <w:r>
              <w:rPr>
                <w:rFonts w:ascii="宋体" w:hAnsi="宋体" w:cs="宋体" w:eastAsia="宋体" w:hint="default"/>
                <w:sz w:val="18"/>
                <w:szCs w:val="18"/>
              </w:rPr>
              <w:t>一、避免同 业竞争的承 诺：此承诺 期限为长期 有效；</w:t>
            </w:r>
          </w:p>
          <w:p>
            <w:pPr>
              <w:pStyle w:val="TableParagraph"/>
              <w:spacing w:line="319" w:lineRule="auto" w:before="55"/>
              <w:ind w:left="22" w:right="55"/>
              <w:jc w:val="both"/>
              <w:rPr>
                <w:rFonts w:ascii="宋体" w:hAnsi="宋体" w:cs="宋体" w:eastAsia="宋体" w:hint="default"/>
                <w:sz w:val="18"/>
                <w:szCs w:val="18"/>
              </w:rPr>
            </w:pPr>
            <w:r>
              <w:rPr>
                <w:rFonts w:ascii="宋体" w:hAnsi="宋体" w:cs="宋体" w:eastAsia="宋体" w:hint="default"/>
                <w:sz w:val="18"/>
                <w:szCs w:val="18"/>
              </w:rPr>
              <w:t>二、股份限 售承诺：承 诺期限为直 至所持股份 全部解锁；</w:t>
            </w:r>
          </w:p>
          <w:p>
            <w:pPr>
              <w:pStyle w:val="TableParagraph"/>
              <w:spacing w:line="319" w:lineRule="auto" w:before="55"/>
              <w:ind w:left="22" w:right="55"/>
              <w:jc w:val="left"/>
              <w:rPr>
                <w:rFonts w:ascii="宋体" w:hAnsi="宋体" w:cs="宋体" w:eastAsia="宋体" w:hint="default"/>
                <w:sz w:val="18"/>
                <w:szCs w:val="18"/>
              </w:rPr>
            </w:pPr>
            <w:r>
              <w:rPr>
                <w:rFonts w:ascii="宋体" w:hAnsi="宋体" w:cs="宋体" w:eastAsia="宋体" w:hint="default"/>
                <w:sz w:val="18"/>
                <w:szCs w:val="18"/>
              </w:rPr>
              <w:t>三、对君正 时代补缴住 房公积金风 险的承诺： 此承诺期限 为长期有 效。</w:t>
            </w:r>
          </w:p>
        </w:tc>
        <w:tc>
          <w:tcPr>
            <w:tcW w:w="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3" w:right="54"/>
              <w:jc w:val="both"/>
              <w:rPr>
                <w:rFonts w:ascii="宋体" w:hAnsi="宋体" w:cs="宋体" w:eastAsia="宋体" w:hint="default"/>
                <w:sz w:val="18"/>
                <w:szCs w:val="18"/>
              </w:rPr>
            </w:pPr>
            <w:r>
              <w:rPr>
                <w:rFonts w:ascii="宋体" w:hAnsi="宋体" w:cs="宋体" w:eastAsia="宋体" w:hint="default"/>
                <w:sz w:val="18"/>
                <w:szCs w:val="18"/>
              </w:rPr>
              <w:t>报告期内， 刘强、李杰 均遵守了所 做的承诺。</w:t>
            </w:r>
          </w:p>
        </w:tc>
      </w:tr>
      <w:tr>
        <w:trPr>
          <w:trHeight w:val="1016"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709" w:type="dxa"/>
            <w:vMerge/>
            <w:tcBorders>
              <w:left w:val="single" w:sz="9" w:space="0" w:color="D2D2D2"/>
              <w:right w:val="single" w:sz="4" w:space="0" w:color="000000"/>
            </w:tcBorders>
          </w:tcPr>
          <w:p>
            <w:pPr/>
          </w:p>
        </w:tc>
        <w:tc>
          <w:tcPr>
            <w:tcW w:w="482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r>
      <w:tr>
        <w:trPr>
          <w:trHeight w:val="3804"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9" w:space="0" w:color="D2D2D2"/>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r>
      <w:tr>
        <w:trPr>
          <w:trHeight w:val="133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0"/>
              <w:jc w:val="left"/>
              <w:rPr>
                <w:rFonts w:ascii="宋体" w:hAnsi="宋体" w:cs="宋体" w:eastAsia="宋体" w:hint="default"/>
                <w:sz w:val="18"/>
                <w:szCs w:val="18"/>
              </w:rPr>
            </w:pPr>
            <w:r>
              <w:rPr>
                <w:rFonts w:ascii="宋体" w:hAnsi="宋体" w:cs="宋体" w:eastAsia="宋体" w:hint="default"/>
                <w:spacing w:val="-17"/>
                <w:sz w:val="18"/>
                <w:szCs w:val="18"/>
              </w:rPr>
              <w:t>张紧、冼</w:t>
            </w:r>
            <w:r>
              <w:rPr>
                <w:rFonts w:ascii="宋体" w:hAnsi="宋体" w:cs="宋体" w:eastAsia="宋体" w:hint="default"/>
                <w:sz w:val="18"/>
                <w:szCs w:val="18"/>
              </w:rPr>
              <w:t> 永辉</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90"/>
              <w:jc w:val="both"/>
              <w:rPr>
                <w:rFonts w:ascii="宋体" w:hAnsi="宋体" w:cs="宋体" w:eastAsia="宋体" w:hint="default"/>
                <w:sz w:val="18"/>
                <w:szCs w:val="18"/>
              </w:rPr>
            </w:pPr>
            <w:r>
              <w:rPr>
                <w:rFonts w:ascii="宋体" w:hAnsi="宋体" w:cs="宋体" w:eastAsia="宋体" w:hint="default"/>
                <w:sz w:val="18"/>
                <w:szCs w:val="18"/>
              </w:rPr>
              <w:t>股份锁定承诺：在其所承诺的限售期满后，每年转让的股份 不得超过其所持公司股份总数的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；所持公司股份不超过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股的，可一次全部转让，不受前述转让比例的限制。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此承诺期限 为直至所持 股份全部解 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3" w:right="54"/>
              <w:jc w:val="both"/>
              <w:rPr>
                <w:rFonts w:ascii="宋体" w:hAnsi="宋体" w:cs="宋体" w:eastAsia="宋体" w:hint="default"/>
                <w:sz w:val="18"/>
                <w:szCs w:val="18"/>
              </w:rPr>
            </w:pPr>
            <w:r>
              <w:rPr>
                <w:rFonts w:ascii="宋体" w:hAnsi="宋体" w:cs="宋体" w:eastAsia="宋体" w:hint="default"/>
                <w:sz w:val="18"/>
                <w:szCs w:val="18"/>
              </w:rPr>
              <w:t>报告期内， 张紧、冼永 辉均遵守了 所做的承</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8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709"/>
        <w:gridCol w:w="4820"/>
        <w:gridCol w:w="994"/>
        <w:gridCol w:w="990"/>
        <w:gridCol w:w="990"/>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承诺是否及时 履行</w:t>
            </w:r>
          </w:p>
        </w:tc>
        <w:tc>
          <w:tcPr>
            <w:tcW w:w="85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未完成履行的 具体原因及下 一步计划（如 有）</w:t>
            </w:r>
          </w:p>
        </w:tc>
        <w:tc>
          <w:tcPr>
            <w:tcW w:w="85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259"/>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7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259"/>
        <w:jc w:val="left"/>
        <w:rPr>
          <w:b w:val="0"/>
          <w:bCs w:val="0"/>
        </w:rPr>
      </w:pPr>
      <w:bookmarkStart w:name="九、聘任、解聘会计师事务所情况" w:id="66"/>
      <w:bookmarkEnd w:id="66"/>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173"/>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傅映红、时颜禄</w:t>
            </w:r>
          </w:p>
        </w:tc>
      </w:tr>
    </w:tbl>
    <w:p>
      <w:pPr>
        <w:pStyle w:val="BodyText"/>
        <w:spacing w:line="240" w:lineRule="auto" w:before="51"/>
        <w:ind w:left="154" w:right="7173"/>
        <w:jc w:val="left"/>
      </w:pPr>
      <w:r>
        <w:rPr/>
        <w:t>是否改聘会计师事务所</w:t>
      </w:r>
    </w:p>
    <w:p>
      <w:pPr>
        <w:pStyle w:val="BodyText"/>
        <w:spacing w:line="240" w:lineRule="auto" w:before="117"/>
        <w:ind w:left="154" w:right="71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259"/>
        <w:jc w:val="left"/>
        <w:rPr>
          <w:b w:val="0"/>
          <w:bCs w:val="0"/>
        </w:rPr>
      </w:pPr>
      <w:bookmarkStart w:name="十、上市公司及其董事、监事、高级管理人员、公司股东、实际控制人和收购人处罚及整改" w:id="67"/>
      <w:bookmarkEnd w:id="67"/>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40" w:lineRule="auto" w:before="42"/>
        <w:ind w:left="154" w:right="57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0"/>
        <w:ind w:left="154" w:right="78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3"/>
        <w:ind w:left="154" w:right="71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23"/>
          <w:szCs w:val="23"/>
        </w:rPr>
      </w:pPr>
    </w:p>
    <w:p>
      <w:pPr>
        <w:pStyle w:val="Heading2"/>
        <w:spacing w:line="240" w:lineRule="auto"/>
        <w:ind w:left="154" w:right="259"/>
        <w:jc w:val="left"/>
        <w:rPr>
          <w:b w:val="0"/>
          <w:bCs w:val="0"/>
        </w:rPr>
      </w:pPr>
      <w:bookmarkStart w:name="十一、公司股东及其一致行动人在报告期提出或实施股份增持计划的情况" w:id="68"/>
      <w:bookmarkEnd w:id="68"/>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after="0" w:line="338" w:lineRule="auto"/>
        <w:jc w:val="left"/>
        <w:sectPr>
          <w:pgSz w:w="11910" w:h="16840"/>
          <w:pgMar w:header="747" w:footer="979" w:top="1060" w:bottom="1160" w:left="980" w:right="8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董事、监事、高级管理人员、持股5%以上的股东违规买卖公司股票情况" w:id="69"/>
      <w:bookmarkEnd w:id="69"/>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三、年度报告披露后面临暂停上市和终止上市情况" w:id="70"/>
      <w:bookmarkEnd w:id="7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71"/>
      <w:bookmarkEnd w:id="71"/>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五、控股子公司重要事项" w:id="72"/>
      <w:bookmarkEnd w:id="72"/>
      <w:r>
        <w:rPr>
          <w:b w:val="0"/>
          <w:bCs w:val="0"/>
        </w:rPr>
      </w:r>
      <w:r>
        <w:rPr/>
        <w:t>十五、控股子公司重要事项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2333"/>
        <w:jc w:val="left"/>
        <w:rPr>
          <w:b w:val="0"/>
          <w:bCs w:val="0"/>
        </w:rPr>
      </w:pPr>
      <w:bookmarkStart w:name="第六节 股份变动及股东情况" w:id="73"/>
      <w:bookmarkEnd w:id="73"/>
      <w:r>
        <w:rPr>
          <w:b w:val="0"/>
          <w:bCs w:val="0"/>
        </w:rPr>
      </w:r>
      <w:bookmarkStart w:name="_bookmark5" w:id="74"/>
      <w:bookmarkEnd w:id="74"/>
      <w:r>
        <w:rPr>
          <w:b w:val="0"/>
          <w:bCs w:val="0"/>
        </w:rPr>
      </w:r>
      <w:r>
        <w:rPr/>
        <w:t>第六节</w:t>
      </w:r>
      <w:r>
        <w:rPr>
          <w:spacing w:val="-8"/>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333"/>
        <w:jc w:val="left"/>
        <w:rPr>
          <w:b w:val="0"/>
          <w:bCs w:val="0"/>
        </w:rPr>
      </w:pPr>
      <w:bookmarkStart w:name="一、股份变动情况" w:id="75"/>
      <w:bookmarkEnd w:id="7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333"/>
        <w:jc w:val="left"/>
        <w:rPr>
          <w:b w:val="0"/>
          <w:bCs w:val="0"/>
        </w:rPr>
      </w:pPr>
      <w:bookmarkStart w:name="1、股份变动情况" w:id="76"/>
      <w:bookmarkEnd w:id="7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7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9"/>
        <w:gridCol w:w="1099"/>
        <w:gridCol w:w="704"/>
        <w:gridCol w:w="844"/>
        <w:gridCol w:w="580"/>
        <w:gridCol w:w="728"/>
        <w:gridCol w:w="1019"/>
        <w:gridCol w:w="992"/>
        <w:gridCol w:w="992"/>
        <w:gridCol w:w="814"/>
      </w:tblGrid>
      <w:tr>
        <w:trPr>
          <w:trHeight w:val="402"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6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8" w:right="89"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1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8" w:type="dxa"/>
            <w:vMerge/>
            <w:tcBorders>
              <w:left w:val="single" w:sz="4" w:space="0" w:color="000000"/>
              <w:right w:val="single" w:sz="4" w:space="0" w:color="000000"/>
            </w:tcBorders>
            <w:shd w:val="clear" w:color="auto" w:fill="D2D2D2"/>
          </w:tcPr>
          <w:p>
            <w:pPr/>
          </w:p>
        </w:tc>
        <w:tc>
          <w:tcPr>
            <w:tcW w:w="10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70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580" w:type="dxa"/>
            <w:vMerge/>
            <w:tcBorders>
              <w:left w:val="single" w:sz="4" w:space="0" w:color="000000"/>
              <w:bottom w:val="nil" w:sz="6" w:space="0" w:color="auto"/>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101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57,278,017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55.08%</w:t>
            </w:r>
          </w:p>
        </w:tc>
        <w:tc>
          <w:tcPr>
            <w:tcW w:w="844"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-11,228,356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46,049,661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44.28%</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57,278,017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55.08%</w:t>
            </w:r>
          </w:p>
        </w:tc>
        <w:tc>
          <w:tcPr>
            <w:tcW w:w="844"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-11,228,356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46,049,661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44.28%</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57,278,017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55.08%</w:t>
            </w:r>
          </w:p>
        </w:tc>
        <w:tc>
          <w:tcPr>
            <w:tcW w:w="844"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-11,228,356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46,049,661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44.28%</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46,721,983</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44.92%</w:t>
            </w:r>
          </w:p>
        </w:tc>
        <w:tc>
          <w:tcPr>
            <w:tcW w:w="844"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11,228,356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57,950,339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55.72%</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46,721,983</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44.92%</w:t>
            </w:r>
          </w:p>
        </w:tc>
        <w:tc>
          <w:tcPr>
            <w:tcW w:w="844"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11,228,356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57,950,339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55.72%</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2333"/>
        <w:jc w:val="left"/>
      </w:pPr>
      <w:r>
        <w:rPr/>
        <w:t>股份变动的原因</w:t>
      </w:r>
    </w:p>
    <w:p>
      <w:pPr>
        <w:pStyle w:val="BodyText"/>
        <w:spacing w:line="348" w:lineRule="auto" w:before="117"/>
        <w:ind w:right="2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报告期内，根据首次公开发行股票并在创业板上市时自然人股东的承诺，公司部分限售股解禁。 股份变动的批准情况</w:t>
      </w:r>
    </w:p>
    <w:p>
      <w:pPr>
        <w:pStyle w:val="BodyText"/>
        <w:spacing w:line="338" w:lineRule="auto" w:before="36"/>
        <w:ind w:right="8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5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2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2333"/>
        <w:jc w:val="left"/>
        <w:rPr>
          <w:b w:val="0"/>
          <w:bCs w:val="0"/>
        </w:rPr>
      </w:pPr>
      <w:bookmarkStart w:name="2、限售股份变动情况" w:id="77"/>
      <w:bookmarkEnd w:id="7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2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70"/>
        <w:jc w:val="right"/>
      </w:pPr>
      <w:r>
        <w:rPr/>
        <w:t>单位：股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208"/>
        <w:jc w:val="right"/>
      </w:pPr>
      <w:r>
        <w:rPr/>
        <w:pict>
          <v:shape style="position:absolute;margin-left:56.459999pt;margin-top:-20.998278pt;width:482.8pt;height:92.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316"/>
                    <w:gridCol w:w="1513"/>
                    <w:gridCol w:w="1676"/>
                    <w:gridCol w:w="1316"/>
                    <w:gridCol w:w="957"/>
                    <w:gridCol w:w="2011"/>
                  </w:tblGrid>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0"/>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23,520,423</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5,880,106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17,640,317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首次解除限售 以后每年按照所持股份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p>
              </w:txbxContent>
            </v:textbox>
            <w10:wrap type="none"/>
          </v:shape>
        </w:pict>
      </w:r>
      <w:r>
        <w:rPr/>
        <w:t>，</w:t>
      </w:r>
    </w:p>
    <w:p>
      <w:pPr>
        <w:spacing w:after="0" w:line="240" w:lineRule="auto"/>
        <w:jc w:val="right"/>
        <w:sectPr>
          <w:pgSz w:w="11910" w:h="16840"/>
          <w:pgMar w:header="747" w:footer="979" w:top="1060" w:bottom="1160" w:left="980" w:right="860"/>
        </w:sectPr>
      </w:pPr>
    </w:p>
    <w:p>
      <w:pPr>
        <w:spacing w:line="240" w:lineRule="auto" w:before="10"/>
        <w:rPr>
          <w:rFonts w:ascii="宋体" w:hAnsi="宋体" w:cs="宋体" w:eastAsia="宋体" w:hint="default"/>
          <w:sz w:val="29"/>
          <w:szCs w:val="29"/>
        </w:rPr>
      </w:pPr>
    </w:p>
    <w:p>
      <w:pPr>
        <w:pStyle w:val="BodyText"/>
        <w:spacing w:line="240" w:lineRule="auto" w:before="44"/>
        <w:ind w:left="0" w:right="108"/>
        <w:jc w:val="right"/>
      </w:pPr>
      <w:r>
        <w:rPr/>
        <w:pict>
          <v:shape style="position:absolute;margin-left:56.459999pt;margin-top:-.848296pt;width:482.8pt;height:315.2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316"/>
                    <w:gridCol w:w="1513"/>
                    <w:gridCol w:w="1676"/>
                    <w:gridCol w:w="1316"/>
                    <w:gridCol w:w="957"/>
                    <w:gridCol w:w="2011"/>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4,492,800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4,372,800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首次解除限售 以后每年按照所持股份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4,492,800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4,342,800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1,755,000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410,625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1,344,375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1,462,500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1,312,500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487,500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1,462,500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首次解除限售 以后每年按照所持股份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1,462,500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1,372,500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首次解除限售 以后每年按照所持股份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赵明漪</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658,125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658,125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鹿良礼</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713,869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744,994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张燕祥</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71,250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513,750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57,278,017</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11,259,481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31,125</w:t>
                        </w:r>
                      </w:p>
                    </w:tc>
                    <w:tc>
                      <w:tcPr>
                        <w:tcW w:w="131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46,049,661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44"/>
        <w:ind w:left="0" w:right="10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0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before="26"/>
        <w:ind w:left="154" w:right="0"/>
        <w:jc w:val="left"/>
        <w:rPr>
          <w:b w:val="0"/>
          <w:bCs w:val="0"/>
        </w:rPr>
      </w:pPr>
      <w:bookmarkStart w:name="二、证券发行与上市情况" w:id="78"/>
      <w:bookmarkEnd w:id="78"/>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情况" w:id="79"/>
      <w:bookmarkEnd w:id="79"/>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80"/>
      <w:bookmarkEnd w:id="8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81"/>
      <w:bookmarkEnd w:id="8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82"/>
      <w:bookmarkEnd w:id="8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9"/>
        <w:gridCol w:w="1411"/>
        <w:gridCol w:w="882"/>
        <w:gridCol w:w="912"/>
        <w:gridCol w:w="879"/>
        <w:gridCol w:w="884"/>
        <w:gridCol w:w="938"/>
        <w:gridCol w:w="1125"/>
        <w:gridCol w:w="1191"/>
      </w:tblGrid>
      <w:tr>
        <w:trPr>
          <w:trHeight w:val="407" w:hRule="exact"/>
        </w:trPr>
        <w:tc>
          <w:tcPr>
            <w:tcW w:w="2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9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7,900</w:t>
            </w:r>
          </w:p>
        </w:tc>
        <w:tc>
          <w:tcPr>
            <w:tcW w:w="38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9,313</w:t>
            </w:r>
          </w:p>
        </w:tc>
      </w:tr>
      <w:tr>
        <w:trPr>
          <w:trHeight w:val="392" w:hRule="exact"/>
        </w:trPr>
        <w:tc>
          <w:tcPr>
            <w:tcW w:w="964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411"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
        </w:tc>
        <w:tc>
          <w:tcPr>
            <w:tcW w:w="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7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71" w:right="7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76" w:right="7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3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3" w:right="10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3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2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411"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91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87" w:right="92"/>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79"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2316" w:type="dxa"/>
            <w:gridSpan w:val="2"/>
            <w:vMerge/>
            <w:tcBorders>
              <w:left w:val="single" w:sz="4" w:space="0" w:color="000000"/>
              <w:right w:val="single" w:sz="4" w:space="0" w:color="000000"/>
            </w:tcBorders>
            <w:shd w:val="clear" w:color="auto" w:fill="D2D2D2"/>
          </w:tcPr>
          <w:p>
            <w:pPr/>
          </w:p>
        </w:tc>
      </w:tr>
      <w:tr>
        <w:trPr>
          <w:trHeight w:val="141"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12" w:type="dxa"/>
            <w:vMerge/>
            <w:tcBorders>
              <w:left w:val="single" w:sz="4" w:space="0" w:color="000000"/>
              <w:right w:val="single" w:sz="4" w:space="0" w:color="000000"/>
            </w:tcBorders>
            <w:shd w:val="clear" w:color="auto" w:fill="D2D2D2"/>
          </w:tcPr>
          <w:p>
            <w:pPr/>
          </w:p>
        </w:tc>
        <w:tc>
          <w:tcPr>
            <w:tcW w:w="879"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2316"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411"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879"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8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23"/>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411"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
        </w:tc>
        <w:tc>
          <w:tcPr>
            <w:tcW w:w="912" w:type="dxa"/>
            <w:vMerge/>
            <w:tcBorders>
              <w:left w:val="single" w:sz="4" w:space="0" w:color="000000"/>
              <w:bottom w:val="nil" w:sz="6" w:space="0" w:color="auto"/>
              <w:right w:val="single" w:sz="4" w:space="0" w:color="000000"/>
            </w:tcBorders>
            <w:shd w:val="clear" w:color="auto" w:fill="D2D2D2"/>
          </w:tcPr>
          <w:p>
            <w:pPr/>
          </w:p>
        </w:tc>
        <w:tc>
          <w:tcPr>
            <w:tcW w:w="879"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79"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D2D2D2"/>
          </w:tcPr>
          <w:p>
            <w:pPr/>
          </w:p>
        </w:tc>
        <w:tc>
          <w:tcPr>
            <w:tcW w:w="119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22,020,423</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-1,500,000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17,640,317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4,380,106</w:t>
            </w:r>
          </w:p>
        </w:tc>
        <w:tc>
          <w:tcPr>
            <w:tcW w:w="1125" w:type="dxa"/>
            <w:tcBorders>
              <w:top w:val="single" w:sz="44" w:space="0" w:color="D2D2D2"/>
              <w:left w:val="single" w:sz="4" w:space="0" w:color="000000"/>
              <w:bottom w:val="single" w:sz="4" w:space="0" w:color="000000"/>
              <w:right w:val="single" w:sz="4" w:space="0" w:color="000000"/>
            </w:tcBorders>
          </w:tcPr>
          <w:p>
            <w:pPr/>
          </w:p>
        </w:tc>
        <w:tc>
          <w:tcPr>
            <w:tcW w:w="1191"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14,100,000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-1,500,000</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9"/>
        <w:gridCol w:w="1417"/>
        <w:gridCol w:w="876"/>
        <w:gridCol w:w="906"/>
        <w:gridCol w:w="884"/>
        <w:gridCol w:w="884"/>
        <w:gridCol w:w="938"/>
        <w:gridCol w:w="1100"/>
        <w:gridCol w:w="216"/>
        <w:gridCol w:w="1000"/>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5,798,400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4,372,800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1,425,600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5,730,400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4,342,800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1,387,600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泰康人寿保险股 份有限公司－分 红－个人分红</w:t>
            </w:r>
          </w:p>
          <w:p>
            <w:pPr>
              <w:pStyle w:val="TableParagraph"/>
              <w:spacing w:line="240" w:lineRule="auto" w:before="1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3.63%</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3,778,397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3,778,397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3,778,397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施玉庆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2,886,400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2,886,400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2,886,400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1,372,500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457,500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1,792,500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-417,500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1,344,375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448,125</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1,312,500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407,500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1,462,500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237,500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0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05" w:type="dxa"/>
            <w:gridSpan w:val="8"/>
            <w:vMerge w:val="restart"/>
            <w:tcBorders>
              <w:top w:val="single" w:sz="4" w:space="0" w:color="000000"/>
              <w:left w:val="single" w:sz="9" w:space="0" w:color="D2D2D2"/>
              <w:right w:val="single" w:sz="4" w:space="0" w:color="000000"/>
            </w:tcBorders>
          </w:tcPr>
          <w:p>
            <w:pPr>
              <w:pStyle w:val="TableParagraph"/>
              <w:spacing w:line="319" w:lineRule="auto" w:before="51"/>
              <w:ind w:left="16" w:right="110"/>
              <w:jc w:val="both"/>
              <w:rPr>
                <w:rFonts w:ascii="宋体" w:hAnsi="宋体" w:cs="宋体" w:eastAsia="宋体" w:hint="default"/>
                <w:sz w:val="18"/>
                <w:szCs w:val="18"/>
              </w:rPr>
            </w:pPr>
            <w:r>
              <w:rPr>
                <w:rFonts w:ascii="宋体" w:hAnsi="宋体" w:cs="宋体" w:eastAsia="宋体" w:hint="default"/>
                <w:sz w:val="18"/>
                <w:szCs w:val="18"/>
              </w:rPr>
              <w:t>公司股东刘强先生和李杰先生为一致行动人；刘强先生和刘飞先生为兄弟关系；除此 之外，未知公司其他股东是否存在关联关系或属于《上市公司股东持股变动信息披露 管理办法》规定的一致行动人。</w:t>
            </w:r>
          </w:p>
        </w:tc>
      </w:tr>
      <w:tr>
        <w:trPr>
          <w:trHeight w:val="704" w:hRule="exact"/>
        </w:trPr>
        <w:tc>
          <w:tcPr>
            <w:tcW w:w="283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805" w:type="dxa"/>
            <w:gridSpan w:val="8"/>
            <w:vMerge/>
            <w:tcBorders>
              <w:left w:val="single" w:sz="9" w:space="0" w:color="D2D2D2"/>
              <w:right w:val="single" w:sz="4" w:space="0" w:color="000000"/>
            </w:tcBorders>
          </w:tcPr>
          <w:p>
            <w:pPr/>
          </w:p>
        </w:tc>
      </w:tr>
      <w:tr>
        <w:trPr>
          <w:trHeight w:val="161" w:hRule="exact"/>
        </w:trPr>
        <w:tc>
          <w:tcPr>
            <w:tcW w:w="28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05" w:type="dxa"/>
            <w:gridSpan w:val="8"/>
            <w:vMerge/>
            <w:tcBorders>
              <w:left w:val="single" w:sz="9" w:space="0" w:color="D2D2D2"/>
              <w:bottom w:val="single" w:sz="4" w:space="0" w:color="000000"/>
              <w:right w:val="single" w:sz="4" w:space="0" w:color="000000"/>
            </w:tcBorders>
          </w:tcPr>
          <w:p>
            <w:pPr/>
          </w:p>
        </w:tc>
      </w:tr>
      <w:tr>
        <w:trPr>
          <w:trHeight w:val="402" w:hRule="exact"/>
        </w:trPr>
        <w:tc>
          <w:tcPr>
            <w:tcW w:w="964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4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1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8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16"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36" w:type="dxa"/>
            <w:gridSpan w:val="2"/>
            <w:vMerge/>
            <w:tcBorders>
              <w:left w:val="single" w:sz="4" w:space="0" w:color="000000"/>
              <w:bottom w:val="nil" w:sz="6" w:space="0" w:color="auto"/>
              <w:right w:val="single" w:sz="4" w:space="0" w:color="000000"/>
            </w:tcBorders>
            <w:shd w:val="clear" w:color="auto" w:fill="D2D2D2"/>
          </w:tcPr>
          <w:p>
            <w:pPr/>
          </w:p>
        </w:tc>
        <w:tc>
          <w:tcPr>
            <w:tcW w:w="4489" w:type="dxa"/>
            <w:gridSpan w:val="5"/>
            <w:vMerge/>
            <w:tcBorders>
              <w:left w:val="single" w:sz="4" w:space="0" w:color="000000"/>
              <w:bottom w:val="nil" w:sz="6" w:space="0" w:color="auto"/>
              <w:right w:val="single" w:sz="4" w:space="0" w:color="000000"/>
            </w:tcBorders>
            <w:shd w:val="clear" w:color="auto" w:fill="D2D2D2"/>
          </w:tcPr>
          <w:p>
            <w:pPr/>
          </w:p>
        </w:tc>
        <w:tc>
          <w:tcPr>
            <w:tcW w:w="13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4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gridSpan w:val="2"/>
            <w:vMerge/>
            <w:tcBorders>
              <w:left w:val="single" w:sz="4" w:space="0" w:color="000000"/>
              <w:bottom w:val="single" w:sz="4" w:space="0" w:color="000000"/>
              <w:right w:val="single" w:sz="4" w:space="0" w:color="000000"/>
            </w:tcBorders>
            <w:shd w:val="clear" w:color="auto" w:fill="D2D2D2"/>
          </w:tcPr>
          <w:p>
            <w:pPr/>
          </w:p>
        </w:tc>
        <w:tc>
          <w:tcPr>
            <w:tcW w:w="100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4,380,106</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4,380,106</w:t>
            </w:r>
          </w:p>
        </w:tc>
      </w:tr>
      <w:tr>
        <w:trPr>
          <w:trHeight w:val="714"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泰康人寿保险股份有限公司－分红</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－个人分红</w:t>
            </w: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3,778,397</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3,778,397</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施玉庆</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2,886,400</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2,886,400</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1,425,600</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1,425,600</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1,387,600</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1,387,600</w:t>
            </w:r>
          </w:p>
        </w:tc>
      </w:tr>
      <w:tr>
        <w:trPr>
          <w:trHeight w:val="714"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招商银行股份有限公司－东方红睿 丰灵活配置混合型证券投资基金</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649,997</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649,997</w:t>
            </w:r>
          </w:p>
        </w:tc>
      </w:tr>
      <w:tr>
        <w:trPr>
          <w:trHeight w:val="1026"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交通银行股份有限公司－泰达宏利 价值优化型成长类行业证券投资基 金</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604,512</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604,512</w:t>
            </w:r>
          </w:p>
        </w:tc>
      </w:tr>
      <w:tr>
        <w:trPr>
          <w:trHeight w:val="714"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中海信托股份有限公司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浦江之星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号集合资金信托计划二期</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593,353</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593,353</w:t>
            </w:r>
          </w:p>
        </w:tc>
      </w:tr>
      <w:tr>
        <w:trPr>
          <w:trHeight w:val="402" w:hRule="exact"/>
        </w:trPr>
        <w:tc>
          <w:tcPr>
            <w:tcW w:w="2836"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谷岩</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519,640</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519,640</w:t>
            </w:r>
          </w:p>
        </w:tc>
      </w:tr>
      <w:tr>
        <w:trPr>
          <w:trHeight w:val="714" w:hRule="exact"/>
        </w:trPr>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tc>
        <w:tc>
          <w:tcPr>
            <w:tcW w:w="6805"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公司股东刘强先生和李杰先生为一致行动人；除此之外，未知公司其他股东是否存在 关联关系或属于《上市公司股东持股变动信息披露管理办法》规定的一致行动人。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pStyle w:val="BodyText"/>
        <w:spacing w:line="240" w:lineRule="auto" w:before="44"/>
        <w:ind w:left="0" w:right="107"/>
        <w:jc w:val="right"/>
      </w:pPr>
      <w:r>
        <w:rPr/>
        <w:pict>
          <v:shape style="position:absolute;margin-left:56.459999pt;margin-top:-65.788300pt;width:482.8pt;height:85.5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5"/>
                    <w:gridCol w:w="6805"/>
                  </w:tblGrid>
                  <w:tr>
                    <w:trPr>
                      <w:trHeight w:val="67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 说明</w:t>
                        </w:r>
                      </w:p>
                    </w:tc>
                    <w:tc>
                      <w:tcPr>
                        <w:tcW w:w="680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股东施玉庆通过中国银河证券股份有限公司客户信用交易担保证券账户持有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2,886,400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pacing w:val="-3"/>
                            <w:sz w:val="18"/>
                            <w:szCs w:val="18"/>
                          </w:rPr>
                          <w:t>股，实际持有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2,886,400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股；股东谷岩除通过普通证券账户持有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12,200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股外，还通过海</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通证券股份有限公司客户信用交易担保证券账户持有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507,440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实际持有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519,640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left="154" w:right="0"/>
        <w:jc w:val="left"/>
      </w:pPr>
      <w:r>
        <w:rPr/>
        <w:t>公司股东在报告期内是否进行约定购回交易</w:t>
      </w:r>
    </w:p>
    <w:p>
      <w:pPr>
        <w:pStyle w:val="BodyText"/>
        <w:spacing w:line="338" w:lineRule="auto" w:before="117"/>
        <w:ind w:right="63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公司控股股东情况" w:id="83"/>
      <w:bookmarkEnd w:id="8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248"/>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刘强先生自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年任君正有限公司董事长，领导研发了嵌入式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Xburst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CPU</w:t>
            </w:r>
            <w:r>
              <w:rPr>
                <w:rFonts w:ascii="宋体" w:hAnsi="宋体" w:cs="宋体" w:eastAsia="宋体" w:hint="default"/>
                <w:spacing w:val="-2"/>
                <w:sz w:val="18"/>
                <w:szCs w:val="18"/>
              </w:rPr>
              <w:t>，现任北京君正董事长、总经理、君正时代执行董事、君诚易恒董事长、合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肥君正执行董事、北京集成电路产业发展股权投资基金有限公司独立董事；李杰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先生曾在中科院计算所任职，从事大型机的研制工作，曾任北京庚顿数据科技有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限公司执行董事，现任本公司董事、北京南山高科技有限公司董事、北京西邦信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息技术有限公司执行董事和总经理、北京华如科技股份有限公司董事长。</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40" w:lineRule="auto" w:before="116"/>
        <w:ind w:right="7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公司实际控制人情况" w:id="84"/>
      <w:bookmarkEnd w:id="8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
              <w:jc w:val="both"/>
              <w:rPr>
                <w:rFonts w:ascii="宋体" w:hAnsi="宋体" w:cs="宋体" w:eastAsia="宋体" w:hint="default"/>
                <w:sz w:val="18"/>
                <w:szCs w:val="18"/>
              </w:rPr>
            </w:pPr>
            <w:r>
              <w:rPr>
                <w:rFonts w:ascii="宋体" w:hAnsi="宋体" w:cs="宋体" w:eastAsia="宋体" w:hint="default"/>
                <w:sz w:val="18"/>
                <w:szCs w:val="18"/>
              </w:rPr>
              <w:t>刘强先生自</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1"/>
                <w:sz w:val="18"/>
                <w:szCs w:val="18"/>
              </w:rPr>
              <w:t> </w:t>
            </w:r>
            <w:r>
              <w:rPr>
                <w:rFonts w:ascii="宋体" w:hAnsi="宋体" w:cs="宋体" w:eastAsia="宋体" w:hint="default"/>
                <w:spacing w:val="-5"/>
                <w:sz w:val="18"/>
                <w:szCs w:val="18"/>
              </w:rPr>
              <w:t>年任君正有限公司董事长，领导研发了嵌入式</w:t>
            </w:r>
            <w:r>
              <w:rPr>
                <w:rFonts w:ascii="宋体" w:hAnsi="宋体" w:cs="宋体" w:eastAsia="宋体" w:hint="default"/>
                <w:spacing w:val="-65"/>
                <w:sz w:val="18"/>
                <w:szCs w:val="18"/>
              </w:rPr>
              <w:t> </w:t>
            </w:r>
            <w:r>
              <w:rPr>
                <w:rFonts w:ascii="Times New Roman" w:hAnsi="Times New Roman" w:cs="Times New Roman" w:eastAsia="Times New Roman" w:hint="default"/>
                <w:spacing w:val="-1"/>
                <w:w w:val="99"/>
                <w:sz w:val="18"/>
                <w:szCs w:val="18"/>
              </w:rPr>
              <w:t>Xburst</w:t>
            </w:r>
            <w:r>
              <w:rPr>
                <w:rFonts w:ascii="Times New Roman" w:hAnsi="Times New Roman" w:cs="Times New Roman" w:eastAsia="Times New Roman" w:hint="default"/>
                <w:spacing w:val="-41"/>
                <w:w w:val="99"/>
                <w:sz w:val="18"/>
                <w:szCs w:val="18"/>
              </w:rPr>
              <w:t> </w:t>
            </w:r>
            <w:r>
              <w:rPr>
                <w:rFonts w:ascii="Times New Roman" w:hAnsi="Times New Roman" w:cs="Times New Roman" w:eastAsia="Times New Roman" w:hint="default"/>
                <w:spacing w:val="-41"/>
                <w:w w:val="99"/>
                <w:sz w:val="18"/>
                <w:szCs w:val="18"/>
              </w:rPr>
            </w:r>
            <w:r>
              <w:rPr>
                <w:rFonts w:ascii="Times New Roman" w:hAnsi="Times New Roman" w:cs="Times New Roman" w:eastAsia="Times New Roman" w:hint="default"/>
                <w:sz w:val="18"/>
                <w:szCs w:val="18"/>
              </w:rPr>
              <w:t>CPU</w:t>
            </w:r>
            <w:r>
              <w:rPr>
                <w:rFonts w:ascii="宋体" w:hAnsi="宋体" w:cs="宋体" w:eastAsia="宋体" w:hint="default"/>
                <w:sz w:val="18"/>
                <w:szCs w:val="18"/>
              </w:rPr>
              <w:t>，现任北京君正董事长、总经理、君正时代执行董事、君诚易恒董事长、 合肥君正执行董事、北京集成电路产业发展股权投资基金有限公司独立董事； </w:t>
            </w:r>
            <w:r>
              <w:rPr>
                <w:rFonts w:ascii="宋体" w:hAnsi="宋体" w:cs="宋体" w:eastAsia="宋体" w:hint="default"/>
                <w:spacing w:val="-1"/>
                <w:sz w:val="18"/>
                <w:szCs w:val="18"/>
              </w:rPr>
              <w:t>李杰先生曾在中科院计算所任职，从事大型机的研制工作，曾任北京庚顿数据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科技有限公司执行董事，现任本公司董事、北京南山高科技有限公司董事、北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京西邦信息技术有限公司执行董事和总经理、北京华如科技股份有限公司董事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长。</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6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实际控制人报告期内变更</w:t>
      </w:r>
    </w:p>
    <w:p>
      <w:pPr>
        <w:pStyle w:val="BodyText"/>
        <w:spacing w:line="348" w:lineRule="auto" w:before="116"/>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21"/>
          <w:szCs w:val="21"/>
        </w:rPr>
      </w:pPr>
    </w:p>
    <w:p>
      <w:pPr>
        <w:spacing w:line="4801" w:lineRule="exact"/>
        <w:ind w:left="665"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5470126" cy="304904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5470126" cy="3049047"/>
                    </a:xfrm>
                    <a:prstGeom prst="rect">
                      <a:avLst/>
                    </a:prstGeom>
                  </pic:spPr>
                </pic:pic>
              </a:graphicData>
            </a:graphic>
          </wp:inline>
        </w:drawing>
      </w:r>
      <w:r>
        <w:rPr>
          <w:rFonts w:ascii="宋体" w:hAnsi="宋体" w:cs="宋体" w:eastAsia="宋体" w:hint="default"/>
          <w:position w:val="-95"/>
          <w:sz w:val="20"/>
          <w:szCs w:val="20"/>
        </w:rPr>
      </w:r>
    </w:p>
    <w:p>
      <w:pPr>
        <w:spacing w:line="240" w:lineRule="auto" w:before="10"/>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85"/>
      <w:bookmarkEnd w:id="8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前10吊限售条件股东持股数量及限售条件" w:id="86"/>
      <w:bookmarkEnd w:id="86"/>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17,640,317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1,344,375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赵明漪</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鹿良礼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80" w:right="0"/>
        <w:jc w:val="left"/>
        <w:rPr>
          <w:b w:val="0"/>
          <w:bCs w:val="0"/>
        </w:rPr>
      </w:pPr>
      <w:bookmarkStart w:name="第七节 董事、监事、高级管理人员和员工情况" w:id="87"/>
      <w:bookmarkEnd w:id="87"/>
      <w:r>
        <w:rPr>
          <w:b w:val="0"/>
          <w:bCs w:val="0"/>
        </w:rPr>
      </w:r>
      <w:bookmarkStart w:name="_bookmark6" w:id="88"/>
      <w:bookmarkEnd w:id="88"/>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89"/>
      <w:bookmarkEnd w:id="89"/>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持股情况" w:id="90"/>
      <w:bookmarkEnd w:id="90"/>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10"/>
        <w:gridCol w:w="766"/>
        <w:gridCol w:w="368"/>
        <w:gridCol w:w="425"/>
        <w:gridCol w:w="426"/>
        <w:gridCol w:w="992"/>
        <w:gridCol w:w="425"/>
        <w:gridCol w:w="851"/>
        <w:gridCol w:w="992"/>
        <w:gridCol w:w="851"/>
        <w:gridCol w:w="735"/>
        <w:gridCol w:w="684"/>
        <w:gridCol w:w="850"/>
        <w:gridCol w:w="566"/>
      </w:tblGrid>
      <w:tr>
        <w:trPr>
          <w:trHeight w:val="196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1"/>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7"/>
              <w:jc w:val="both"/>
              <w:rPr>
                <w:rFonts w:ascii="宋体" w:hAnsi="宋体" w:cs="宋体" w:eastAsia="宋体" w:hint="default"/>
                <w:sz w:val="18"/>
                <w:szCs w:val="18"/>
              </w:rPr>
            </w:pPr>
            <w:r>
              <w:rPr>
                <w:rFonts w:ascii="宋体" w:hAnsi="宋体" w:cs="宋体" w:eastAsia="宋体" w:hint="default"/>
                <w:sz w:val="18"/>
                <w:szCs w:val="18"/>
              </w:rPr>
              <w:t>本期 增持 股份 数量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1"/>
              <w:jc w:val="right"/>
              <w:rPr>
                <w:rFonts w:ascii="宋体" w:hAnsi="宋体" w:cs="宋体" w:eastAsia="宋体" w:hint="default"/>
                <w:sz w:val="18"/>
                <w:szCs w:val="18"/>
              </w:rPr>
            </w:pPr>
            <w:r>
              <w:rPr>
                <w:rFonts w:ascii="宋体" w:hAnsi="宋体" w:cs="宋体" w:eastAsia="宋体" w:hint="default"/>
                <w:sz w:val="18"/>
                <w:szCs w:val="18"/>
              </w:rPr>
              <w:t>期末持股数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期初持有 的股权激 励获授予 限制性股 票数量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3"/>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both"/>
              <w:rPr>
                <w:rFonts w:ascii="宋体" w:hAnsi="宋体" w:cs="宋体" w:eastAsia="宋体" w:hint="default"/>
                <w:sz w:val="18"/>
                <w:szCs w:val="18"/>
              </w:rPr>
            </w:pPr>
            <w:r>
              <w:rPr>
                <w:rFonts w:ascii="宋体" w:hAnsi="宋体" w:cs="宋体" w:eastAsia="宋体" w:hint="default"/>
                <w:sz w:val="18"/>
                <w:szCs w:val="18"/>
              </w:rPr>
              <w:t>期末持有 的股权激 励获授予 限制性股 票数量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增减 变动 原因</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23,520,423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22,020,423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总经理</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5,790,400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5,730,400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3"/>
                <w:sz w:val="18"/>
                <w:szCs w:val="18"/>
              </w:rPr>
              <w:t>理、董事</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5,830,400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5,798,400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王芹生</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傅代国</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张燕祥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3"/>
                <w:sz w:val="18"/>
                <w:szCs w:val="18"/>
              </w:rPr>
              <w:t>理、财务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总监</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653,750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3"/>
                <w:sz w:val="18"/>
                <w:szCs w:val="18"/>
              </w:rPr>
              <w:t>理、董事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会秘书</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周生雷</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10"/>
        <w:gridCol w:w="766"/>
        <w:gridCol w:w="368"/>
        <w:gridCol w:w="425"/>
        <w:gridCol w:w="426"/>
        <w:gridCol w:w="992"/>
        <w:gridCol w:w="425"/>
        <w:gridCol w:w="851"/>
        <w:gridCol w:w="992"/>
        <w:gridCol w:w="851"/>
        <w:gridCol w:w="735"/>
        <w:gridCol w:w="684"/>
        <w:gridCol w:w="850"/>
        <w:gridCol w:w="566"/>
      </w:tblGrid>
      <w:tr>
        <w:trPr>
          <w:trHeight w:val="362"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3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59,946,223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3,820,750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56,125,473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43"/>
        <w:jc w:val="left"/>
        <w:rPr>
          <w:b w:val="0"/>
          <w:bCs w:val="0"/>
        </w:rPr>
      </w:pPr>
      <w:bookmarkStart w:name="2、持有股票期权情况" w:id="91"/>
      <w:bookmarkEnd w:id="91"/>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3"/>
        <w:jc w:val="left"/>
        <w:rPr>
          <w:b w:val="0"/>
          <w:bCs w:val="0"/>
        </w:rPr>
      </w:pPr>
      <w:bookmarkStart w:name="二、任职情况" w:id="92"/>
      <w:bookmarkEnd w:id="92"/>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43"/>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38" w:lineRule="auto" w:before="102"/>
        <w:ind w:left="515" w:right="43"/>
        <w:jc w:val="left"/>
      </w:pPr>
      <w:r>
        <w:rPr>
          <w:rFonts w:ascii="Times New Roman" w:hAnsi="Times New Roman" w:cs="Times New Roman" w:eastAsia="Times New Roman" w:hint="default"/>
        </w:rPr>
        <w:t>1</w:t>
      </w:r>
      <w:r>
        <w:rPr/>
        <w:t>、董事 </w:t>
      </w:r>
      <w:r>
        <w:rPr>
          <w:spacing w:val="-2"/>
        </w:rPr>
        <w:t>刘强先生，公司董事长、总经理，中国国籍，无境外永久居住权。刘强先生出生于</w:t>
      </w:r>
      <w:r>
        <w:rPr>
          <w:rFonts w:ascii="Times New Roman" w:hAnsi="Times New Roman" w:cs="Times New Roman" w:eastAsia="Times New Roman" w:hint="default"/>
          <w:spacing w:val="-2"/>
        </w:rPr>
        <w:t>1969</w:t>
      </w:r>
      <w:r>
        <w:rPr>
          <w:spacing w:val="-2"/>
        </w:rPr>
        <w:t>年，拥有清华大学学士学位和中</w:t>
      </w:r>
    </w:p>
    <w:p>
      <w:pPr>
        <w:pStyle w:val="BodyText"/>
        <w:spacing w:line="230" w:lineRule="exact"/>
        <w:ind w:left="154" w:right="43"/>
        <w:jc w:val="left"/>
      </w:pPr>
      <w:r>
        <w:rPr/>
        <w:t>国科学院计算技术研究所工学博士学位</w:t>
      </w:r>
      <w:r>
        <w:rPr>
          <w:spacing w:val="-75"/>
        </w:rPr>
        <w:t>。</w:t>
      </w:r>
      <w:r>
        <w:rPr/>
        <w:t>刘强先生自</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2009</w:t>
      </w:r>
      <w:r>
        <w:rPr/>
        <w:t>年任君正有限公司董事长</w:t>
      </w:r>
      <w:r>
        <w:rPr>
          <w:spacing w:val="-75"/>
        </w:rPr>
        <w:t>，</w:t>
      </w:r>
      <w:r>
        <w:rPr/>
        <w:t>领导研发了嵌入式</w:t>
      </w:r>
      <w:r>
        <w:rPr>
          <w:rFonts w:ascii="Times New Roman" w:hAnsi="Times New Roman" w:cs="Times New Roman" w:eastAsia="Times New Roman" w:hint="default"/>
          <w:w w:val="99"/>
        </w:rPr>
        <w:t>Xbur</w:t>
      </w:r>
      <w:r>
        <w:rPr>
          <w:rFonts w:ascii="Times New Roman" w:hAnsi="Times New Roman" w:cs="Times New Roman" w:eastAsia="Times New Roman" w:hint="default"/>
          <w:spacing w:val="-1"/>
          <w:w w:val="99"/>
        </w:rPr>
        <w:t>s</w:t>
      </w:r>
      <w:r>
        <w:rPr>
          <w:rFonts w:ascii="Times New Roman" w:hAnsi="Times New Roman" w:cs="Times New Roman" w:eastAsia="Times New Roman" w:hint="default"/>
        </w:rPr>
        <w:t>t</w:t>
      </w:r>
      <w:r>
        <w:rPr>
          <w:rFonts w:ascii="Times New Roman" w:hAnsi="Times New Roman" w:cs="Times New Roman" w:eastAsia="Times New Roman" w:hint="default"/>
          <w:spacing w:val="-8"/>
        </w:rPr>
        <w:t> </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w w:val="99"/>
        </w:rPr>
        <w:t>P</w:t>
      </w:r>
      <w:r>
        <w:rPr>
          <w:rFonts w:ascii="Times New Roman" w:hAnsi="Times New Roman" w:cs="Times New Roman" w:eastAsia="Times New Roman" w:hint="default"/>
          <w:spacing w:val="-1"/>
          <w:w w:val="99"/>
        </w:rPr>
        <w:t>U</w:t>
      </w:r>
      <w:r>
        <w:rPr/>
        <w:t>，</w:t>
      </w:r>
    </w:p>
    <w:p>
      <w:pPr>
        <w:pStyle w:val="BodyText"/>
        <w:spacing w:line="319" w:lineRule="auto" w:before="63"/>
        <w:ind w:left="154" w:right="43"/>
        <w:jc w:val="left"/>
      </w:pPr>
      <w:r>
        <w:rPr>
          <w:spacing w:val="-2"/>
        </w:rPr>
        <w:t>现任北京君正董事长、总经理、君正时代执行董事、君诚易恒董事长、合肥君正执行董事、北京集成电路产业发展股权投资</w:t>
      </w:r>
      <w:r>
        <w:rPr>
          <w:spacing w:val="-66"/>
        </w:rPr>
        <w:t> </w:t>
      </w:r>
      <w:r>
        <w:rPr>
          <w:spacing w:val="-66"/>
        </w:rPr>
      </w:r>
      <w:r>
        <w:rPr/>
        <w:t>基金有限公司独立董事。</w:t>
      </w:r>
    </w:p>
    <w:p>
      <w:pPr>
        <w:pStyle w:val="BodyText"/>
        <w:spacing w:line="312" w:lineRule="auto" w:before="55"/>
        <w:ind w:right="93" w:firstLine="361"/>
        <w:jc w:val="left"/>
      </w:pPr>
      <w:r>
        <w:rPr>
          <w:spacing w:val="-2"/>
        </w:rPr>
        <w:t>李杰先生，公司董事，中国国籍，无境外永久居住权。李杰先生出生于</w:t>
      </w:r>
      <w:r>
        <w:rPr>
          <w:rFonts w:ascii="Times New Roman" w:hAnsi="Times New Roman" w:cs="Times New Roman" w:eastAsia="Times New Roman" w:hint="default"/>
          <w:spacing w:val="-2"/>
        </w:rPr>
        <w:t>1963</w:t>
      </w:r>
      <w:r>
        <w:rPr>
          <w:spacing w:val="-2"/>
        </w:rPr>
        <w:t>年，拥有清华大学学士学位、中科院计算所</w:t>
      </w:r>
      <w:r>
        <w:rPr/>
        <w:t> 软件工程硕士学位。李杰先生曾在中科院计算所任职，从事大型机的研制工作，曾任北京庚顿数据科技有限公司执行董事， </w:t>
      </w:r>
      <w:r>
        <w:rPr>
          <w:spacing w:val="-2"/>
        </w:rPr>
        <w:t>现任北京君正董事、北京南山高科技有限公司董事、北京西邦信息技术有限公司执行董事和总经理、北京华如科技股份有限</w:t>
      </w:r>
      <w:r>
        <w:rPr>
          <w:spacing w:val="-66"/>
        </w:rPr>
        <w:t> </w:t>
      </w:r>
      <w:r>
        <w:rPr>
          <w:spacing w:val="-66"/>
        </w:rPr>
      </w:r>
      <w:r>
        <w:rPr/>
        <w:t>公司董事长。</w:t>
      </w:r>
    </w:p>
    <w:p>
      <w:pPr>
        <w:pStyle w:val="BodyText"/>
        <w:spacing w:line="307" w:lineRule="auto" w:before="61"/>
        <w:ind w:right="93" w:firstLine="361"/>
        <w:jc w:val="left"/>
      </w:pPr>
      <w:r>
        <w:rPr>
          <w:spacing w:val="-2"/>
        </w:rPr>
        <w:t>张紧先生，公司董事、副总经理，中国国籍，无境外永久居住权。张紧先生出生于</w:t>
      </w:r>
      <w:r>
        <w:rPr>
          <w:rFonts w:ascii="Times New Roman" w:hAnsi="Times New Roman" w:cs="Times New Roman" w:eastAsia="Times New Roman" w:hint="default"/>
          <w:spacing w:val="-2"/>
        </w:rPr>
        <w:t>1962</w:t>
      </w:r>
      <w:r>
        <w:rPr>
          <w:spacing w:val="-2"/>
        </w:rPr>
        <w:t>年，拥有中国科学技术大学核物</w:t>
      </w:r>
      <w:r>
        <w:rPr/>
        <w:t> </w:t>
      </w:r>
      <w:r>
        <w:rPr>
          <w:spacing w:val="-2"/>
        </w:rPr>
        <w:t>理专业学士学位、中国原子能科学研究院核物理所物理专业硕士学位。张紧先生自</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年任君正有限董事、副总经</w:t>
      </w:r>
      <w:r>
        <w:rPr>
          <w:spacing w:val="-58"/>
        </w:rPr>
        <w:t> </w:t>
      </w:r>
      <w:r>
        <w:rPr>
          <w:spacing w:val="-58"/>
        </w:rPr>
      </w:r>
      <w:r>
        <w:rPr/>
        <w:t>理、技术总监，现任北京君正董事、副总经理、合肥君正总经理。张紧先生精通芯片的体系结构、微体系结构和逻辑电路， 领导了公司多个嵌入式</w:t>
      </w:r>
      <w:r>
        <w:rPr>
          <w:rFonts w:ascii="Times New Roman" w:hAnsi="Times New Roman" w:cs="Times New Roman" w:eastAsia="Times New Roman" w:hint="default"/>
        </w:rPr>
        <w:t>CPU</w:t>
      </w:r>
      <w:r>
        <w:rPr/>
        <w:t>芯片研发项目。</w:t>
      </w:r>
    </w:p>
    <w:p>
      <w:pPr>
        <w:pStyle w:val="BodyText"/>
        <w:spacing w:line="300" w:lineRule="auto" w:before="46"/>
        <w:ind w:left="154" w:right="191" w:firstLine="361"/>
        <w:jc w:val="both"/>
      </w:pPr>
      <w:r>
        <w:rPr>
          <w:spacing w:val="-2"/>
        </w:rPr>
        <w:t>冼永辉先生，公司董事、副总经理，中国国籍，无境外永久居住权。冼永辉先生出生于</w:t>
      </w:r>
      <w:r>
        <w:rPr>
          <w:rFonts w:ascii="Times New Roman" w:hAnsi="Times New Roman" w:cs="Times New Roman" w:eastAsia="Times New Roman" w:hint="default"/>
          <w:spacing w:val="-2"/>
        </w:rPr>
        <w:t>1968</w:t>
      </w:r>
      <w:r>
        <w:rPr>
          <w:spacing w:val="-2"/>
        </w:rPr>
        <w:t>年，拥有华中理工大学电子</w:t>
      </w:r>
      <w:r>
        <w:rPr/>
        <w:t> </w:t>
      </w:r>
      <w:r>
        <w:rPr>
          <w:spacing w:val="-2"/>
        </w:rPr>
        <w:t>与信息工程系微波技术专业学士学位。冼永辉先生自</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2012</w:t>
      </w:r>
      <w:r>
        <w:rPr>
          <w:spacing w:val="-2"/>
        </w:rPr>
        <w:t>年任公司副总经理，现任北京君正董事、副总经理、君诚</w:t>
      </w:r>
      <w:r>
        <w:rPr>
          <w:spacing w:val="-58"/>
        </w:rPr>
        <w:t> </w:t>
      </w:r>
      <w:r>
        <w:rPr>
          <w:spacing w:val="-58"/>
        </w:rPr>
      </w:r>
      <w:r>
        <w:rPr/>
        <w:t>易恒董事。冼永辉先生负责公司的系统软硬件工作，是硬件电路、操作系统底层、中间件领域的专家，主持了公司</w:t>
      </w:r>
      <w:r>
        <w:rPr>
          <w:rFonts w:ascii="Times New Roman" w:hAnsi="Times New Roman" w:cs="Times New Roman" w:eastAsia="Times New Roman" w:hint="default"/>
        </w:rPr>
        <w:t>Linux</w:t>
      </w:r>
      <w:r>
        <w:rPr/>
        <w:t>、 </w:t>
      </w:r>
      <w:r>
        <w:rPr>
          <w:rFonts w:ascii="Times New Roman" w:hAnsi="Times New Roman" w:cs="Times New Roman" w:eastAsia="Times New Roman" w:hint="default"/>
        </w:rPr>
        <w:t>Android</w:t>
      </w:r>
      <w:r>
        <w:rPr/>
        <w:t>平台及</w:t>
      </w:r>
      <w:r>
        <w:rPr>
          <w:rFonts w:ascii="Times New Roman" w:hAnsi="Times New Roman" w:cs="Times New Roman" w:eastAsia="Times New Roman" w:hint="default"/>
        </w:rPr>
        <w:t>PMP</w:t>
      </w:r>
      <w:r>
        <w:rPr/>
        <w:t>方案和智能手机方案的研发项目。</w:t>
      </w:r>
    </w:p>
    <w:p>
      <w:pPr>
        <w:pStyle w:val="BodyText"/>
        <w:spacing w:line="307" w:lineRule="auto" w:before="51"/>
        <w:ind w:right="43" w:firstLine="361"/>
        <w:jc w:val="left"/>
      </w:pPr>
      <w:r>
        <w:rPr>
          <w:spacing w:val="-4"/>
        </w:rPr>
        <w:t>王芹生女士，公司独立董事，中国国籍，无境外永久居住权。王芹生女士出生于</w:t>
      </w:r>
      <w:r>
        <w:rPr>
          <w:rFonts w:ascii="Times New Roman" w:hAnsi="Times New Roman" w:cs="Times New Roman" w:eastAsia="Times New Roman" w:hint="default"/>
          <w:spacing w:val="-4"/>
        </w:rPr>
        <w:t>1942</w:t>
      </w:r>
      <w:r>
        <w:rPr>
          <w:spacing w:val="-4"/>
        </w:rPr>
        <w:t>年，毕业于北京航空学院计算机系。</w:t>
      </w:r>
      <w:r>
        <w:rPr/>
        <w:t> </w:t>
      </w:r>
      <w:r>
        <w:rPr>
          <w:spacing w:val="-2"/>
        </w:rPr>
        <w:t>王芹生女士先后在中国华大集成电路设计集团有限公司、北京中电华大电子设计有限责任公司任职，现任中国半导体行业协</w:t>
      </w:r>
      <w:r>
        <w:rPr>
          <w:spacing w:val="-64"/>
        </w:rPr>
        <w:t> </w:t>
      </w:r>
      <w:r>
        <w:rPr>
          <w:spacing w:val="-64"/>
        </w:rPr>
      </w:r>
      <w:r>
        <w:rPr>
          <w:spacing w:val="-2"/>
        </w:rPr>
        <w:t>会荣誉副理事长，中国半导体行业协会金融</w:t>
      </w:r>
      <w:r>
        <w:rPr>
          <w:rFonts w:ascii="Times New Roman" w:hAnsi="Times New Roman" w:cs="Times New Roman" w:eastAsia="Times New Roman" w:hint="default"/>
          <w:spacing w:val="-2"/>
        </w:rPr>
        <w:t>IC</w:t>
      </w:r>
      <w:r>
        <w:rPr>
          <w:spacing w:val="-2"/>
        </w:rPr>
        <w:t>卡芯片迁移产业促进联盟主席，中国半导体行业协会集成电路设计分会荣誉理</w:t>
      </w:r>
      <w:r>
        <w:rPr>
          <w:spacing w:val="-63"/>
        </w:rPr>
        <w:t> </w:t>
      </w:r>
      <w:r>
        <w:rPr>
          <w:spacing w:val="-63"/>
        </w:rPr>
      </w:r>
      <w:r>
        <w:rPr>
          <w:spacing w:val="-2"/>
        </w:rPr>
        <w:t>事长，中国电子学会监事；北京华大信安科技有限公司、上海华申智能卡应用系统有限公司董事长；珠海全志科技股份有限</w:t>
      </w:r>
      <w:r>
        <w:rPr>
          <w:spacing w:val="-66"/>
        </w:rPr>
        <w:t> </w:t>
      </w:r>
      <w:r>
        <w:rPr>
          <w:spacing w:val="-66"/>
        </w:rPr>
      </w:r>
      <w:r>
        <w:rPr/>
        <w:t>公司独立董事。王芹生女士享受政府特殊津贴，是国家</w:t>
      </w:r>
      <w:r>
        <w:rPr>
          <w:rFonts w:ascii="Times New Roman" w:hAnsi="Times New Roman" w:cs="Times New Roman" w:eastAsia="Times New Roman" w:hint="default"/>
        </w:rPr>
        <w:t>“</w:t>
      </w:r>
      <w:r>
        <w:rPr/>
        <w:t>八五</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九五</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t>集成电路</w:t>
      </w:r>
      <w:r>
        <w:rPr>
          <w:rFonts w:ascii="Times New Roman" w:hAnsi="Times New Roman" w:cs="Times New Roman" w:eastAsia="Times New Roman" w:hint="default"/>
        </w:rPr>
        <w:t>CAD</w:t>
      </w:r>
      <w:r>
        <w:rPr/>
        <w:t>技术研究项目的主要负责人， 主持了多项国家重点集成电路品种开发和应用项目。</w:t>
      </w:r>
    </w:p>
    <w:p>
      <w:pPr>
        <w:pStyle w:val="BodyText"/>
        <w:spacing w:line="309" w:lineRule="auto" w:before="64"/>
        <w:ind w:right="190" w:firstLine="361"/>
        <w:jc w:val="both"/>
      </w:pPr>
      <w:r>
        <w:rPr>
          <w:spacing w:val="-2"/>
        </w:rPr>
        <w:t>傅代国先生，公司独立董事，中国国籍，无境外永久居住权。傅代国先生出生于</w:t>
      </w:r>
      <w:r>
        <w:rPr>
          <w:rFonts w:ascii="Times New Roman" w:hAnsi="Times New Roman" w:cs="Times New Roman" w:eastAsia="Times New Roman" w:hint="default"/>
          <w:spacing w:val="-2"/>
        </w:rPr>
        <w:t>1964</w:t>
      </w:r>
      <w:r>
        <w:rPr>
          <w:spacing w:val="-2"/>
        </w:rPr>
        <w:t>年。现任西南财经大学西部商学院</w:t>
      </w:r>
      <w:r>
        <w:rPr/>
        <w:t> </w:t>
      </w:r>
      <w:r>
        <w:rPr>
          <w:spacing w:val="-2"/>
        </w:rPr>
        <w:t>副院长、博士生导师、教授，中国会计学会会员，成都市会计学会副会长，四川省会计人才培养基地负责人。除在公司担任</w:t>
      </w:r>
      <w:r>
        <w:rPr>
          <w:spacing w:val="-70"/>
        </w:rPr>
        <w:t> </w:t>
      </w:r>
      <w:r>
        <w:rPr>
          <w:spacing w:val="-70"/>
        </w:rPr>
      </w:r>
      <w:r>
        <w:rPr/>
        <w:t>独立董事之外，傅代国先生同时还担任利尔化学股份有限公司、山东龙力生物科技股份有限公司独立董事。</w:t>
      </w:r>
    </w:p>
    <w:p>
      <w:pPr>
        <w:pStyle w:val="BodyText"/>
        <w:spacing w:line="338" w:lineRule="auto" w:before="65"/>
        <w:ind w:left="515" w:right="43" w:hanging="2"/>
        <w:jc w:val="left"/>
      </w:pPr>
      <w:r>
        <w:rPr>
          <w:rFonts w:ascii="Times New Roman" w:hAnsi="Times New Roman" w:cs="Times New Roman" w:eastAsia="Times New Roman" w:hint="default"/>
        </w:rPr>
        <w:t>2</w:t>
      </w:r>
      <w:r>
        <w:rPr/>
        <w:t>、监事 </w:t>
      </w:r>
      <w:r>
        <w:rPr>
          <w:spacing w:val="-4"/>
        </w:rPr>
        <w:t>晏晓京女士，公司监事会主席，中国国籍，无境外永久居住权。晏晓京女士出生于</w:t>
      </w:r>
      <w:r>
        <w:rPr>
          <w:rFonts w:ascii="Times New Roman" w:hAnsi="Times New Roman" w:cs="Times New Roman" w:eastAsia="Times New Roman" w:hint="default"/>
          <w:spacing w:val="-4"/>
        </w:rPr>
        <w:t>1965</w:t>
      </w:r>
      <w:r>
        <w:rPr>
          <w:spacing w:val="-4"/>
        </w:rPr>
        <w:t>年，拥有电子科技大学学士学位，</w:t>
      </w:r>
    </w:p>
    <w:p>
      <w:pPr>
        <w:pStyle w:val="BodyText"/>
        <w:spacing w:line="230" w:lineRule="exact"/>
        <w:ind w:right="43"/>
        <w:jc w:val="left"/>
      </w:pPr>
      <w:r>
        <w:rPr/>
        <w:t>高级工程师。晏晓京女士自</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2009</w:t>
      </w:r>
      <w:r>
        <w:rPr/>
        <w:t>年任君正有限部门经理，现任公司监事会主席、部门经理。晏晓京女士对芯片的外</w:t>
      </w:r>
    </w:p>
    <w:p>
      <w:pPr>
        <w:pStyle w:val="BodyText"/>
        <w:spacing w:line="319" w:lineRule="auto" w:before="64"/>
        <w:ind w:left="0" w:right="170"/>
        <w:jc w:val="right"/>
      </w:pPr>
      <w:r>
        <w:rPr>
          <w:spacing w:val="-1"/>
        </w:rPr>
        <w:t>围接口电路有丰富的经验，主持设计了闪存接口、</w:t>
      </w:r>
      <w:r>
        <w:rPr>
          <w:rFonts w:ascii="Times New Roman" w:hAnsi="Times New Roman" w:cs="Times New Roman" w:eastAsia="Times New Roman" w:hint="default"/>
          <w:spacing w:val="-1"/>
        </w:rPr>
        <w:t>UART</w:t>
      </w:r>
      <w:r>
        <w:rPr>
          <w:spacing w:val="-1"/>
        </w:rPr>
        <w:t>等多个模块，同时具体负责</w:t>
      </w:r>
      <w:r>
        <w:rPr>
          <w:rFonts w:ascii="Times New Roman" w:hAnsi="Times New Roman" w:cs="Times New Roman" w:eastAsia="Times New Roman" w:hint="default"/>
          <w:spacing w:val="-1"/>
        </w:rPr>
        <w:t>SOC</w:t>
      </w:r>
      <w:r>
        <w:rPr>
          <w:spacing w:val="-1"/>
        </w:rPr>
        <w:t>芯片从规格定义到量产的全过程。</w:t>
      </w:r>
      <w:r>
        <w:rPr>
          <w:spacing w:val="-48"/>
        </w:rPr>
        <w:t> </w:t>
      </w:r>
      <w:r>
        <w:rPr>
          <w:spacing w:val="-2"/>
        </w:rPr>
        <w:t>许志鹏先生，公司监事，中国国籍，无境外永久居住权。许志鹏先生出生于</w:t>
      </w:r>
      <w:r>
        <w:rPr>
          <w:rFonts w:ascii="Times New Roman" w:hAnsi="Times New Roman" w:cs="Times New Roman" w:eastAsia="Times New Roman" w:hint="default"/>
          <w:spacing w:val="-2"/>
        </w:rPr>
        <w:t>1973</w:t>
      </w:r>
      <w:r>
        <w:rPr>
          <w:spacing w:val="-2"/>
        </w:rPr>
        <w:t>年，拥有西南石油学院学士学位。许志</w:t>
      </w:r>
      <w:r>
        <w:rPr/>
        <w:t> </w:t>
      </w:r>
      <w:r>
        <w:rPr>
          <w:spacing w:val="-1"/>
        </w:rPr>
        <w:t>鹏先生自</w:t>
      </w:r>
      <w:r>
        <w:rPr>
          <w:rFonts w:ascii="Times New Roman" w:hAnsi="Times New Roman" w:cs="Times New Roman" w:eastAsia="Times New Roman" w:hint="default"/>
          <w:spacing w:val="-1"/>
        </w:rPr>
        <w:t>2005</w:t>
      </w:r>
      <w:r>
        <w:rPr>
          <w:spacing w:val="-1"/>
        </w:rPr>
        <w:t>年至</w:t>
      </w:r>
      <w:r>
        <w:rPr>
          <w:rFonts w:ascii="Times New Roman" w:hAnsi="Times New Roman" w:cs="Times New Roman" w:eastAsia="Times New Roman" w:hint="default"/>
          <w:spacing w:val="-1"/>
        </w:rPr>
        <w:t>2009</w:t>
      </w:r>
      <w:r>
        <w:rPr>
          <w:spacing w:val="-1"/>
        </w:rPr>
        <w:t>年任君正有限部门经理，现任公司监事、行业事业部总监。许志鹏先生精通</w:t>
      </w:r>
      <w:r>
        <w:rPr>
          <w:rFonts w:ascii="Times New Roman" w:hAnsi="Times New Roman" w:cs="Times New Roman" w:eastAsia="Times New Roman" w:hint="default"/>
          <w:spacing w:val="-1"/>
        </w:rPr>
        <w:t>Linux</w:t>
      </w:r>
      <w:r>
        <w:rPr>
          <w:spacing w:val="-1"/>
        </w:rPr>
        <w:t>操作系统软件和多</w:t>
      </w:r>
    </w:p>
    <w:p>
      <w:pPr>
        <w:pStyle w:val="BodyText"/>
        <w:spacing w:line="234" w:lineRule="exact"/>
        <w:ind w:right="43"/>
        <w:jc w:val="left"/>
      </w:pPr>
      <w:r>
        <w:rPr/>
        <w:t>媒体软件，领导了公司操作系统底层的研制和多媒体播放器软件的研制。</w:t>
      </w:r>
    </w:p>
    <w:p>
      <w:pPr>
        <w:spacing w:after="0" w:line="234" w:lineRule="exact"/>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2" w:lineRule="auto" w:before="44"/>
        <w:ind w:right="92" w:firstLine="361"/>
        <w:jc w:val="left"/>
      </w:pPr>
      <w:r>
        <w:rPr/>
        <w:t>刘飞先生，公司职工代表监事，中国国籍，无境外永久居住权。刘飞先生出生于</w:t>
      </w:r>
      <w:r>
        <w:rPr>
          <w:rFonts w:ascii="Times New Roman" w:hAnsi="Times New Roman" w:cs="Times New Roman" w:eastAsia="Times New Roman" w:hint="default"/>
        </w:rPr>
        <w:t>1972</w:t>
      </w:r>
      <w:r>
        <w:rPr/>
        <w:t>年，拥有吉林工业大学学士学位。 刘飞先生自</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2009</w:t>
      </w:r>
      <w:r>
        <w:rPr/>
        <w:t>年任君正有限项目经理。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日，被选举为公司职工代表监事。</w:t>
      </w:r>
    </w:p>
    <w:p>
      <w:pPr>
        <w:pStyle w:val="BodyText"/>
        <w:spacing w:line="338" w:lineRule="auto" w:before="50"/>
        <w:ind w:left="515" w:right="2381" w:hanging="2"/>
        <w:jc w:val="left"/>
      </w:pPr>
      <w:r>
        <w:rPr>
          <w:rFonts w:ascii="Times New Roman" w:hAnsi="Times New Roman" w:cs="Times New Roman" w:eastAsia="Times New Roman" w:hint="default"/>
        </w:rPr>
        <w:t>3</w:t>
      </w:r>
      <w:r>
        <w:rPr/>
        <w:t>、高级管理人员 刘强先生，公司董事长、总经理，其个人简历详见本节</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张紧先生，公司董事、副总经理，其个人简历详见本节之</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冼永辉先生，公司董事、副总经理，其个人简历详见本节之</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w:t>
      </w:r>
    </w:p>
    <w:p>
      <w:pPr>
        <w:pStyle w:val="BodyText"/>
        <w:spacing w:line="302" w:lineRule="auto" w:before="20"/>
        <w:ind w:right="92" w:firstLine="361"/>
        <w:jc w:val="left"/>
      </w:pPr>
      <w:r>
        <w:rPr/>
        <w:t>张燕祥女士，公司副总经理、财务总监，中国国籍，无境外永久居住权。张燕祥女士出生于</w:t>
      </w:r>
      <w:r>
        <w:rPr>
          <w:rFonts w:ascii="Times New Roman" w:hAnsi="Times New Roman" w:cs="Times New Roman" w:eastAsia="Times New Roman" w:hint="default"/>
        </w:rPr>
        <w:t>1968</w:t>
      </w:r>
      <w:r>
        <w:rPr/>
        <w:t>年，管理学学士学位， 在读中央财经大学研究生。张燕祥女士自</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2009</w:t>
      </w:r>
      <w:r>
        <w:rPr/>
        <w:t>年任君正有限财务总监，现任公司副总经理、财务总监。</w:t>
      </w:r>
    </w:p>
    <w:p>
      <w:pPr>
        <w:pStyle w:val="BodyText"/>
        <w:spacing w:line="300" w:lineRule="auto" w:before="49"/>
        <w:ind w:right="93" w:firstLine="361"/>
        <w:jc w:val="left"/>
      </w:pPr>
      <w:r>
        <w:rPr>
          <w:spacing w:val="-5"/>
        </w:rPr>
        <w:t>张敏女士，公司副总经理、董事会秘书、商务总监、君正时代监事，中国国籍，无境外永久居住权。张敏女士出生于</w:t>
      </w:r>
      <w:r>
        <w:rPr>
          <w:rFonts w:ascii="Times New Roman" w:hAnsi="Times New Roman" w:cs="Times New Roman" w:eastAsia="Times New Roman" w:hint="default"/>
          <w:spacing w:val="-5"/>
        </w:rPr>
        <w:t>1973</w:t>
      </w:r>
      <w:r>
        <w:rPr>
          <w:rFonts w:ascii="Times New Roman" w:hAnsi="Times New Roman" w:cs="Times New Roman" w:eastAsia="Times New Roman" w:hint="default"/>
        </w:rPr>
        <w:t> </w:t>
      </w:r>
      <w:r>
        <w:rPr/>
        <w:t>年，拥有四川大学化学纤维专业硕士学位、清华大学工商管理硕士学位。张敏女士自</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2009</w:t>
      </w:r>
      <w:r>
        <w:rPr/>
        <w:t>年任君正有限商务总监， 现任公司副总经理、董事会秘书，商务总监、君正时代监事、君诚易恒监事。</w:t>
      </w:r>
    </w:p>
    <w:p>
      <w:pPr>
        <w:pStyle w:val="BodyText"/>
        <w:spacing w:line="302" w:lineRule="auto" w:before="70"/>
        <w:ind w:right="43" w:firstLine="361"/>
        <w:jc w:val="left"/>
      </w:pPr>
      <w:r>
        <w:rPr>
          <w:spacing w:val="-2"/>
        </w:rPr>
        <w:t>周生雷先生，公司副总经理，中国国籍，无境外永久居住权。周生雷先生出生于</w:t>
      </w:r>
      <w:r>
        <w:rPr>
          <w:rFonts w:ascii="Times New Roman" w:hAnsi="Times New Roman" w:cs="Times New Roman" w:eastAsia="Times New Roman" w:hint="default"/>
          <w:spacing w:val="-2"/>
        </w:rPr>
        <w:t>1975</w:t>
      </w:r>
      <w:r>
        <w:rPr>
          <w:spacing w:val="-2"/>
        </w:rPr>
        <w:t>年，拥有西安电子科技大学工学硕</w:t>
      </w:r>
      <w:r>
        <w:rPr/>
        <w:t> 士学位。周生雷先生自</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2009</w:t>
      </w:r>
      <w:r>
        <w:rPr/>
        <w:t>年任君正有限市场总监，现任公司副总经理。</w:t>
      </w:r>
    </w:p>
    <w:p>
      <w:pPr>
        <w:pStyle w:val="BodyText"/>
        <w:spacing w:line="240" w:lineRule="auto" w:before="52"/>
        <w:ind w:right="43"/>
        <w:jc w:val="left"/>
      </w:pPr>
      <w:r>
        <w:rPr/>
        <w:t>在股东单位任职情况</w:t>
      </w:r>
    </w:p>
    <w:p>
      <w:pPr>
        <w:pStyle w:val="BodyText"/>
        <w:spacing w:line="338" w:lineRule="auto" w:before="116"/>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3"/>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635"/>
        <w:gridCol w:w="1134"/>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王芹生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北京华大信安科技有限公司、上海华申 智能卡应用系统有限公司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傅代国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西部商学院 副院长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北京南山高科技有限公司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北京西邦信息技术有限公司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执行董事和 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43"/>
        <w:jc w:val="left"/>
        <w:rPr>
          <w:b w:val="0"/>
          <w:bCs w:val="0"/>
        </w:rPr>
      </w:pPr>
      <w:bookmarkStart w:name="三、董事、监事、高级管理人员报酬情况" w:id="93"/>
      <w:bookmarkEnd w:id="93"/>
      <w:r>
        <w:rPr>
          <w:b w:val="0"/>
          <w:bCs w:val="0"/>
        </w:rPr>
      </w: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ind w:left="0" w:right="199"/>
        <w:jc w:val="right"/>
      </w:pPr>
      <w:r>
        <w:rPr/>
        <w:pict>
          <v:shape style="position:absolute;margin-left:56.459999pt;margin-top:-18.648289pt;width:479.2pt;height:138.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5308"/>
                  </w:tblGrid>
                  <w:tr>
                    <w:trPr>
                      <w:trHeight w:val="1339"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独立董事津贴由董事会提名与薪酬委员会提出方案，董事会审议通 </w:t>
                        </w:r>
                        <w:r>
                          <w:rPr>
                            <w:rFonts w:ascii="宋体" w:hAnsi="宋体" w:cs="宋体" w:eastAsia="宋体" w:hint="default"/>
                            <w:spacing w:val="-3"/>
                            <w:sz w:val="18"/>
                            <w:szCs w:val="18"/>
                          </w:rPr>
                          <w:t>过后，提交股东大会审议；公司董事和监事不领取董事、监事津贴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只领取在公司担任其他职务的职务薪酬；高级管理人员薪酬由董事 会提名与薪酬委员会提出方案，董事会审议。</w:t>
                        </w:r>
                      </w:p>
                    </w:tc>
                  </w:tr>
                  <w:tr>
                    <w:trPr>
                      <w:trHeight w:val="1026"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公司董事、监事及高级管理人员薪酬根据公司《董事、监事、高级 管理人员薪酬及绩效考核管理制度》确定，由董事会提名与薪酬委 员会组织并考核。</w:t>
                        </w:r>
                      </w:p>
                    </w:tc>
                  </w:tr>
                  <w:tr>
                    <w:trPr>
                      <w:trHeight w:val="403"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独立董事津贴按季度发放；董事、监事和高级管理人员薪酬按月发</w:t>
                        </w:r>
                      </w:p>
                    </w:tc>
                  </w:tr>
                </w:tbl>
                <w:p>
                  <w:pPr/>
                </w:p>
              </w:txbxContent>
            </v:textbox>
            <w10:wrap type="none"/>
          </v:shape>
        </w:pict>
      </w:r>
      <w:r>
        <w:rPr/>
        <w:t>，</w:t>
      </w:r>
    </w:p>
    <w:p>
      <w:pPr>
        <w:spacing w:after="0" w:line="240" w:lineRule="auto"/>
        <w:jc w:val="right"/>
        <w:sectPr>
          <w:pgSz w:w="11910" w:h="16840"/>
          <w:pgMar w:header="747" w:footer="979" w:top="1060" w:bottom="1160" w:left="980" w:right="940"/>
        </w:sectPr>
      </w:pPr>
    </w:p>
    <w:p>
      <w:pPr>
        <w:spacing w:line="240" w:lineRule="auto" w:before="2"/>
        <w:rPr>
          <w:rFonts w:ascii="宋体" w:hAnsi="宋体" w:cs="宋体" w:eastAsia="宋体" w:hint="default"/>
          <w:sz w:val="28"/>
          <w:szCs w:val="28"/>
        </w:rPr>
      </w:pPr>
    </w:p>
    <w:p>
      <w:pPr>
        <w:spacing w:line="381" w:lineRule="exact"/>
        <w:ind w:left="2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252;height:353" coordorigin="10,14" coordsize="4252,353">
              <v:shape style="position:absolute;left:10;top:14;width:4252;height:353" coordorigin="10,14" coordsize="4252,353" path="m10,367l4261,367,4261,14,10,14,10,367xe" filled="true" fillcolor="#d2d2d2" stroked="false">
                <v:path arrowok="t"/>
                <v:fill type="solid"/>
              </v:shape>
            </v:group>
            <v:group style="position:absolute;left:10;top:10;width:4252;height:2" coordorigin="10,10" coordsize="4252,2">
              <v:shape style="position:absolute;left:10;top:10;width:4252;height:2" coordorigin="10,10" coordsize="4252,0" path="m10,10l4261,10e" filled="false" stroked="true" strokeweight=".48pt" strokecolor="#000000">
                <v:path arrowok="t"/>
              </v:shape>
            </v:group>
            <v:group style="position:absolute;left:4270;top:10;width:5299;height:2" coordorigin="4270,10" coordsize="5299,2">
              <v:shape style="position:absolute;left:4270;top:10;width:5299;height:2" coordorigin="4270,10" coordsize="5299,0" path="m4270,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252;height:2" coordorigin="10,372" coordsize="4252,2">
              <v:shape style="position:absolute;left:10;top:372;width:4252;height:2" coordorigin="10,372" coordsize="4252,0" path="m10,372l4261,372e" filled="false" stroked="true" strokeweight=".48pt" strokecolor="#000000">
                <v:path arrowok="t"/>
              </v:shape>
            </v:group>
            <v:group style="position:absolute;left:4266;top:5;width:2;height:372" coordorigin="4266,5" coordsize="2,372">
              <v:shape style="position:absolute;left:4266;top:5;width:2;height:372" coordorigin="4266,5" coordsize="0,372" path="m4266,5l4266,377e" filled="false" stroked="true" strokeweight=".48pt" strokecolor="#000000">
                <v:path arrowok="t"/>
              </v:shape>
            </v:group>
            <v:group style="position:absolute;left:4270;top:372;width:5299;height:2" coordorigin="4270,372" coordsize="5299,2">
              <v:shape style="position:absolute;left:4270;top:372;width:5299;height:2" coordorigin="4270,372" coordsize="5299,0" path="m4270,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266;top:10;width:5308;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放，奖金年度发放。</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left="214" w:right="0"/>
        <w:jc w:val="left"/>
      </w:pPr>
      <w:r>
        <w:rPr/>
        <w:t>公司报告期内董事、监事和高级管理人员报酬情况</w:t>
      </w:r>
    </w:p>
    <w:p>
      <w:pPr>
        <w:pStyle w:val="BodyText"/>
        <w:spacing w:line="240" w:lineRule="auto" w:before="117"/>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994"/>
        <w:gridCol w:w="2125"/>
        <w:gridCol w:w="851"/>
        <w:gridCol w:w="851"/>
        <w:gridCol w:w="1134"/>
        <w:gridCol w:w="1196"/>
        <w:gridCol w:w="1196"/>
        <w:gridCol w:w="1294"/>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0" w:right="10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冼永辉</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王芹生</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傅代国</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晏晓京</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许志鹏</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张燕祥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周生雷</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2,432,000</w:t>
            </w:r>
          </w:p>
        </w:tc>
      </w:tr>
    </w:tbl>
    <w:p>
      <w:pPr>
        <w:pStyle w:val="BodyText"/>
        <w:spacing w:line="240" w:lineRule="auto" w:before="51"/>
        <w:ind w:left="214" w:right="0"/>
        <w:jc w:val="left"/>
      </w:pPr>
      <w:r>
        <w:rPr/>
        <w:t>公司董事、监事、高级管理人员报告期内被授予的股权激励情况</w:t>
      </w:r>
    </w:p>
    <w:p>
      <w:pPr>
        <w:pStyle w:val="BodyText"/>
        <w:spacing w:line="240" w:lineRule="auto" w:before="117"/>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3" w:right="0"/>
        <w:jc w:val="left"/>
        <w:rPr>
          <w:b w:val="0"/>
          <w:bCs w:val="0"/>
        </w:rPr>
      </w:pPr>
      <w:bookmarkStart w:name="四、公司董事、监事、高级管理人员变动情况" w:id="94"/>
      <w:bookmarkEnd w:id="94"/>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330"/>
        <w:gridCol w:w="1336"/>
        <w:gridCol w:w="1326"/>
        <w:gridCol w:w="1787"/>
        <w:gridCol w:w="3790"/>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刘飞</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职工代表大会选举产生</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姜君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离职</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因工作调动</w:t>
            </w:r>
          </w:p>
        </w:tc>
      </w:tr>
    </w:tbl>
    <w:p>
      <w:pPr>
        <w:spacing w:line="240" w:lineRule="auto" w:before="2"/>
        <w:rPr>
          <w:rFonts w:ascii="宋体" w:hAnsi="宋体" w:cs="宋体" w:eastAsia="宋体" w:hint="default"/>
          <w:b/>
          <w:bCs/>
          <w:sz w:val="18"/>
          <w:szCs w:val="18"/>
        </w:rPr>
      </w:pPr>
    </w:p>
    <w:p>
      <w:pPr>
        <w:pStyle w:val="Heading2"/>
        <w:spacing w:line="240" w:lineRule="auto" w:before="26"/>
        <w:ind w:left="214" w:right="0"/>
        <w:jc w:val="left"/>
        <w:rPr>
          <w:b w:val="0"/>
          <w:bCs w:val="0"/>
        </w:rPr>
      </w:pPr>
      <w:bookmarkStart w:name="五、报告期核心技术团队或关键技术人员变动情况（非董事、监事、高级管理人员）" w:id="95"/>
      <w:bookmarkEnd w:id="95"/>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3"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214" w:right="0"/>
        <w:jc w:val="left"/>
        <w:rPr>
          <w:b w:val="0"/>
          <w:bCs w:val="0"/>
        </w:rPr>
      </w:pPr>
      <w:bookmarkStart w:name="六、公司员工情况" w:id="96"/>
      <w:bookmarkEnd w:id="96"/>
      <w:r>
        <w:rPr>
          <w:b w:val="0"/>
          <w:bCs w:val="0"/>
        </w:rPr>
      </w:r>
      <w:r>
        <w:rPr/>
        <w:t>六、公司员工情况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3"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日，公司及全资子公司、控股子公司总人数为</w:t>
      </w:r>
      <w:r>
        <w:rPr>
          <w:rFonts w:ascii="Times New Roman" w:hAnsi="Times New Roman" w:cs="Times New Roman" w:eastAsia="Times New Roman" w:hint="default"/>
        </w:rPr>
        <w:t>271</w:t>
      </w:r>
      <w:r>
        <w:rPr/>
        <w:t>人，其中各类人员构成情况如下：</w:t>
      </w:r>
    </w:p>
    <w:p>
      <w:pPr>
        <w:pStyle w:val="BodyText"/>
        <w:spacing w:line="240" w:lineRule="auto" w:before="103"/>
        <w:ind w:left="573" w:right="0"/>
        <w:jc w:val="left"/>
      </w:pPr>
      <w:r>
        <w:rPr>
          <w:rFonts w:ascii="Times New Roman" w:hAnsi="Times New Roman" w:cs="Times New Roman" w:eastAsia="Times New Roman" w:hint="default"/>
        </w:rPr>
        <w:t>1</w:t>
      </w:r>
      <w:r>
        <w:rPr/>
        <w:t>、按专业结构划分</w:t>
      </w:r>
    </w:p>
    <w:p>
      <w:pPr>
        <w:spacing w:line="240" w:lineRule="auto" w:before="12"/>
        <w:rPr>
          <w:rFonts w:ascii="宋体" w:hAnsi="宋体" w:cs="宋体" w:eastAsia="宋体" w:hint="default"/>
          <w:sz w:val="6"/>
          <w:szCs w:val="6"/>
        </w:rPr>
      </w:pPr>
    </w:p>
    <w:tbl>
      <w:tblPr>
        <w:tblW w:w="0" w:type="auto"/>
        <w:jc w:val="left"/>
        <w:tblInd w:w="206" w:type="dxa"/>
        <w:tblLayout w:type="fixed"/>
        <w:tblCellMar>
          <w:top w:w="0" w:type="dxa"/>
          <w:left w:w="0" w:type="dxa"/>
          <w:bottom w:w="0" w:type="dxa"/>
          <w:right w:w="0" w:type="dxa"/>
        </w:tblCellMar>
        <w:tblLook w:val="01E0"/>
      </w:tblPr>
      <w:tblGrid>
        <w:gridCol w:w="3119"/>
        <w:gridCol w:w="3119"/>
        <w:gridCol w:w="3120"/>
      </w:tblGrid>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专业</w:t>
            </w:r>
            <w:r>
              <w:rPr>
                <w:rFonts w:ascii="宋体" w:hAnsi="宋体" w:cs="宋体" w:eastAsia="宋体" w:hint="default"/>
                <w:sz w:val="18"/>
                <w:szCs w:val="18"/>
              </w:rPr>
            </w:r>
          </w:p>
        </w:tc>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369"/>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1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16"/>
              <w:jc w:val="right"/>
              <w:rPr>
                <w:rFonts w:ascii="Times New Roman" w:hAnsi="Times New Roman" w:cs="Times New Roman" w:eastAsia="Times New Roman" w:hint="default"/>
                <w:sz w:val="18"/>
                <w:szCs w:val="18"/>
              </w:rPr>
            </w:pPr>
            <w:r>
              <w:rPr>
                <w:rFonts w:ascii="Times New Roman"/>
                <w:sz w:val="18"/>
              </w:rPr>
              <w:t>224</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82.66%</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60"/>
              <w:jc w:val="right"/>
              <w:rPr>
                <w:rFonts w:ascii="Times New Roman" w:hAnsi="Times New Roman" w:cs="Times New Roman" w:eastAsia="Times New Roman" w:hint="default"/>
                <w:sz w:val="18"/>
                <w:szCs w:val="18"/>
              </w:rPr>
            </w:pPr>
            <w:r>
              <w:rPr>
                <w:rFonts w:ascii="Times New Roman"/>
                <w:sz w:val="18"/>
              </w:rPr>
              <w:t>15</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5.54%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2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19"/>
        <w:gridCol w:w="3119"/>
        <w:gridCol w:w="3120"/>
      </w:tblGrid>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3.69%</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2.58%</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其他人员</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5.54%</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271</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left="514" w:right="0"/>
        <w:jc w:val="left"/>
      </w:pPr>
      <w:r>
        <w:rPr>
          <w:rFonts w:ascii="Times New Roman" w:hAnsi="Times New Roman" w:cs="Times New Roman" w:eastAsia="Times New Roman" w:hint="default"/>
        </w:rPr>
        <w:t>2</w:t>
      </w:r>
      <w:r>
        <w:rPr/>
        <w:t>、按受教育程度划分</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119"/>
        <w:gridCol w:w="3119"/>
        <w:gridCol w:w="3120"/>
      </w:tblGrid>
      <w:tr>
        <w:trPr>
          <w:trHeight w:val="334"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学历</w:t>
            </w:r>
            <w:r>
              <w:rPr>
                <w:rFonts w:ascii="宋体" w:hAnsi="宋体" w:cs="宋体" w:eastAsia="宋体" w:hint="default"/>
                <w:sz w:val="18"/>
                <w:szCs w:val="18"/>
              </w:rPr>
            </w:r>
          </w:p>
        </w:tc>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369"/>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1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60"/>
              <w:jc w:val="right"/>
              <w:rPr>
                <w:rFonts w:ascii="Times New Roman" w:hAnsi="Times New Roman" w:cs="Times New Roman" w:eastAsia="Times New Roman" w:hint="default"/>
                <w:sz w:val="18"/>
                <w:szCs w:val="18"/>
              </w:rPr>
            </w:pPr>
            <w:r>
              <w:rPr>
                <w:rFonts w:ascii="Times New Roman"/>
                <w:sz w:val="18"/>
              </w:rPr>
              <w:t>63</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23.25%</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16"/>
              <w:jc w:val="right"/>
              <w:rPr>
                <w:rFonts w:ascii="Times New Roman" w:hAnsi="Times New Roman" w:cs="Times New Roman" w:eastAsia="Times New Roman" w:hint="default"/>
                <w:sz w:val="18"/>
                <w:szCs w:val="18"/>
              </w:rPr>
            </w:pPr>
            <w:r>
              <w:rPr>
                <w:rFonts w:ascii="Times New Roman"/>
                <w:sz w:val="18"/>
              </w:rPr>
              <w:t>173</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63.84%</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60"/>
              <w:jc w:val="right"/>
              <w:rPr>
                <w:rFonts w:ascii="Times New Roman" w:hAnsi="Times New Roman" w:cs="Times New Roman" w:eastAsia="Times New Roman" w:hint="default"/>
                <w:sz w:val="18"/>
                <w:szCs w:val="18"/>
              </w:rPr>
            </w:pPr>
            <w:r>
              <w:rPr>
                <w:rFonts w:ascii="Times New Roman"/>
                <w:sz w:val="18"/>
              </w:rPr>
              <w:t>35</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12.92%</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16"/>
              <w:jc w:val="right"/>
              <w:rPr>
                <w:rFonts w:ascii="Times New Roman" w:hAnsi="Times New Roman" w:cs="Times New Roman" w:eastAsia="Times New Roman" w:hint="default"/>
                <w:sz w:val="18"/>
                <w:szCs w:val="18"/>
              </w:rPr>
            </w:pPr>
            <w:r>
              <w:rPr>
                <w:rFonts w:ascii="Times New Roman"/>
                <w:sz w:val="18"/>
              </w:rPr>
              <w:t>271</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left="514" w:right="0"/>
        <w:jc w:val="left"/>
      </w:pPr>
      <w:r>
        <w:rPr>
          <w:rFonts w:ascii="Times New Roman" w:hAnsi="Times New Roman" w:cs="Times New Roman" w:eastAsia="Times New Roman" w:hint="default"/>
        </w:rPr>
        <w:t>3</w:t>
      </w:r>
      <w:r>
        <w:rPr/>
        <w:t>、按年龄划分</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119"/>
        <w:gridCol w:w="3119"/>
        <w:gridCol w:w="3120"/>
      </w:tblGrid>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369"/>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1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16"/>
              <w:jc w:val="right"/>
              <w:rPr>
                <w:rFonts w:ascii="Times New Roman" w:hAnsi="Times New Roman" w:cs="Times New Roman" w:eastAsia="Times New Roman" w:hint="default"/>
                <w:sz w:val="18"/>
                <w:szCs w:val="18"/>
              </w:rPr>
            </w:pPr>
            <w:r>
              <w:rPr>
                <w:rFonts w:ascii="Times New Roman"/>
                <w:sz w:val="18"/>
              </w:rPr>
              <w:t>187</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69.00%</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60"/>
              <w:jc w:val="right"/>
              <w:rPr>
                <w:rFonts w:ascii="Times New Roman" w:hAnsi="Times New Roman" w:cs="Times New Roman" w:eastAsia="Times New Roman" w:hint="default"/>
                <w:sz w:val="18"/>
                <w:szCs w:val="18"/>
              </w:rPr>
            </w:pPr>
            <w:r>
              <w:rPr>
                <w:rFonts w:ascii="Times New Roman"/>
                <w:sz w:val="18"/>
              </w:rPr>
              <w:t>67</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24.72%</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r>
              <w:rPr>
                <w:rFonts w:ascii="Times New Roman" w:hAnsi="Times New Roman" w:cs="Times New Roman" w:eastAsia="Times New Roman" w:hint="default"/>
                <w:sz w:val="18"/>
                <w:szCs w:val="18"/>
              </w:rPr>
              <w:t>1</w:t>
            </w:r>
            <w:r>
              <w:rPr>
                <w:rFonts w:ascii="宋体" w:hAnsi="宋体" w:cs="宋体" w:eastAsia="宋体" w:hint="default"/>
                <w:sz w:val="18"/>
                <w:szCs w:val="18"/>
              </w:rPr>
              <w:t>人）</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60"/>
              <w:jc w:val="right"/>
              <w:rPr>
                <w:rFonts w:ascii="Times New Roman" w:hAnsi="Times New Roman" w:cs="Times New Roman" w:eastAsia="Times New Roman" w:hint="default"/>
                <w:sz w:val="18"/>
                <w:szCs w:val="18"/>
              </w:rPr>
            </w:pPr>
            <w:r>
              <w:rPr>
                <w:rFonts w:ascii="Times New Roman"/>
                <w:sz w:val="18"/>
              </w:rPr>
              <w:t>17</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6.27%</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16"/>
              <w:jc w:val="right"/>
              <w:rPr>
                <w:rFonts w:ascii="Times New Roman" w:hAnsi="Times New Roman" w:cs="Times New Roman" w:eastAsia="Times New Roman" w:hint="default"/>
                <w:sz w:val="18"/>
                <w:szCs w:val="18"/>
              </w:rPr>
            </w:pPr>
            <w:r>
              <w:rPr>
                <w:rFonts w:ascii="Times New Roman"/>
                <w:sz w:val="18"/>
              </w:rPr>
              <w:t>271</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left="732" w:right="0"/>
        <w:jc w:val="left"/>
      </w:pPr>
      <w:r>
        <w:rPr>
          <w:rFonts w:ascii="Times New Roman" w:hAnsi="Times New Roman" w:cs="Times New Roman" w:eastAsia="Times New Roman" w:hint="default"/>
        </w:rPr>
        <w:t>4</w:t>
      </w:r>
      <w:r>
        <w:rPr/>
        <w:t>、截止报告期末，公司没有需承担费用的离退休人员。</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9"/>
        <w:jc w:val="center"/>
        <w:rPr>
          <w:b w:val="0"/>
          <w:bCs w:val="0"/>
        </w:rPr>
      </w:pPr>
      <w:bookmarkStart w:name="第八节 公司治理" w:id="97"/>
      <w:bookmarkEnd w:id="97"/>
      <w:r>
        <w:rPr>
          <w:b w:val="0"/>
          <w:bCs w:val="0"/>
        </w:rPr>
      </w:r>
      <w:bookmarkStart w:name="_bookmark7" w:id="98"/>
      <w:bookmarkEnd w:id="98"/>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99"/>
      <w:bookmarkEnd w:id="99"/>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43"/>
        <w:jc w:val="left"/>
      </w:pPr>
      <w:r>
        <w:rPr>
          <w:spacing w:val="-4"/>
        </w:rPr>
        <w:t>报告期内，公司严格按照《公司法》、《证券法》、《上市公司治理准则》、《深圳证券交易所创业板股票上市规则》、</w:t>
      </w:r>
    </w:p>
    <w:p>
      <w:pPr>
        <w:pStyle w:val="BodyText"/>
        <w:spacing w:line="316" w:lineRule="auto" w:before="76"/>
        <w:ind w:right="191"/>
        <w:jc w:val="both"/>
      </w:pPr>
      <w:r>
        <w:rPr>
          <w:spacing w:val="-2"/>
        </w:rPr>
        <w:t>《深圳证券交易所创业板上市公司规范运作指引》等有关法律、法规的要求，不断完善法人治理结构，建立健全公司内部控</w:t>
      </w:r>
      <w:r>
        <w:rPr>
          <w:spacing w:val="-66"/>
        </w:rPr>
        <w:t> </w:t>
      </w:r>
      <w:r>
        <w:rPr>
          <w:spacing w:val="-66"/>
        </w:rPr>
      </w:r>
      <w:r>
        <w:rPr>
          <w:spacing w:val="-2"/>
        </w:rPr>
        <w:t>制制度，充分发挥董事会各专门委员会的职能和作用，更好的提升董事会专业化程度，进一步促进公司规范运作，提高公司</w:t>
      </w:r>
      <w:r>
        <w:rPr>
          <w:spacing w:val="-66"/>
        </w:rPr>
        <w:t> </w:t>
      </w:r>
      <w:r>
        <w:rPr>
          <w:spacing w:val="-66"/>
        </w:rPr>
      </w:r>
      <w:r>
        <w:rPr/>
        <w:t>整体治理水平。</w:t>
      </w:r>
    </w:p>
    <w:p>
      <w:pPr>
        <w:pStyle w:val="BodyText"/>
        <w:spacing w:line="312" w:lineRule="auto" w:before="19"/>
        <w:ind w:right="93" w:firstLine="360"/>
        <w:jc w:val="left"/>
      </w:pPr>
      <w:r>
        <w:rPr>
          <w:spacing w:val="-2"/>
        </w:rPr>
        <w:t>公司董事会对报告期内公司财务报告、信息披露、关联交易、对外担保等事务相关的内部控制制度的建立和实施情况进</w:t>
      </w:r>
      <w:r>
        <w:rPr/>
        <w:t> </w:t>
      </w:r>
      <w:r>
        <w:rPr>
          <w:spacing w:val="-2"/>
        </w:rPr>
        <w:t>行了审查，出具了《北京君正集成电路股份有限公司</w:t>
      </w:r>
      <w:r>
        <w:rPr>
          <w:rFonts w:ascii="Times New Roman" w:hAnsi="Times New Roman" w:cs="Times New Roman" w:eastAsia="Times New Roman" w:hint="default"/>
          <w:spacing w:val="-2"/>
        </w:rPr>
        <w:t>2014</w:t>
      </w:r>
      <w:r>
        <w:rPr>
          <w:spacing w:val="-2"/>
        </w:rPr>
        <w:t>年度内部控制及其有效性认定的自我评价报告》，并提交公司第二</w:t>
      </w:r>
      <w:r>
        <w:rPr>
          <w:spacing w:val="-62"/>
        </w:rPr>
        <w:t> </w:t>
      </w:r>
      <w:r>
        <w:rPr>
          <w:spacing w:val="-62"/>
        </w:rPr>
      </w:r>
      <w:r>
        <w:rPr/>
        <w:t>届董事会第十五次会议审议通过，公司独立董事、监事、保荐机构及会计师事务所对该报告发表了意见。公司董事会认为， </w:t>
      </w:r>
      <w:r>
        <w:rPr>
          <w:spacing w:val="-2"/>
        </w:rPr>
        <w:t>公司建立了一套较为健全、合理的内部控制制度，符合我国法律、法规和证券监管部门的要求和公司的行业特点，且基本得</w:t>
      </w:r>
      <w:r>
        <w:rPr>
          <w:spacing w:val="-66"/>
        </w:rPr>
        <w:t> </w:t>
      </w:r>
      <w:r>
        <w:rPr>
          <w:spacing w:val="-66"/>
        </w:rPr>
      </w:r>
      <w:r>
        <w:rPr>
          <w:spacing w:val="-2"/>
        </w:rPr>
        <w:t>到了有效的贯彻和执行，对公司各项业务的健康运行及公司经营风险的控制提供了良好的保证。</w:t>
      </w:r>
      <w:r>
        <w:rPr>
          <w:rFonts w:ascii="Times New Roman" w:hAnsi="Times New Roman" w:cs="Times New Roman" w:eastAsia="Times New Roman" w:hint="default"/>
          <w:spacing w:val="-2"/>
        </w:rPr>
        <w:t>2014</w:t>
      </w:r>
      <w:r>
        <w:rPr>
          <w:spacing w:val="-2"/>
        </w:rPr>
        <w:t>年度公司不存在内部控</w:t>
      </w:r>
      <w:r>
        <w:rPr>
          <w:spacing w:val="-59"/>
        </w:rPr>
        <w:t> </w:t>
      </w:r>
      <w:r>
        <w:rPr/>
        <w:t>制设计和执行的重大缺陷。</w:t>
      </w:r>
    </w:p>
    <w:p>
      <w:pPr>
        <w:pStyle w:val="BodyText"/>
        <w:spacing w:line="316" w:lineRule="auto" w:before="22"/>
        <w:ind w:left="513" w:right="43"/>
        <w:jc w:val="left"/>
      </w:pPr>
      <w:r>
        <w:rPr/>
        <w:t>（一）关于股东与股东大会 </w:t>
      </w:r>
      <w:r>
        <w:rPr>
          <w:spacing w:val="-4"/>
        </w:rPr>
        <w:t>公司严格按照《上市公司股东大会规则》、《公司章程》、《股东大会议事规则》等规定和要求，召集、召开股东大会，</w:t>
      </w:r>
    </w:p>
    <w:p>
      <w:pPr>
        <w:pStyle w:val="BodyText"/>
        <w:spacing w:line="316" w:lineRule="auto" w:before="19"/>
        <w:ind w:right="193"/>
        <w:jc w:val="both"/>
      </w:pPr>
      <w:r>
        <w:rPr>
          <w:spacing w:val="-2"/>
        </w:rPr>
        <w:t>平等对待所有股东，并尽可能为股东能够参加股东大会提供便利，使其充分行使股东权利；通过聘请律师出席见证保证了会</w:t>
      </w:r>
      <w:r>
        <w:rPr>
          <w:spacing w:val="-66"/>
        </w:rPr>
        <w:t> </w:t>
      </w:r>
      <w:r>
        <w:rPr>
          <w:spacing w:val="-66"/>
        </w:rPr>
      </w:r>
      <w:r>
        <w:rPr/>
        <w:t>议的召集、召开和表决程序的合法性。</w:t>
      </w:r>
    </w:p>
    <w:p>
      <w:pPr>
        <w:pStyle w:val="BodyText"/>
        <w:spacing w:line="316" w:lineRule="auto" w:before="19"/>
        <w:ind w:left="513" w:right="43"/>
        <w:jc w:val="left"/>
      </w:pPr>
      <w:r>
        <w:rPr/>
        <w:t>（二）关于公司与控股股东 </w:t>
      </w:r>
      <w:r>
        <w:rPr>
          <w:spacing w:val="-2"/>
        </w:rPr>
        <w:t>公司控股股东严格规范自己的行为，依法行使权力和承担义务，没有超越股东大会直接或间接干预公司的决策和经营活</w:t>
      </w:r>
    </w:p>
    <w:p>
      <w:pPr>
        <w:pStyle w:val="BodyText"/>
        <w:spacing w:line="316" w:lineRule="auto" w:before="19"/>
        <w:ind w:right="193"/>
        <w:jc w:val="both"/>
      </w:pPr>
      <w:r>
        <w:rPr>
          <w:spacing w:val="-2"/>
        </w:rPr>
        <w:t>动。公司拥有独立完整的业务和自主经营能力，在资产、人员、机构、财务上均独立于控股股东，公司董事会、监事会和内</w:t>
      </w:r>
      <w:r>
        <w:rPr>
          <w:spacing w:val="-71"/>
        </w:rPr>
        <w:t> </w:t>
      </w:r>
      <w:r>
        <w:rPr>
          <w:spacing w:val="-71"/>
        </w:rPr>
      </w:r>
      <w:r>
        <w:rPr/>
        <w:t>部机构独立运作。</w:t>
      </w:r>
    </w:p>
    <w:p>
      <w:pPr>
        <w:pStyle w:val="BodyText"/>
        <w:spacing w:line="316" w:lineRule="auto" w:before="19"/>
        <w:ind w:left="513" w:right="43"/>
        <w:jc w:val="left"/>
      </w:pPr>
      <w:r>
        <w:rPr/>
        <w:t>（三）关于董事和董事会 </w:t>
      </w:r>
      <w:r>
        <w:rPr>
          <w:spacing w:val="-2"/>
        </w:rPr>
        <w:t>公司董事会设董事</w:t>
      </w:r>
      <w:r>
        <w:rPr>
          <w:rFonts w:ascii="Times New Roman" w:hAnsi="Times New Roman" w:cs="Times New Roman" w:eastAsia="Times New Roman" w:hint="default"/>
          <w:spacing w:val="-2"/>
        </w:rPr>
        <w:t>6</w:t>
      </w:r>
      <w:r>
        <w:rPr>
          <w:spacing w:val="-2"/>
        </w:rPr>
        <w:t>名，其中独立董事</w:t>
      </w:r>
      <w:r>
        <w:rPr>
          <w:rFonts w:ascii="Times New Roman" w:hAnsi="Times New Roman" w:cs="Times New Roman" w:eastAsia="Times New Roman" w:hint="default"/>
          <w:spacing w:val="-2"/>
        </w:rPr>
        <w:t>2</w:t>
      </w:r>
      <w:r>
        <w:rPr>
          <w:spacing w:val="-2"/>
        </w:rPr>
        <w:t>名，董事会的人数及人员构成符合法律、法规和《公司章程》的要求。各位董事</w:t>
      </w:r>
    </w:p>
    <w:p>
      <w:pPr>
        <w:pStyle w:val="BodyText"/>
        <w:spacing w:line="316" w:lineRule="auto"/>
        <w:ind w:right="193"/>
        <w:jc w:val="both"/>
      </w:pPr>
      <w:r>
        <w:rPr>
          <w:spacing w:val="-2"/>
        </w:rPr>
        <w:t>能够依据《董事会议事规则》、《独立董事工作制度》、《深圳证券交易所创业板上市公司规范运作指引》等开展工作，出</w:t>
      </w:r>
      <w:r>
        <w:rPr>
          <w:spacing w:val="-69"/>
        </w:rPr>
        <w:t> </w:t>
      </w:r>
      <w:r>
        <w:rPr>
          <w:spacing w:val="-69"/>
        </w:rPr>
      </w:r>
      <w:r>
        <w:rPr/>
        <w:t>席董事会和股东大会，勤勉尽责地履行职责和义务，同时积极参加相关培训，学习相关法律法规。</w:t>
      </w:r>
    </w:p>
    <w:p>
      <w:pPr>
        <w:pStyle w:val="BodyText"/>
        <w:spacing w:line="316" w:lineRule="auto" w:before="19"/>
        <w:ind w:left="513" w:right="43"/>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名，监事会的人数和构成符合法律、法规的要求。各位监事能够按照《监事会议</w:t>
      </w:r>
    </w:p>
    <w:p>
      <w:pPr>
        <w:pStyle w:val="BodyText"/>
        <w:spacing w:line="316" w:lineRule="auto"/>
        <w:ind w:right="103"/>
        <w:jc w:val="both"/>
      </w:pPr>
      <w:r>
        <w:rPr>
          <w:spacing w:val="-4"/>
        </w:rPr>
        <w:t>事规则》的要求，认真履行自己的职责，对公司重大事项、关联交易、财务状况以及董事、高级管理人员履行职责的合法性、</w:t>
      </w:r>
      <w:r>
        <w:rPr>
          <w:spacing w:val="-44"/>
        </w:rPr>
        <w:t> </w:t>
      </w:r>
      <w:r>
        <w:rPr>
          <w:spacing w:val="-44"/>
        </w:rPr>
      </w:r>
      <w:r>
        <w:rPr/>
        <w:t>合规性进行监督。</w:t>
      </w:r>
    </w:p>
    <w:p>
      <w:pPr>
        <w:pStyle w:val="BodyText"/>
        <w:spacing w:line="316" w:lineRule="auto" w:before="19"/>
        <w:ind w:left="513" w:right="43"/>
        <w:jc w:val="left"/>
      </w:pPr>
      <w:r>
        <w:rPr/>
        <w:t>（五）关于绩效评价与激励约束机制 </w:t>
      </w:r>
      <w:r>
        <w:rPr>
          <w:spacing w:val="-2"/>
        </w:rPr>
        <w:t>公司逐步建立和完善企业绩效评价激励体系，高级管理人员的聘任公开、透明，符合法律、法规的规定。报告期内，本</w:t>
      </w:r>
    </w:p>
    <w:p>
      <w:pPr>
        <w:pStyle w:val="BodyText"/>
        <w:spacing w:line="240" w:lineRule="auto" w:before="19"/>
        <w:ind w:right="0"/>
        <w:jc w:val="both"/>
      </w:pPr>
      <w:r>
        <w:rPr/>
        <w:t>公司高级管理人员经考核，均认真履行了工作职责。</w:t>
      </w:r>
    </w:p>
    <w:p>
      <w:pPr>
        <w:pStyle w:val="BodyText"/>
        <w:spacing w:line="316" w:lineRule="auto" w:before="76"/>
        <w:ind w:left="514" w:right="43"/>
        <w:jc w:val="left"/>
      </w:pPr>
      <w:r>
        <w:rPr/>
        <w:t>（六）关于信息披露与透明度 </w:t>
      </w:r>
      <w:r>
        <w:rPr>
          <w:spacing w:val="-2"/>
        </w:rPr>
        <w:t>公司严格按照有关法律法规以及《信息披露事务管理制度》等公司制度的要求，真实、准确、及时、公平、完整地披露</w:t>
      </w:r>
    </w:p>
    <w:p>
      <w:pPr>
        <w:pStyle w:val="BodyText"/>
        <w:spacing w:line="300" w:lineRule="auto" w:before="19"/>
        <w:ind w:left="154" w:right="192"/>
        <w:jc w:val="both"/>
      </w:pPr>
      <w:r>
        <w:rPr/>
        <w:t>有关信息，并指定《证券时报》和巨潮资讯网（</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）为公司信息披露的指定报纸和网站，确保了所有 股东在获得公司信息方面享有的平等机会。</w:t>
      </w:r>
    </w:p>
    <w:p>
      <w:pPr>
        <w:pStyle w:val="BodyText"/>
        <w:spacing w:line="319" w:lineRule="auto" w:before="31"/>
        <w:ind w:left="514" w:right="43"/>
        <w:jc w:val="left"/>
      </w:pPr>
      <w:r>
        <w:rPr/>
        <w:t>（七）关于投资者关系管理 </w:t>
      </w:r>
      <w:r>
        <w:rPr>
          <w:spacing w:val="-2"/>
        </w:rPr>
        <w:t>公司上市以来，不断摸索、改进和充分的开展投资者关系管理工作，指定专人负责与投资者进行沟通和交流，协调公司</w:t>
      </w:r>
    </w:p>
    <w:p>
      <w:pPr>
        <w:pStyle w:val="BodyText"/>
        <w:spacing w:line="316" w:lineRule="auto" w:before="17"/>
        <w:ind w:left="154" w:right="110"/>
        <w:jc w:val="both"/>
      </w:pPr>
      <w:r>
        <w:rPr/>
        <w:t>与投资者的关系。同时，公司通过电话、邮箱、投资者互动平台等多种渠道，积极、全面的与投资者建立良好的互动关系， 保障了全体股东的合法权益。</w:t>
      </w:r>
    </w:p>
    <w:p>
      <w:pPr>
        <w:pStyle w:val="BodyText"/>
        <w:spacing w:line="240" w:lineRule="auto" w:before="19"/>
        <w:ind w:left="514" w:right="43"/>
        <w:jc w:val="left"/>
      </w:pPr>
      <w:r>
        <w:rPr/>
        <w:t>（八）关于相关利益者</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16" w:lineRule="auto" w:before="44"/>
        <w:ind w:right="0" w:firstLine="360"/>
        <w:jc w:val="left"/>
      </w:pPr>
      <w:r>
        <w:rPr>
          <w:spacing w:val="-2"/>
        </w:rPr>
        <w:t>公司充分尊重和维护相关利益者的合法权益，实现股东、员工、社会等各方利益的协调平衡，共同推动公司持续、健康</w:t>
      </w:r>
      <w:r>
        <w:rPr/>
        <w:t> 的发展。</w:t>
      </w:r>
    </w:p>
    <w:p>
      <w:pPr>
        <w:pStyle w:val="BodyText"/>
        <w:spacing w:line="240" w:lineRule="auto" w:before="58"/>
        <w:ind w:right="0"/>
        <w:jc w:val="left"/>
      </w:pPr>
      <w:r>
        <w:rPr/>
        <w:t>公司治理与《公司法》和中国证监会相关规定的要求是否存在差异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报告期内召开的年度股东大会和临时股东大会的有关情况" w:id="100"/>
      <w:bookmarkEnd w:id="100"/>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年度股东大会情况" w:id="101"/>
      <w:bookmarkEnd w:id="10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10"/>
        <w:gridCol w:w="1844"/>
        <w:gridCol w:w="2782"/>
        <w:gridCol w:w="2605"/>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本报告期临时股东大会情况" w:id="102"/>
      <w:bookmarkEnd w:id="10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1862"/>
        <w:gridCol w:w="2836"/>
        <w:gridCol w:w="2479"/>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董事会召开情况" w:id="103"/>
      <w:bookmarkEnd w:id="103"/>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1862"/>
        <w:gridCol w:w="2836"/>
        <w:gridCol w:w="247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年度报告重大差错责任追究制度的建立与执行情况" w:id="104"/>
      <w:bookmarkEnd w:id="104"/>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50" w:firstLine="360"/>
        <w:jc w:val="both"/>
      </w:pPr>
      <w:r>
        <w:rPr>
          <w:spacing w:val="-2"/>
        </w:rPr>
        <w:t>为了进一步完善信息披露管理制度，强化信息披露责任意识，建立内部责任追究机制，促进董事、监事和高级管理人员</w:t>
      </w:r>
      <w:r>
        <w:rPr/>
        <w:t> </w:t>
      </w:r>
      <w:r>
        <w:rPr>
          <w:spacing w:val="-2"/>
        </w:rPr>
        <w:t>勤勉尽责，公司建立了《年报信息披露重大差错责任追究制度》。报告期内，公司未发生重大会计差错更正、重大遗漏信息</w:t>
      </w:r>
      <w:r>
        <w:rPr>
          <w:spacing w:val="-68"/>
        </w:rPr>
        <w:t> </w:t>
      </w:r>
      <w:r>
        <w:rPr>
          <w:spacing w:val="-68"/>
        </w:rPr>
      </w:r>
      <w:r>
        <w:rPr/>
        <w:t>补充以及业绩预告修正等情况。</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五、监事会工作情况" w:id="105"/>
      <w:bookmarkEnd w:id="105"/>
      <w:r>
        <w:rPr>
          <w:b w:val="0"/>
          <w:bCs w:val="0"/>
        </w:rPr>
      </w:r>
      <w:r>
        <w:rPr/>
        <w:t>五、监事会工作情况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6"/>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9"/>
        <w:jc w:val="center"/>
        <w:rPr>
          <w:b w:val="0"/>
          <w:bCs w:val="0"/>
        </w:rPr>
      </w:pPr>
      <w:bookmarkStart w:name="第九节 财务报告" w:id="106"/>
      <w:bookmarkEnd w:id="106"/>
      <w:r>
        <w:rPr>
          <w:b w:val="0"/>
          <w:bCs w:val="0"/>
        </w:rPr>
      </w:r>
      <w:bookmarkStart w:name="_bookmark8" w:id="107"/>
      <w:bookmarkEnd w:id="107"/>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3"/>
        <w:jc w:val="left"/>
        <w:rPr>
          <w:b w:val="0"/>
          <w:bCs w:val="0"/>
        </w:rPr>
      </w:pPr>
      <w:bookmarkStart w:name="一、审计报告" w:id="108"/>
      <w:bookmarkEnd w:id="10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）京会兴审字第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01010037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傅映红、时颜禄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pStyle w:val="BodyText"/>
        <w:spacing w:line="240" w:lineRule="auto"/>
        <w:ind w:right="-19"/>
        <w:jc w:val="left"/>
      </w:pPr>
      <w:r>
        <w:rPr/>
        <w:t>北京君正集成电路股份有限公司：</w:t>
      </w:r>
    </w:p>
    <w:p>
      <w:pPr>
        <w:pStyle w:val="BodyText"/>
        <w:spacing w:line="240" w:lineRule="auto" w:before="51"/>
        <w:ind w:right="-19"/>
        <w:jc w:val="left"/>
      </w:pPr>
      <w:r>
        <w:rPr/>
        <w:br w:type="column"/>
      </w:r>
      <w:r>
        <w:rPr/>
        <w:t>审计报告正文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pStyle w:val="BodyText"/>
        <w:spacing w:line="240" w:lineRule="auto"/>
        <w:ind w:right="0"/>
        <w:jc w:val="left"/>
      </w:pPr>
      <w:r>
        <w:rPr/>
        <w:t>（</w:t>
      </w:r>
      <w:r>
        <w:rPr>
          <w:rFonts w:ascii="Times New Roman" w:hAnsi="Times New Roman" w:cs="Times New Roman" w:eastAsia="Times New Roman" w:hint="default"/>
        </w:rPr>
        <w:t>2015</w:t>
      </w:r>
      <w:r>
        <w:rPr/>
        <w:t>）京会兴审字第</w:t>
      </w:r>
      <w:r>
        <w:rPr>
          <w:rFonts w:ascii="Times New Roman" w:hAnsi="Times New Roman" w:cs="Times New Roman" w:eastAsia="Times New Roman" w:hint="default"/>
        </w:rPr>
        <w:t>01010037</w:t>
      </w:r>
      <w:r>
        <w:rPr/>
        <w:t>号</w:t>
      </w:r>
    </w:p>
    <w:p>
      <w:pPr>
        <w:spacing w:after="0" w:line="240" w:lineRule="auto"/>
        <w:jc w:val="left"/>
        <w:sectPr>
          <w:type w:val="continuous"/>
          <w:pgSz w:w="11910" w:h="16840"/>
          <w:pgMar w:top="1060" w:bottom="1160" w:left="980" w:right="940"/>
          <w:cols w:num="3" w:equalWidth="0">
            <w:col w:w="2855" w:space="1425"/>
            <w:col w:w="1235" w:space="1426"/>
            <w:col w:w="3049"/>
          </w:cols>
        </w:sectPr>
      </w:pPr>
    </w:p>
    <w:p>
      <w:pPr>
        <w:pStyle w:val="BodyText"/>
        <w:spacing w:line="302" w:lineRule="auto" w:before="115"/>
        <w:ind w:right="43" w:firstLine="360"/>
        <w:jc w:val="left"/>
      </w:pPr>
      <w:r>
        <w:rPr>
          <w:spacing w:val="-2"/>
        </w:rPr>
        <w:t>我们审计了后附的北京君正集成电路股份有限公司（以下简称</w:t>
      </w:r>
      <w:r>
        <w:rPr>
          <w:rFonts w:ascii="Times New Roman" w:hAnsi="Times New Roman" w:cs="Times New Roman" w:eastAsia="Times New Roman" w:hint="default"/>
          <w:spacing w:val="-2"/>
        </w:rPr>
        <w:t>“</w:t>
      </w:r>
      <w:r>
        <w:rPr>
          <w:spacing w:val="-2"/>
        </w:rPr>
        <w:t>贵公司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日的资产负债表</w:t>
      </w:r>
      <w:r>
        <w:rPr/>
        <w:t> 和</w:t>
      </w:r>
      <w:r>
        <w:rPr>
          <w:rFonts w:ascii="Times New Roman" w:hAnsi="Times New Roman" w:cs="Times New Roman" w:eastAsia="Times New Roman" w:hint="default"/>
        </w:rPr>
        <w:t>2014</w:t>
      </w:r>
      <w:r>
        <w:rPr/>
        <w:t>年度利润表、现金流量表、所有者权益变动表，以及财务报表附注。</w:t>
      </w:r>
    </w:p>
    <w:p>
      <w:pPr>
        <w:pStyle w:val="BodyText"/>
        <w:spacing w:line="357" w:lineRule="auto" w:before="50"/>
        <w:ind w:left="513" w:right="183"/>
        <w:jc w:val="left"/>
      </w:pPr>
      <w:r>
        <w:rPr/>
        <w:t>一、管理层对财务报表的责任 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w:t>
      </w:r>
    </w:p>
    <w:p>
      <w:pPr>
        <w:pStyle w:val="BodyText"/>
        <w:spacing w:line="216" w:lineRule="exact"/>
        <w:ind w:left="154" w:right="43"/>
        <w:jc w:val="left"/>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57" w:lineRule="auto" w:before="103"/>
        <w:ind w:left="513" w:right="43"/>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224" w:lineRule="exact"/>
        <w:ind w:right="43"/>
        <w:jc w:val="left"/>
      </w:pPr>
      <w:r>
        <w:rPr/>
        <w:t>工作。中国注册会计师审计准则要求我们遵守中国注册会计师职业道德守则，计划和执行审计工作以对财务报表是否不存在</w:t>
      </w:r>
    </w:p>
    <w:p>
      <w:pPr>
        <w:pStyle w:val="BodyText"/>
        <w:spacing w:line="357" w:lineRule="auto" w:before="77"/>
        <w:ind w:left="513" w:right="93" w:hanging="360"/>
        <w:jc w:val="left"/>
      </w:pPr>
      <w:r>
        <w:rPr/>
        <w:t>重大错报获取合理保证。 审计工作涉及实施审计程序，以获取有关财务报表金额和披露的审计证据。选择的审计程序取决于注册会计师的判断，</w:t>
      </w:r>
    </w:p>
    <w:p>
      <w:pPr>
        <w:pStyle w:val="BodyText"/>
        <w:spacing w:line="224" w:lineRule="exact"/>
        <w:ind w:right="43"/>
        <w:jc w:val="left"/>
      </w:pPr>
      <w:r>
        <w:rPr/>
        <w:t>包括对由于舞弊或错误导致的财务报表重大错报风险的评估。在进行风险评估时，注册会计师考虑与财务报表编制和公允列</w:t>
      </w:r>
    </w:p>
    <w:p>
      <w:pPr>
        <w:pStyle w:val="BodyText"/>
        <w:spacing w:line="319" w:lineRule="auto" w:before="76"/>
        <w:ind w:right="43"/>
        <w:jc w:val="left"/>
      </w:pP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57" w:lineRule="auto" w:before="56"/>
        <w:ind w:left="513" w:right="3153"/>
        <w:jc w:val="left"/>
      </w:pPr>
      <w:r>
        <w:rPr/>
        <w:t>我们相信，我们获取的审计证据是充分、适当的，为发表审计意见提供了基础。 三、审计意见</w:t>
      </w:r>
    </w:p>
    <w:p>
      <w:pPr>
        <w:pStyle w:val="BodyText"/>
        <w:spacing w:line="302" w:lineRule="auto" w:before="28"/>
        <w:ind w:right="43" w:firstLine="360"/>
        <w:jc w:val="left"/>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w:t>
      </w:r>
      <w:r>
        <w:rPr/>
        <w:t> 况以及</w:t>
      </w:r>
      <w:r>
        <w:rPr>
          <w:rFonts w:ascii="Times New Roman" w:hAnsi="Times New Roman" w:cs="Times New Roman" w:eastAsia="Times New Roman" w:hint="default"/>
        </w:rPr>
        <w:t>2014</w:t>
      </w:r>
      <w:r>
        <w:rPr/>
        <w:t>年度的经营成果和现金流量。</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tabs>
          <w:tab w:pos="4840" w:val="left" w:leader="none"/>
          <w:tab w:pos="6897" w:val="left" w:leader="none"/>
        </w:tabs>
        <w:spacing w:line="240" w:lineRule="auto"/>
        <w:ind w:left="154" w:right="43"/>
        <w:jc w:val="left"/>
        <w:rPr>
          <w:rFonts w:ascii="Times New Roman" w:hAnsi="Times New Roman" w:cs="Times New Roman" w:eastAsia="Times New Roman" w:hint="default"/>
        </w:rPr>
      </w:pPr>
      <w:r>
        <w:rPr/>
        <w:t>北京兴华会计师事务所</w:t>
        <w:tab/>
        <w:t>中国注册会计师：</w:t>
      </w:r>
      <w:r>
        <w:rPr>
          <w:spacing w:val="-18"/>
        </w:rPr>
        <w:t> </w:t>
      </w:r>
      <w:r>
        <w:rPr>
          <w:rFonts w:ascii="Times New Roman" w:hAnsi="Times New Roman" w:cs="Times New Roman" w:eastAsia="Times New Roman" w:hint="default"/>
          <w:spacing w:val="-18"/>
        </w:rPr>
      </w:r>
      <w:r>
        <w:rPr>
          <w:rFonts w:ascii="Times New Roman" w:hAnsi="Times New Roman" w:cs="Times New Roman" w:eastAsia="Times New Roman" w:hint="default"/>
          <w:u w:val="single" w:color="BEBEBE"/>
        </w:rPr>
        <w:t> </w:t>
        <w:tab/>
      </w:r>
      <w:r>
        <w:rPr>
          <w:rFonts w:ascii="Times New Roman" w:hAnsi="Times New Roman" w:cs="Times New Roman" w:eastAsia="Times New Roman" w:hint="default"/>
        </w:rPr>
      </w:r>
    </w:p>
    <w:p>
      <w:pPr>
        <w:pStyle w:val="BodyText"/>
        <w:tabs>
          <w:tab w:pos="6339" w:val="left" w:leader="none"/>
        </w:tabs>
        <w:spacing w:line="240" w:lineRule="auto" w:before="117"/>
        <w:ind w:left="154" w:right="43"/>
        <w:jc w:val="left"/>
      </w:pPr>
      <w:r>
        <w:rPr/>
        <w:t>（特殊普通合伙）</w:t>
        <w:tab/>
        <w:t>傅映红</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tabs>
          <w:tab w:pos="4795" w:val="left" w:leader="none"/>
          <w:tab w:pos="6923" w:val="left" w:leader="none"/>
        </w:tabs>
        <w:spacing w:line="240" w:lineRule="auto"/>
        <w:ind w:left="154" w:right="43"/>
        <w:jc w:val="left"/>
        <w:rPr>
          <w:rFonts w:ascii="Times New Roman" w:hAnsi="Times New Roman" w:cs="Times New Roman" w:eastAsia="Times New Roman" w:hint="default"/>
        </w:rPr>
      </w:pPr>
      <w:r>
        <w:rPr>
          <w:spacing w:val="-1"/>
        </w:rPr>
        <w:t>中国</w:t>
      </w:r>
      <w:r>
        <w:rPr>
          <w:rFonts w:ascii="Times New Roman" w:hAnsi="Times New Roman" w:cs="Times New Roman" w:eastAsia="Times New Roman" w:hint="default"/>
          <w:b/>
          <w:bCs/>
          <w:spacing w:val="-1"/>
        </w:rPr>
        <w:t>·</w:t>
      </w:r>
      <w:r>
        <w:rPr>
          <w:spacing w:val="-1"/>
        </w:rPr>
        <w:t>北京</w:t>
        <w:tab/>
        <w:t>中国注册会计师： </w:t>
      </w:r>
      <w:r>
        <w:rPr>
          <w:spacing w:val="-36"/>
        </w:rPr>
        <w:t> </w:t>
      </w:r>
      <w:r>
        <w:rPr>
          <w:rFonts w:ascii="Times New Roman" w:hAnsi="Times New Roman" w:cs="Times New Roman" w:eastAsia="Times New Roman" w:hint="default"/>
          <w:spacing w:val="-36"/>
        </w:rPr>
      </w:r>
      <w:r>
        <w:rPr>
          <w:rFonts w:ascii="Times New Roman" w:hAnsi="Times New Roman" w:cs="Times New Roman" w:eastAsia="Times New Roman" w:hint="default"/>
          <w:u w:val="single" w:color="BEBEBE"/>
        </w:rPr>
        <w:t> </w:t>
        <w:tab/>
      </w:r>
      <w:r>
        <w:rPr>
          <w:rFonts w:ascii="Times New Roman" w:hAnsi="Times New Roman" w:cs="Times New Roman" w:eastAsia="Times New Roman" w:hint="default"/>
        </w:rPr>
      </w:r>
    </w:p>
    <w:p>
      <w:pPr>
        <w:pStyle w:val="BodyText"/>
        <w:tabs>
          <w:tab w:pos="6355" w:val="left" w:leader="none"/>
        </w:tabs>
        <w:spacing w:line="240" w:lineRule="auto" w:before="103"/>
        <w:ind w:left="154" w:right="43"/>
        <w:jc w:val="left"/>
      </w:pPr>
      <w:r>
        <w:rPr/>
        <w:t>二○一五年三月二十六日</w:t>
        <w:tab/>
        <w:t>时彦禄</w:t>
      </w:r>
    </w:p>
    <w:p>
      <w:pPr>
        <w:spacing w:after="0" w:line="240" w:lineRule="auto"/>
        <w:jc w:val="left"/>
        <w:sectPr>
          <w:type w:val="continuous"/>
          <w:pgSz w:w="11910" w:h="16840"/>
          <w:pgMar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09"/>
      <w:bookmarkEnd w:id="109"/>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10"/>
      <w:bookmarkEnd w:id="11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编制单位：北京君正集成电路股份有限公司</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835,965,400.44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847,827,125.03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3,954,983.98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13,523,434.51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3,045,383.13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10,529,594.08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10,644,819.15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2,040,942.20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734,956.32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165,558.96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51,922,454.73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55,055,368.60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1,502,421.69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907,770,419.44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944,142,023.38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70,650,286.27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60,204,441.53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31,638,823.10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32,923,280.63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3,004,843.29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3,621,774.49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862,288.59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165,410,883.86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146,494,854.04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1,073,181,303.30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1,090,636,877.42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5,399,267.39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4,473,433.53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2,105,135.58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576,586.79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3,736,749.66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3,273,724.00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-1,136,094.19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-3,139,807.02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1,767,766.36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1,372,602.14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11,872,824.80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6,556,539.44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3,140,930.00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3,140,930.00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15,013,754.80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12,055,539.44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795,817,178.85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795,817,178.85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-894,356.88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-895,479.02</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26,231,189.77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26,231,189.77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132,266,627.32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152,717,694.29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1,057,420,639.06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1,077,870,583.89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746,909.44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710,754.09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1,058,167,548.50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1,078,581,337.98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1,073,181,303.30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1,090,636,877.42</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741" w:val="left" w:leader="none"/>
        </w:tabs>
        <w:spacing w:line="240" w:lineRule="auto" w:before="44"/>
        <w:ind w:left="0" w:right="249"/>
        <w:jc w:val="right"/>
      </w:pPr>
      <w:r>
        <w:rPr/>
        <w:t>法定代表人：刘强</w:t>
        <w:tab/>
        <w:t>主管会计工作负责人：张燕祥</w:t>
        <w:tab/>
        <w:t>会计机构负责人：叶飞</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11"/>
      <w:bookmarkEnd w:id="11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701,212,816.62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843,962,509.21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1,379,242.73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11,043,553.56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2,558,458.59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10,434,614.08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7,529,595.07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2,040,942.20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12,118,112.52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18,705,606.36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50,791,054.39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51,303,495.93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1,502,421.69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777,091,701.61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952,490,721.34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158,700,871.41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18,700,871.41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69,575,730.37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59,575,058.22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31,638,823.10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32,923,280.63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3,004,843.29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5,109,798.49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1,215,913.18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324,525,223.37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164,919,966.73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1,101,616,924.98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1,117,410,688.07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5,331,668.96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4,473,433.53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1,905,135.58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386,586.79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2,596,936.16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2,573,724.00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-1,206,770.20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-2,997,054.60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18,631,611.12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18,938,652.42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27,258,581.62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23,375,342.14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3,140,930.00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3,140,930.00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30,399,511.62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28,874,342.14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801,507,772.86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801,507,772.86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26,231,189.77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26,231,189.77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139,478,450.73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156,797,383.30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1,071,217,413.36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1,088,536,345.93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1,101,616,924.98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1,117,410,688.07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12"/>
      <w:bookmarkEnd w:id="11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59,031,657.27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94,832,084.99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59,031,657.27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94,832,084.99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78,593,534.91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83,532,474.77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26,295,584.37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48,689,480.94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01.219971pt;width:157.7pt;height:19.650pt;mso-position-horizontal-relative:page;mso-position-vertical-relative:page;z-index:-671248" coordorigin="4245,10024" coordsize="3154,393">
            <v:shape style="position:absolute;left:4245;top:10024;width:3154;height:393" coordorigin="4245,10024" coordsize="3154,393" path="m4245,10417l7399,10417,7399,10024,4245,10024,4245,1041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75"/>
        <w:gridCol w:w="213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935,603.11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597,597.95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2,200,050.19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1,899,037.06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65,664,317.73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60,115,788.60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-23,609,788.60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-27,785,706.11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7,107,768.11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16,276.33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1,074,657.39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233,455.59</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-18,487,220.25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11,533,065.81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7,744,950.52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16,863,246.93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2,010,780.05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62,528.15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43,745.83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44,219.66</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2" w:right="0"/>
              <w:jc w:val="left"/>
              <w:rPr>
                <w:rFonts w:ascii="Times New Roman" w:hAnsi="Times New Roman" w:cs="Times New Roman" w:eastAsia="Times New Roman" w:hint="default"/>
                <w:sz w:val="18"/>
                <w:szCs w:val="18"/>
              </w:rPr>
            </w:pPr>
            <w:r>
              <w:rPr>
                <w:rFonts w:ascii="Times New Roman"/>
                <w:sz w:val="18"/>
              </w:rPr>
              <w:t>-12,753,049.78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28,333,784.59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-2,759,485.90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3,053,306.06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-9,993,563.88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25,280,478.53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-10,029,719.23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25,569,724.44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36,155.35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-289,245.91</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1,122.14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-6,289.20</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1,122.14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-6,289.20</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1,122.14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-6,289.20</w:t>
            </w:r>
            <w:r>
              <w:rPr>
                <w:rFonts w:ascii="Times New Roman"/>
                <w:sz w:val="18"/>
              </w:rPr>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1,122.14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-6,289.20</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-9,992,441.74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25,274,189.33</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-10,028,597.09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25,563,435.24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36,155.35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-289,245.91</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-0.0964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0.2459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-0.0964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0.2459</w:t>
            </w:r>
          </w:p>
        </w:tc>
      </w:tr>
    </w:tbl>
    <w:p>
      <w:pPr>
        <w:pStyle w:val="BodyText"/>
        <w:tabs>
          <w:tab w:pos="3574" w:val="left" w:leader="none"/>
          <w:tab w:pos="7895" w:val="left" w:leader="none"/>
        </w:tabs>
        <w:spacing w:line="592" w:lineRule="auto" w:before="51"/>
        <w:ind w:right="24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法定代表人：刘强</w:t>
        <w:tab/>
        <w:t>主管会计工作负责人：张燕祥</w:t>
        <w:tab/>
        <w:t>会计机构负责人：叶飞 </w:t>
      </w:r>
      <w:bookmarkStart w:name="4、母公司利润表" w:id="113"/>
      <w:bookmarkEnd w:id="11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54,552,225.33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91,983,409.81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27,263,800.94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49,632,331.97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860,568.58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569,013.35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2,104,070.61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3,791,490.17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54,538,641.93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49,859,377.20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-20,188,606.06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-27,767,302.32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7,679,615.64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2,554,340.61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1,074,657.39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229,263.81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-16,631,208.92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13,573,422.64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7,605,556.92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16,863,246.93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1,765,818.14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61,258.16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44,219.66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-10,791,470.14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30,375,411.41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-3,893,885.31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2,652,580.42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-6,897,584.83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27,722,830.99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-6,897,584.83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27,722,830.99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14"/>
      <w:bookmarkEnd w:id="11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79,594,200.66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113,667,323.85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3,667,264.47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2,120,080.51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20,489,960.28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55,483,733.76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103,751,425.41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171,271,138.12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36,743,879.64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67,534,691.63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42,901,826.90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42,348,984.77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7,062,872.81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10,787,454.91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18,123,527.08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14,654,382.56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104,832,106.43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135,325,513.87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-1,080,681.02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35,945,624.25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1,074,657.39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233,455.59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86,084,457.39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33,755,955.59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6,445,222.73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26,370,049.36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86,445,222.73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124,370,049.36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-360,765.34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-90,614,093.77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4,002,683.74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10,421,347.74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31,283,324.63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10,421,347.74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31,283,324.63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-10,421,347.74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-27,280,640.89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-5,943.30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-11,861,724.59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-81,955,053.71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847,827,125.03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929,782,178.74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835,965,400.44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847,827,125.03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15"/>
      <w:bookmarkEnd w:id="11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74,535,236.68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113,488,546.36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3,666,864.64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2,120,080.51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21,729,828.36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55,442,270.86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99,931,929.68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171,050,897.73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34,405,860.46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67,251,354.29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31,187,892.33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33,109,710.80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6,355,425.87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10,496,572.42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20,668,005.29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20,087,295.14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92,617,183.95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130,944,932.65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7,314,745.73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40,105,965.08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1,074,657.39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229,263.81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86,074,657.39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32,751,763.81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5,717,827.86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26,026,658.36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225,717,827.86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123,026,658.36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-139,643,170.47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-90,274,894.55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10,421,347.74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31,283,324.63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10,421,347.74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31,283,324.63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-10,421,347.74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-31,283,324.63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-758.24</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-142,749,692.59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-81,453,012.34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843,962,509.21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925,415,521.55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701,212,816.62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843,962,509.21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16"/>
      <w:bookmarkEnd w:id="11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-895,47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9.02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189.77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152,717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,694.29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710,754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81,337.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-895,47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189.77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152,717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,694.29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710,754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81,337.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-20,451,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066.97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-20,413,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789.48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719.23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-9,992,4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41.74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347.74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347.74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347.74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347.74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-894,35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189.77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132,266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,627.32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746,909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67,548.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,178.85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-889,18</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23,458,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906.67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161,203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,577.58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1,083,5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90,473.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,178.85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-889,18</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23,458,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906.67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161,203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,577.58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1,083,5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90,473.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-6,289.2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2,772,2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-8,485,8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83.29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710,754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-5,009,1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35.30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-6,289.2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724.44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-289,24</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25,274,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189.33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2,772,2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-34,055,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607.73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-31,283,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324.63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2,772,2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-2,772,2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83.10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-31,283,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324.63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-31,283,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324.63</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795,817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-895,47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189.77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152,717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,694.29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710,754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81,337.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17"/>
      <w:bookmarkEnd w:id="11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72.86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26,231,18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156,797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,383.30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1,088,536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,345.93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72.86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26,231,18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156,797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,383.30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1,088,536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,345.93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-17,318,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932.57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-17,318,9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32.57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-6,897,5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84.83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-6,897,58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4.83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347.74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-10,421,3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47.74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347.74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-10,421,3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47.74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72.86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26,231,18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139,478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,450.73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1,071,217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,413.36</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72.86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23,458,90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163,130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,160.04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1,092,096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,839.57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23,458,90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163,130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,160.04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1,092,096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,839.57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2,772,283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-6,332,7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-3,560,49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3.64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27,722,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830.99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27,722,83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0.99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2,772,283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-34,055,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-31,283,3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607.73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24.63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2,772,283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-2,772,2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83.10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-31,283,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324.63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-31,283,3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24.63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801,507,7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26,231,18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156,797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,383.30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1,088,536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,345.93</w:t>
            </w:r>
          </w:p>
        </w:tc>
      </w:tr>
    </w:tbl>
    <w:p>
      <w:pPr>
        <w:spacing w:line="240" w:lineRule="auto" w:before="2"/>
        <w:rPr>
          <w:rFonts w:ascii="宋体" w:hAnsi="宋体" w:cs="宋体" w:eastAsia="宋体" w:hint="default"/>
          <w:sz w:val="18"/>
          <w:szCs w:val="18"/>
        </w:rPr>
      </w:pPr>
    </w:p>
    <w:p>
      <w:pPr>
        <w:pStyle w:val="Heading2"/>
        <w:spacing w:line="240" w:lineRule="auto" w:before="26"/>
        <w:ind w:left="154" w:right="43"/>
        <w:jc w:val="left"/>
        <w:rPr>
          <w:b w:val="0"/>
          <w:bCs w:val="0"/>
        </w:rPr>
      </w:pPr>
      <w:bookmarkStart w:name="三、公司基本情况" w:id="118"/>
      <w:bookmarkEnd w:id="118"/>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8" w:firstLine="360"/>
        <w:jc w:val="both"/>
      </w:pPr>
      <w:r>
        <w:rPr>
          <w:spacing w:val="-1"/>
        </w:rPr>
        <w:t>北京君正集成电路股份有限公司（以下简称为</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）系由北京君正集成电路有限公司整体变更设立的股份</w:t>
      </w:r>
      <w:r>
        <w:rPr/>
        <w:t> 有限公司。公司于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日领取了北京市工商行政管理局颁发的</w:t>
      </w:r>
      <w:r>
        <w:rPr>
          <w:rFonts w:ascii="Times New Roman" w:hAnsi="Times New Roman" w:cs="Times New Roman" w:eastAsia="Times New Roman" w:hint="default"/>
        </w:rPr>
        <w:t>110108008639445</w:t>
      </w:r>
      <w:r>
        <w:rPr/>
        <w:t>号营业执照，注册资本为</w:t>
      </w:r>
      <w:r>
        <w:rPr>
          <w:rFonts w:ascii="Times New Roman" w:hAnsi="Times New Roman" w:cs="Times New Roman" w:eastAsia="Times New Roman" w:hint="default"/>
        </w:rPr>
        <w:t>6,000.00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万元，公司法定代表人为刘强。</w:t>
      </w:r>
    </w:p>
    <w:p>
      <w:pPr>
        <w:pStyle w:val="BodyText"/>
        <w:spacing w:line="300" w:lineRule="auto" w:before="70"/>
        <w:ind w:right="193" w:firstLine="360"/>
        <w:jc w:val="both"/>
      </w:pPr>
      <w:r>
        <w:rPr/>
        <w:t>公司</w:t>
      </w:r>
      <w:r>
        <w:rPr>
          <w:rFonts w:ascii="Times New Roman" w:hAnsi="Times New Roman" w:cs="Times New Roman" w:eastAsia="Times New Roman" w:hint="default"/>
        </w:rPr>
        <w:t>2010</w:t>
      </w:r>
      <w:r>
        <w:rPr/>
        <w:t>年度股东大会决议，并经中国证券监督管理委员会证监许可</w:t>
      </w:r>
      <w:r>
        <w:rPr>
          <w:rFonts w:ascii="Times New Roman" w:hAnsi="Times New Roman" w:cs="Times New Roman" w:eastAsia="Times New Roman" w:hint="default"/>
        </w:rPr>
        <w:t>[2011]691</w:t>
      </w:r>
      <w:r>
        <w:rPr/>
        <w:t>号文《关于核准北京君正集成电路股份 有限公司首次公开发行股票并在创业板上市的批复》核准，公司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2,000</w:t>
      </w:r>
      <w:r>
        <w:rPr/>
        <w:t>万股并</w:t>
      </w:r>
      <w:r>
        <w:rPr>
          <w:spacing w:val="-82"/>
        </w:rPr>
        <w:t> </w:t>
      </w:r>
      <w:r>
        <w:rPr>
          <w:spacing w:val="-82"/>
        </w:rPr>
      </w:r>
      <w:r>
        <w:rPr/>
        <w:t>在深圳创业板上市交易。公司注册资本变更为</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万元。</w:t>
      </w:r>
    </w:p>
    <w:p>
      <w:pPr>
        <w:pStyle w:val="BodyText"/>
        <w:spacing w:line="300" w:lineRule="auto" w:before="52"/>
        <w:ind w:right="190" w:firstLine="360"/>
        <w:jc w:val="both"/>
      </w:pPr>
      <w:r>
        <w:rPr>
          <w:spacing w:val="-1"/>
        </w:rPr>
        <w:t>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日召开的</w:t>
      </w:r>
      <w:r>
        <w:rPr>
          <w:rFonts w:ascii="Times New Roman" w:hAnsi="Times New Roman" w:cs="Times New Roman" w:eastAsia="Times New Roman" w:hint="default"/>
          <w:spacing w:val="-1"/>
        </w:rPr>
        <w:t>2011</w:t>
      </w:r>
      <w:r>
        <w:rPr>
          <w:spacing w:val="-1"/>
        </w:rPr>
        <w:t>年年度股东大会会议决议，本公司申请增加注册资本人民币</w:t>
      </w:r>
      <w:r>
        <w:rPr>
          <w:rFonts w:ascii="Times New Roman" w:hAnsi="Times New Roman" w:cs="Times New Roman" w:eastAsia="Times New Roman" w:hint="default"/>
          <w:spacing w:val="-1"/>
        </w:rPr>
        <w:t>2,400</w:t>
      </w:r>
      <w:r>
        <w:rPr>
          <w:spacing w:val="-1"/>
        </w:rPr>
        <w:t>万元，由资本公积转增</w:t>
      </w:r>
      <w:r>
        <w:rPr/>
        <w:t> </w:t>
      </w:r>
      <w:r>
        <w:rPr>
          <w:spacing w:val="-1"/>
        </w:rPr>
        <w:t>股本，转增基准日期为</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日，变更后的股本为人民币</w:t>
      </w:r>
      <w:r>
        <w:rPr>
          <w:rFonts w:ascii="Times New Roman" w:hAnsi="Times New Roman" w:cs="Times New Roman" w:eastAsia="Times New Roman" w:hint="default"/>
          <w:spacing w:val="-1"/>
        </w:rPr>
        <w:t>10,400</w:t>
      </w:r>
      <w:r>
        <w:rPr>
          <w:spacing w:val="-1"/>
        </w:rPr>
        <w:t>万元。上述出资经北京兴华会计师事务所有限责任公</w:t>
      </w:r>
      <w:r>
        <w:rPr>
          <w:spacing w:val="-69"/>
        </w:rPr>
        <w:t> </w:t>
      </w:r>
      <w:r>
        <w:rPr>
          <w:spacing w:val="-69"/>
        </w:rPr>
      </w:r>
      <w:r>
        <w:rPr/>
        <w:t>司出具的</w:t>
      </w:r>
      <w:r>
        <w:rPr>
          <w:rFonts w:ascii="Times New Roman" w:hAnsi="Times New Roman" w:cs="Times New Roman" w:eastAsia="Times New Roman" w:hint="default"/>
        </w:rPr>
        <w:t>“[2012]</w:t>
      </w:r>
      <w:r>
        <w:rPr/>
        <w:t>京会兴验字第</w:t>
      </w:r>
      <w:r>
        <w:rPr>
          <w:rFonts w:ascii="Times New Roman" w:hAnsi="Times New Roman" w:cs="Times New Roman" w:eastAsia="Times New Roman" w:hint="default"/>
        </w:rPr>
        <w:t>01010117</w:t>
      </w:r>
      <w:r>
        <w:rPr/>
        <w:t>号验资报告</w:t>
      </w:r>
      <w:r>
        <w:rPr>
          <w:rFonts w:ascii="Times New Roman" w:hAnsi="Times New Roman" w:cs="Times New Roman" w:eastAsia="Times New Roman" w:hint="default"/>
        </w:rPr>
        <w:t>”</w:t>
      </w:r>
      <w:r>
        <w:rPr/>
        <w:t>验证。</w:t>
      </w:r>
    </w:p>
    <w:p>
      <w:pPr>
        <w:pStyle w:val="BodyText"/>
        <w:spacing w:line="319" w:lineRule="auto" w:before="51"/>
        <w:ind w:left="154" w:right="92" w:firstLine="360"/>
        <w:jc w:val="left"/>
      </w:pPr>
      <w:r>
        <w:rPr>
          <w:spacing w:val="-2"/>
        </w:rPr>
        <w:t>公司经营范围：研发、设计、委托加工、销售半导体集成电路芯片；计算机软硬件及计算机网络软硬件产品的设计、开</w:t>
      </w:r>
      <w:r>
        <w:rPr/>
        <w:t> 发；销售计算机软、硬件及其辅助设备、电子元器件、通讯设备；技术开发、技术转让、技术咨询、技术服务、技术培训； 技术检测；货物进出口、技术进出口、代理进出口。</w:t>
      </w:r>
    </w:p>
    <w:p>
      <w:pPr>
        <w:pStyle w:val="BodyText"/>
        <w:spacing w:line="300" w:lineRule="auto" w:before="56"/>
        <w:ind w:right="85" w:firstLine="578"/>
        <w:jc w:val="left"/>
      </w:pPr>
      <w:r>
        <w:rPr/>
        <w:t>本期纳入合并范围的子公司包括</w:t>
      </w:r>
      <w:r>
        <w:rPr>
          <w:rFonts w:ascii="Times New Roman" w:hAnsi="Times New Roman" w:cs="Times New Roman" w:eastAsia="Times New Roman" w:hint="default"/>
        </w:rPr>
        <w:t>4</w:t>
      </w:r>
      <w:r>
        <w:rPr/>
        <w:t>家，新增合肥君正科技有限公司具体见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 在其他主体中的权益</w:t>
      </w:r>
      <w:r>
        <w:rPr>
          <w:rFonts w:ascii="Times New Roman" w:hAnsi="Times New Roman" w:cs="Times New Roman" w:eastAsia="Times New Roman" w:hint="default"/>
        </w:rPr>
        <w:t>”</w:t>
      </w:r>
      <w:r>
        <w:rPr/>
        <w:t>。</w:t>
      </w:r>
    </w:p>
    <w:p>
      <w:pPr>
        <w:spacing w:after="0" w:line="30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19"/>
      <w:bookmarkEnd w:id="11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20"/>
      <w:bookmarkEnd w:id="12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50" w:firstLine="360"/>
        <w:jc w:val="both"/>
      </w:pPr>
      <w:r>
        <w:rPr>
          <w:spacing w:val="-2"/>
        </w:rPr>
        <w:t>本公司以持续经营为基础，根据实际发生的交易和事项，按照财政部发布的《企业会计准则</w:t>
      </w:r>
      <w:r>
        <w:rPr>
          <w:rFonts w:ascii="Times New Roman" w:hAnsi="Times New Roman" w:cs="Times New Roman" w:eastAsia="Times New Roman" w:hint="default"/>
          <w:spacing w:val="-2"/>
        </w:rPr>
        <w:t>—</w:t>
      </w:r>
      <w:r>
        <w:rPr>
          <w:spacing w:val="-2"/>
        </w:rPr>
        <w:t>基本准则》、</w:t>
      </w:r>
      <w:r>
        <w:rPr>
          <w:rFonts w:ascii="Times New Roman" w:hAnsi="Times New Roman" w:cs="Times New Roman" w:eastAsia="Times New Roman" w:hint="default"/>
          <w:spacing w:val="-2"/>
        </w:rPr>
        <w:t>41</w:t>
      </w:r>
      <w:r>
        <w:rPr>
          <w:spacing w:val="-2"/>
        </w:rPr>
        <w:t>项具体会</w:t>
      </w:r>
      <w:r>
        <w:rPr/>
        <w:t> </w:t>
      </w:r>
      <w:r>
        <w:rPr>
          <w:spacing w:val="-2"/>
        </w:rPr>
        <w:t>计准则、企业会计准则应用指南、企业会计准则解释及其他相关规定（以下简称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w:t>
      </w:r>
      <w:r>
        <w:rPr>
          <w:spacing w:val="-44"/>
        </w:rPr>
        <w:t> </w:t>
      </w:r>
      <w:r>
        <w:rPr>
          <w:spacing w:val="-44"/>
        </w:rPr>
      </w:r>
      <w:r>
        <w:rPr/>
        <w:t>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240" w:lineRule="auto" w:before="12"/>
        <w:rPr>
          <w:rFonts w:ascii="宋体" w:hAnsi="宋体" w:cs="宋体" w:eastAsia="宋体" w:hint="default"/>
          <w:sz w:val="21"/>
          <w:szCs w:val="21"/>
        </w:rPr>
      </w:pPr>
    </w:p>
    <w:p>
      <w:pPr>
        <w:pStyle w:val="Heading3"/>
        <w:spacing w:line="240" w:lineRule="auto"/>
        <w:ind w:left="153" w:right="0"/>
        <w:jc w:val="left"/>
        <w:rPr>
          <w:b w:val="0"/>
          <w:bCs w:val="0"/>
        </w:rPr>
      </w:pPr>
      <w:bookmarkStart w:name="2、持续经营" w:id="121"/>
      <w:bookmarkEnd w:id="12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22"/>
      <w:bookmarkEnd w:id="12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413" w:hanging="360"/>
        <w:jc w:val="left"/>
      </w:pPr>
      <w:r>
        <w:rPr/>
        <w:t>具体会计政策和会计估计提示： 本公司下列重要会计政策、会计估计根据企业会计准则制定。未提及的业务按企业会计准则中相关会计政策执行。</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1、遵循企业会计准则的声明" w:id="123"/>
      <w:bookmarkEnd w:id="12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2"/>
        </w:rPr>
        <w:t>本公司所编制的财务报表符合企业会计准则的要求，真实、完整地反映了企业的财务状况、经营成果和现金流量等有关</w:t>
      </w:r>
      <w:r>
        <w:rPr/>
        <w:t> 信息。</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2、会计期间" w:id="124"/>
      <w:bookmarkEnd w:id="12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本公司以公历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日为一个会计年度。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营业周期" w:id="125"/>
      <w:bookmarkEnd w:id="12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本公司以</w:t>
      </w:r>
      <w:r>
        <w:rPr>
          <w:rFonts w:ascii="宋体" w:hAnsi="宋体" w:cs="宋体" w:eastAsia="宋体" w:hint="default"/>
        </w:rPr>
        <w:t>12</w:t>
      </w:r>
      <w:r>
        <w:rPr/>
        <w:t>个月为一个正常的营业周期，并以营业周期作为资产和负债的流动性划分标准。</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记账本位币" w:id="126"/>
      <w:bookmarkEnd w:id="12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本公司以人民币为记账本位币，本公司控股子公司北京君正集成电路（香港）集团有限公司以美元为记账本位币。</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同一控制下和非同一控制下企业合并的会计处理方法" w:id="127"/>
      <w:bookmarkEnd w:id="12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0"/>
        <w:jc w:val="left"/>
      </w:pP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参与合并的企业在合并前后均受同一方或相同的多方最终控制且该控制并非暂时性的，为同一控制下的企业合并。合并</w:t>
      </w:r>
    </w:p>
    <w:p>
      <w:pPr>
        <w:pStyle w:val="BodyText"/>
        <w:spacing w:line="357" w:lineRule="auto" w:before="4"/>
        <w:ind w:left="514" w:right="0" w:hanging="360"/>
        <w:jc w:val="left"/>
      </w:pPr>
      <w:r>
        <w:rPr/>
        <w:t>日为合并方实际取得对被合并方控制权的日期。 </w:t>
      </w:r>
      <w:r>
        <w:rPr>
          <w:spacing w:val="-2"/>
        </w:rPr>
        <w:t>在企业合并中取得的资产和负债，按照合并日被合并方在最终控制方合并财务报表中的账面价值计量。被合并各方采用</w:t>
      </w:r>
    </w:p>
    <w:p>
      <w:pPr>
        <w:pStyle w:val="BodyText"/>
        <w:spacing w:line="357" w:lineRule="auto"/>
        <w:ind w:left="513" w:right="0" w:hanging="360"/>
        <w:jc w:val="left"/>
      </w:pPr>
      <w:r>
        <w:rPr/>
        <w:t>的会计政策与本公司不一致的，在合并日按照本公司会计政策进行调整，在此基础上按照调整后的账面价值确认。 </w:t>
      </w:r>
      <w:r>
        <w:rPr>
          <w:spacing w:val="-2"/>
        </w:rPr>
        <w:t>在合并中取得的净资产账面价值与支付的合并对价账面价值（或发行股份面值总额）的差额，调整资本公积中的股本溢</w:t>
      </w:r>
    </w:p>
    <w:p>
      <w:pPr>
        <w:pStyle w:val="BodyText"/>
        <w:spacing w:line="357" w:lineRule="auto"/>
        <w:ind w:left="514" w:right="0" w:hanging="360"/>
        <w:jc w:val="left"/>
      </w:pPr>
      <w:r>
        <w:rPr/>
        <w:t>价，资本公积中的股本溢价不足冲减的，调整留存收益。 </w:t>
      </w:r>
      <w:r>
        <w:rPr>
          <w:spacing w:val="-2"/>
        </w:rPr>
        <w:t>为进行企业合并而发生的各项直接相关费用，包括为进行合并而支付的审计费用、评估费用、法律服务费等，于发生时</w:t>
      </w:r>
    </w:p>
    <w:p>
      <w:pPr>
        <w:spacing w:after="0" w:line="357"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513" w:right="93" w:hanging="360"/>
        <w:jc w:val="left"/>
      </w:pPr>
      <w:r>
        <w:rPr/>
        <w:t>计入当期损益。 企业合并中发行权益性证券发生的手续费、佣金等，抵减权益性证券溢价收入，溢价收入不足冲减的，冲减留存收益。 </w:t>
      </w:r>
      <w:r>
        <w:rPr>
          <w:spacing w:val="-2"/>
        </w:rPr>
        <w:t>通过多次交易分步实现的同一控制下企业合并，属于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的，本公司将各项交易作为一项取得控制权的交易进</w:t>
      </w:r>
    </w:p>
    <w:p>
      <w:pPr>
        <w:pStyle w:val="BodyText"/>
        <w:spacing w:line="216" w:lineRule="exact"/>
        <w:ind w:right="43"/>
        <w:jc w:val="left"/>
      </w:pPr>
      <w:r>
        <w:rPr/>
        <w:t>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pStyle w:val="BodyText"/>
        <w:spacing w:line="302" w:lineRule="auto" w:before="101"/>
        <w:ind w:right="183" w:firstLine="360"/>
        <w:jc w:val="left"/>
      </w:pPr>
      <w:r>
        <w:rPr/>
        <w:t>（</w:t>
      </w:r>
      <w:r>
        <w:rPr>
          <w:rFonts w:ascii="Times New Roman" w:hAnsi="Times New Roman" w:cs="Times New Roman" w:eastAsia="Times New Roman" w:hint="default"/>
        </w:rPr>
        <w:t>1</w:t>
      </w:r>
      <w:r>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BodyText"/>
        <w:spacing w:line="309" w:lineRule="auto" w:before="68"/>
        <w:ind w:left="154" w:right="191" w:firstLine="360"/>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）长期股权投资初始投资成本与合并对价账面价值之间的差额的处理。合并日长期股权投资的初始投资成本，与达 </w:t>
      </w:r>
      <w:r>
        <w:rPr>
          <w:spacing w:val="-2"/>
        </w:rPr>
        <w:t>到合并前的长期股权投资账面价值加上合并日进一步取得股份新支付对价的账面价值之和的差额，调整资本公积（资本溢价</w:t>
      </w:r>
      <w:r>
        <w:rPr>
          <w:spacing w:val="-64"/>
        </w:rPr>
        <w:t> </w:t>
      </w:r>
      <w:r>
        <w:rPr>
          <w:spacing w:val="-64"/>
        </w:rPr>
      </w:r>
      <w:r>
        <w:rPr>
          <w:spacing w:val="-3"/>
        </w:rPr>
        <w:t>或股本溢价），资本公积（资本溢价或股本溢价）不足冲减的，冲减留存收益。</w:t>
      </w:r>
    </w:p>
    <w:p>
      <w:pPr>
        <w:pStyle w:val="BodyText"/>
        <w:spacing w:line="314" w:lineRule="auto" w:before="64"/>
        <w:ind w:left="154" w:right="191" w:firstLine="360"/>
        <w:jc w:val="both"/>
      </w:pPr>
      <w:r>
        <w:rPr/>
        <w:t>（</w:t>
      </w:r>
      <w:r>
        <w:rPr>
          <w:rFonts w:ascii="Times New Roman" w:hAnsi="Times New Roman" w:cs="Times New Roman" w:eastAsia="Times New Roman" w:hint="default"/>
        </w:rPr>
        <w:t>3</w:t>
      </w:r>
      <w:r>
        <w:rPr/>
        <w:t>）合并日之前持有的股权投资，因采用权益法核算或金融工具确认和计量准则核算而确认的其他综合收益，暂不进 </w:t>
      </w:r>
      <w:r>
        <w:rPr>
          <w:spacing w:val="-2"/>
        </w:rPr>
        <w:t>行会计处理，直至处置该项投资时采用与被投资单位直接处置相关资产或负债相同的基础进行会计处理；因采用权益法核算</w:t>
      </w:r>
      <w:r>
        <w:rPr>
          <w:spacing w:val="-64"/>
        </w:rPr>
        <w:t> </w:t>
      </w:r>
      <w:r>
        <w:rPr>
          <w:spacing w:val="-64"/>
        </w:rPr>
      </w:r>
      <w:r>
        <w:rPr>
          <w:spacing w:val="-2"/>
        </w:rPr>
        <w:t>而确认的被投资单位净资产中除净损益、其他综合收益和利润分配以外的所有者权益其他变动，暂不进行会计处理，直至处</w:t>
      </w:r>
      <w:r>
        <w:rPr>
          <w:spacing w:val="-66"/>
        </w:rPr>
        <w:t> </w:t>
      </w:r>
      <w:r>
        <w:rPr>
          <w:spacing w:val="-66"/>
        </w:rPr>
      </w:r>
      <w:r>
        <w:rPr>
          <w:spacing w:val="-2"/>
        </w:rPr>
        <w:t>置该项投资时转入当期损益。其中，处置后的剩余股权采用成本法或权益法核算的，其他综合收益和其他所有者权益应按比</w:t>
      </w:r>
      <w:r>
        <w:rPr>
          <w:spacing w:val="-66"/>
        </w:rPr>
        <w:t> </w:t>
      </w:r>
      <w:r>
        <w:rPr>
          <w:spacing w:val="-66"/>
        </w:rPr>
      </w:r>
      <w:r>
        <w:rPr/>
        <w:t>例结转，处置后的剩余股权改按金融工具确认和计量准则进行会计处理的，其他综合收益和其他所有者权益应全部结转。</w:t>
      </w:r>
    </w:p>
    <w:p>
      <w:pPr>
        <w:pStyle w:val="BodyText"/>
        <w:spacing w:line="240" w:lineRule="auto" w:before="60"/>
        <w:ind w:left="513" w:right="43"/>
        <w:jc w:val="left"/>
      </w:pPr>
      <w:r>
        <w:rPr/>
        <w:t>（</w:t>
      </w:r>
      <w:r>
        <w:rPr>
          <w:rFonts w:ascii="Times New Roman" w:hAnsi="Times New Roman" w:cs="Times New Roman" w:eastAsia="Times New Roman" w:hint="default"/>
        </w:rPr>
        <w:t>4</w:t>
      </w:r>
      <w:r>
        <w:rPr/>
        <w:t>）在合并财务报表中的会计处理见本附注四</w:t>
      </w:r>
      <w:r>
        <w:rPr>
          <w:spacing w:val="-90"/>
        </w:rPr>
        <w:t>、</w:t>
      </w:r>
      <w:r>
        <w:rPr/>
        <w:t>（六</w:t>
      </w:r>
      <w:r>
        <w:rPr>
          <w:spacing w:val="-90"/>
        </w:rPr>
        <w:t>）</w:t>
      </w:r>
      <w:r>
        <w:rPr/>
        <w:t>。</w:t>
      </w:r>
    </w:p>
    <w:p>
      <w:pPr>
        <w:pStyle w:val="BodyText"/>
        <w:spacing w:line="348" w:lineRule="auto" w:before="102"/>
        <w:ind w:left="513" w:right="43"/>
        <w:jc w:val="left"/>
      </w:pPr>
      <w:r>
        <w:rPr>
          <w:rFonts w:ascii="Times New Roman" w:hAnsi="Times New Roman" w:cs="Times New Roman" w:eastAsia="Times New Roman" w:hint="default"/>
        </w:rPr>
        <w:t>2</w:t>
      </w:r>
      <w:r>
        <w:rPr/>
        <w:t>、非同一控制下企业合并 参与合并的各方在合并前后不受同一方或相同的多方最终控制的，为非同一控制下的企业合并。 </w:t>
      </w:r>
      <w:r>
        <w:rPr>
          <w:spacing w:val="-4"/>
        </w:rPr>
        <w:t>购买方在购买日对作为企业合并对价付出的资产、发生或承担的负债按照公允价值计量。公允价值与其账面价值的差额，</w:t>
      </w:r>
    </w:p>
    <w:p>
      <w:pPr>
        <w:pStyle w:val="BodyText"/>
        <w:spacing w:line="357" w:lineRule="auto"/>
        <w:ind w:left="513" w:right="43" w:hanging="360"/>
        <w:jc w:val="left"/>
      </w:pPr>
      <w:r>
        <w:rPr/>
        <w:t>计入当期损益。 购买方在购买日对合并成本进行分配，确认所取得的被购买方各项可辨认资产、负债及或有负债的公允价值。 </w:t>
      </w:r>
      <w:r>
        <w:rPr>
          <w:spacing w:val="-2"/>
        </w:rPr>
        <w:t>购买方对合并成本大于合并中取得的被购买方可辨认净资产公允价值份额的差额，确认为商誉；合并成本小于合并中取</w:t>
      </w:r>
    </w:p>
    <w:p>
      <w:pPr>
        <w:pStyle w:val="BodyText"/>
        <w:spacing w:line="357" w:lineRule="auto"/>
        <w:ind w:left="513" w:right="43" w:hanging="360"/>
        <w:jc w:val="left"/>
      </w:pPr>
      <w:r>
        <w:rPr/>
        <w:t>得的被购买方可辨认净资产公允价值份额的差额，经复核后，计入当期损益。 </w:t>
      </w:r>
      <w:r>
        <w:rPr>
          <w:spacing w:val="-2"/>
        </w:rPr>
        <w:t>购买方为企业合并发生的审计、法律服务、评估咨询等中介费用以及其他相关管理费用，于发生时计入当期损益；购买</w:t>
      </w:r>
    </w:p>
    <w:p>
      <w:pPr>
        <w:pStyle w:val="BodyText"/>
        <w:spacing w:line="357" w:lineRule="auto"/>
        <w:ind w:left="513" w:right="43" w:hanging="360"/>
        <w:jc w:val="left"/>
      </w:pPr>
      <w:r>
        <w:rPr/>
        <w:t>方作为合并对价发行的权益性证券或债务性证券的交易费用，计入权益性证券或债务性证券的初始确认金额。 </w:t>
      </w:r>
      <w:r>
        <w:rPr>
          <w:spacing w:val="-2"/>
        </w:rPr>
        <w:t>购买方通过多次交易分步实现非同一控制下企业合并的，属于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w:t>
      </w:r>
    </w:p>
    <w:p>
      <w:pPr>
        <w:pStyle w:val="BodyText"/>
        <w:spacing w:line="216" w:lineRule="exact"/>
        <w:ind w:right="43"/>
        <w:jc w:val="left"/>
      </w:pPr>
      <w:r>
        <w:rPr/>
        <w:t>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的，区别个别财务报表和合并财务报表进行相关会计处理；</w:t>
      </w:r>
    </w:p>
    <w:p>
      <w:pPr>
        <w:pStyle w:val="BodyText"/>
        <w:spacing w:line="319" w:lineRule="auto" w:before="102"/>
        <w:ind w:right="93" w:firstLine="360"/>
        <w:jc w:val="left"/>
      </w:pPr>
      <w:r>
        <w:rPr>
          <w:spacing w:val="-2"/>
        </w:rPr>
        <w:t>在个别财务报表中，以购买日之前所持被购买方的股权投资的账面价值与购买日新增投资成本之和，作为改按成本法核</w:t>
      </w:r>
      <w:r>
        <w:rPr/>
        <w:t> </w:t>
      </w:r>
      <w:r>
        <w:rPr>
          <w:spacing w:val="-2"/>
        </w:rPr>
        <w:t>算的初始投资成本；购买日之前持有的被购买方的股权投资因采用权益法核算而确认的其他综合收益，在处置该项投资时采</w:t>
      </w:r>
      <w:r>
        <w:rPr>
          <w:spacing w:val="-64"/>
        </w:rPr>
        <w:t> </w:t>
      </w:r>
      <w:r>
        <w:rPr>
          <w:spacing w:val="-64"/>
        </w:rPr>
      </w:r>
      <w:r>
        <w:rPr>
          <w:spacing w:val="-2"/>
        </w:rPr>
        <w:t>用与被投资单位直接处置相关资产或负债相同的基础进行会计处理，因被投资方除净损益、其他综合收益和利润分配以外的</w:t>
      </w:r>
      <w:r>
        <w:rPr>
          <w:spacing w:val="-64"/>
        </w:rPr>
        <w:t> </w:t>
      </w:r>
      <w:r>
        <w:rPr>
          <w:spacing w:val="-64"/>
        </w:rPr>
      </w:r>
      <w:r>
        <w:rPr>
          <w:spacing w:val="-2"/>
        </w:rPr>
        <w:t>其他所有者权益变动而确认的所有者权益，在处置该项投资时转入处置期间的当期损益。其中，处置后的剩余股权根据长期</w:t>
      </w:r>
      <w:r>
        <w:rPr>
          <w:spacing w:val="-66"/>
        </w:rPr>
        <w:t> </w:t>
      </w:r>
      <w:r>
        <w:rPr>
          <w:spacing w:val="-66"/>
        </w:rPr>
      </w:r>
      <w:r>
        <w:rPr>
          <w:spacing w:val="-2"/>
        </w:rPr>
        <w:t>股权投资准则采用成本法或权益法核算的，其他综合收益和其他所有者权益应按比例结转，处置后的剩余股权改按金融工具</w:t>
      </w:r>
      <w:r>
        <w:rPr>
          <w:spacing w:val="-64"/>
        </w:rPr>
        <w:t> </w:t>
      </w:r>
      <w:r>
        <w:rPr>
          <w:spacing w:val="-64"/>
        </w:rPr>
      </w:r>
      <w:r>
        <w:rPr>
          <w:spacing w:val="-2"/>
        </w:rPr>
        <w:t>确认和计量准则进行会计处理的，其他综合收益和其他所有者权益应全部结转。购买日之前持有的股权投资，采用金融工具</w:t>
      </w:r>
      <w:r>
        <w:rPr>
          <w:spacing w:val="-66"/>
        </w:rPr>
        <w:t> </w:t>
      </w:r>
      <w:r>
        <w:rPr>
          <w:spacing w:val="-66"/>
        </w:rPr>
      </w:r>
      <w:r>
        <w:rPr/>
        <w:t>确认和计量准则进行会计处理的，将该股权投资的公允价值加上新增投资成本之和，作为改按成本法核算的初始投资成本， 原持有股权的公允价值与账面价值的差额与原计入其他综合收益的累计公允价值变动全部转入改按成本法核算的当期投资</w:t>
      </w:r>
      <w:r>
        <w:rPr>
          <w:spacing w:val="-9"/>
        </w:rPr>
        <w:t> </w:t>
      </w:r>
      <w:r>
        <w:rPr>
          <w:spacing w:val="-9"/>
        </w:rPr>
      </w:r>
      <w:r>
        <w:rPr/>
        <w:t>损益。</w:t>
      </w:r>
    </w:p>
    <w:p>
      <w:pPr>
        <w:pStyle w:val="BodyText"/>
        <w:spacing w:line="348" w:lineRule="auto" w:before="56"/>
        <w:ind w:left="513" w:right="4773"/>
        <w:jc w:val="left"/>
      </w:pPr>
      <w:r>
        <w:rPr>
          <w:spacing w:val="-8"/>
        </w:rPr>
        <w:t>在合并财务报表中的会计处理见本附注四、（六）。</w:t>
      </w:r>
      <w:r>
        <w:rPr>
          <w:spacing w:val="-86"/>
        </w:rPr>
        <w:t> </w:t>
      </w:r>
      <w:r>
        <w:rPr>
          <w:spacing w:val="-86"/>
        </w:rPr>
      </w:r>
      <w:r>
        <w:rPr>
          <w:rFonts w:ascii="Times New Roman" w:hAnsi="Times New Roman" w:cs="Times New Roman" w:eastAsia="Times New Roman" w:hint="default"/>
        </w:rPr>
        <w:t>3</w:t>
      </w:r>
      <w:r>
        <w:rPr/>
        <w:t>、将多次交易事项判断为一揽子交易的判断标准 本公司将多次交易事项判断为一揽子交易的判断标准如下：</w:t>
      </w:r>
    </w:p>
    <w:p>
      <w:pPr>
        <w:pStyle w:val="BodyText"/>
        <w:spacing w:line="240" w:lineRule="auto" w:before="35"/>
        <w:ind w:left="514" w:right="43"/>
        <w:jc w:val="left"/>
      </w:pPr>
      <w:r>
        <w:rPr/>
        <w:t>（</w:t>
      </w:r>
      <w:r>
        <w:rPr>
          <w:rFonts w:ascii="Times New Roman" w:hAnsi="Times New Roman" w:cs="Times New Roman" w:eastAsia="Times New Roman" w:hint="default"/>
        </w:rPr>
        <w:t>1</w:t>
      </w:r>
      <w:r>
        <w:rPr/>
        <w:t>）</w:t>
      </w:r>
      <w:r>
        <w:rPr>
          <w:spacing w:val="-60"/>
        </w:rPr>
        <w:t> </w:t>
      </w:r>
      <w:r>
        <w:rPr/>
        <w:t>这些交易是同时或者在考虑了彼此影响的情况下订立的；</w:t>
      </w:r>
    </w:p>
    <w:p>
      <w:pPr>
        <w:pStyle w:val="BodyText"/>
        <w:spacing w:line="240" w:lineRule="auto" w:before="102"/>
        <w:ind w:left="514" w:right="4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3"/>
        <w:ind w:left="514" w:right="4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2"/>
        <w:ind w:left="514" w:right="43"/>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6、合并财务报表的编制方法" w:id="128"/>
      <w:bookmarkEnd w:id="12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72" w:firstLine="360"/>
        <w:jc w:val="both"/>
      </w:pPr>
      <w:r>
        <w:rPr>
          <w:spacing w:val="-2"/>
        </w:rPr>
        <w:t>本公司合并财务报表的合并范围以控制为基础确定，控制是指投资方拥有被投资方的权力，通过参与被投资方的相关活</w:t>
      </w:r>
      <w:r>
        <w:rPr/>
        <w:t> </w:t>
      </w:r>
      <w:r>
        <w:rPr>
          <w:spacing w:val="-2"/>
        </w:rPr>
        <w:t>动而享有可变回报，并且有能力运用对被投资方的权力影响其回报金额。相关活动，是指对被投资方的回报产生重大影响的</w:t>
      </w:r>
      <w:r>
        <w:rPr>
          <w:spacing w:val="-66"/>
        </w:rPr>
        <w:t> </w:t>
      </w:r>
      <w:r>
        <w:rPr>
          <w:spacing w:val="-66"/>
        </w:rPr>
      </w:r>
      <w:r>
        <w:rPr/>
        <w:t>活动。</w:t>
      </w:r>
    </w:p>
    <w:p>
      <w:pPr>
        <w:pStyle w:val="BodyText"/>
        <w:spacing w:line="319" w:lineRule="auto" w:before="55"/>
        <w:ind w:right="170" w:firstLine="360"/>
        <w:jc w:val="both"/>
      </w:pPr>
      <w:r>
        <w:rPr>
          <w:spacing w:val="-2"/>
        </w:rPr>
        <w:t>本公司以自身和子公司的财务报表为基础，根据其他有关资料将整个企业集团视为一个会计主体，依据相关企业会计准</w:t>
      </w:r>
      <w:r>
        <w:rPr/>
        <w:t> </w:t>
      </w:r>
      <w:r>
        <w:rPr>
          <w:spacing w:val="-2"/>
        </w:rPr>
        <w:t>则的确认、计量和列报要求，已按照统一的会计政策及会计期间，反映企业集团整体财务状况、经营成果和现金流量。合并</w:t>
      </w:r>
      <w:r>
        <w:rPr>
          <w:spacing w:val="-66"/>
        </w:rPr>
        <w:t> </w:t>
      </w:r>
      <w:r>
        <w:rPr>
          <w:spacing w:val="-66"/>
        </w:rPr>
      </w:r>
      <w:r>
        <w:rPr>
          <w:spacing w:val="-2"/>
        </w:rPr>
        <w:t>程序具体包括：合并母公司与子公司的资产、负债、所有者权益、收入、费用和现金流等项目；抵销母公司对子公司的长期</w:t>
      </w:r>
      <w:r>
        <w:rPr>
          <w:spacing w:val="-68"/>
        </w:rPr>
        <w:t> </w:t>
      </w:r>
      <w:r>
        <w:rPr>
          <w:spacing w:val="-68"/>
        </w:rPr>
      </w:r>
      <w:r>
        <w:rPr>
          <w:spacing w:val="-2"/>
        </w:rPr>
        <w:t>股权投资与母公司在子公司所有者权益中所享有的份额；抵销母公司与子公司、子公司相互之间发生的内部交易的影响，内</w:t>
      </w:r>
      <w:r>
        <w:rPr>
          <w:spacing w:val="-66"/>
        </w:rPr>
        <w:t> </w:t>
      </w:r>
      <w:r>
        <w:rPr>
          <w:spacing w:val="-66"/>
        </w:rPr>
      </w:r>
      <w:r>
        <w:rPr/>
        <w:t>部交易表明相关资产发生减值损失的，全额确认该部分损失；站在企业集团角度对特殊交易事项予以调整。</w:t>
      </w:r>
    </w:p>
    <w:p>
      <w:pPr>
        <w:pStyle w:val="BodyText"/>
        <w:spacing w:line="302" w:lineRule="auto" w:before="56"/>
        <w:ind w:right="171" w:firstLine="360"/>
        <w:jc w:val="both"/>
      </w:pPr>
      <w:r>
        <w:rPr/>
        <w:t>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 益</w:t>
      </w:r>
      <w:r>
        <w:rPr>
          <w:rFonts w:ascii="Times New Roman" w:hAnsi="Times New Roman" w:cs="Times New Roman" w:eastAsia="Times New Roman" w:hint="default"/>
        </w:rPr>
        <w:t>”</w:t>
      </w:r>
      <w:r>
        <w:rPr/>
        <w:t>项目列示。</w:t>
      </w:r>
    </w:p>
    <w:p>
      <w:pPr>
        <w:pStyle w:val="BodyText"/>
        <w:spacing w:line="302" w:lineRule="auto" w:before="49"/>
        <w:ind w:right="108" w:firstLine="360"/>
        <w:jc w:val="both"/>
      </w:pPr>
      <w:r>
        <w:rPr>
          <w:spacing w:val="-2"/>
        </w:rPr>
        <w:t>子公司当期净损益中属于少数股东权益的份额，在合并利润表中净利润项目下以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项目列示。子公司当期</w:t>
      </w:r>
      <w:r>
        <w:rPr/>
        <w:t> 综合收益中属于少数股东权益的份额，在合并利润表中综合收益总额项目下以</w:t>
      </w:r>
      <w:r>
        <w:rPr>
          <w:rFonts w:ascii="Times New Roman" w:hAnsi="Times New Roman" w:cs="Times New Roman" w:eastAsia="Times New Roman" w:hint="default"/>
        </w:rPr>
        <w:t>“</w:t>
      </w:r>
      <w:r>
        <w:rPr/>
        <w:t>归属于少数股东的综合收益总额</w:t>
      </w:r>
      <w:r>
        <w:rPr>
          <w:rFonts w:ascii="Times New Roman" w:hAnsi="Times New Roman" w:cs="Times New Roman" w:eastAsia="Times New Roman" w:hint="default"/>
        </w:rPr>
        <w:t>”</w:t>
      </w:r>
      <w:r>
        <w:rPr/>
        <w:t>项目列示。</w:t>
      </w:r>
    </w:p>
    <w:p>
      <w:pPr>
        <w:pStyle w:val="BodyText"/>
        <w:spacing w:line="319" w:lineRule="auto" w:before="49"/>
        <w:ind w:right="171" w:firstLine="360"/>
        <w:jc w:val="both"/>
      </w:pPr>
      <w:r>
        <w:rPr>
          <w:spacing w:val="-2"/>
        </w:rPr>
        <w:t>子公司少数股东分担的当期亏损超过了少数股东在该子公司期初所有者权益中所享有的份额的，其余额仍冲减少数股东</w:t>
      </w:r>
      <w:r>
        <w:rPr/>
        <w:t> 权益。</w:t>
      </w:r>
    </w:p>
    <w:p>
      <w:pPr>
        <w:pStyle w:val="BodyText"/>
        <w:spacing w:line="300" w:lineRule="auto" w:before="56"/>
        <w:ind w:right="169" w:firstLine="360"/>
        <w:jc w:val="both"/>
      </w:pPr>
      <w:r>
        <w:rPr>
          <w:spacing w:val="-2"/>
        </w:rPr>
        <w:t>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。子公司向母公司出售资产</w:t>
      </w:r>
      <w:r>
        <w:rPr/>
        <w:t> </w:t>
      </w:r>
      <w:r>
        <w:rPr>
          <w:spacing w:val="-1"/>
        </w:rPr>
        <w:t>所发生的未实现内部交易损益，按照母公司对该子公司的分配比例在</w:t>
      </w:r>
      <w:r>
        <w:rPr>
          <w:rFonts w:ascii="Times New Roman" w:hAnsi="Times New Roman" w:cs="Times New Roman" w:eastAsia="Times New Roman" w:hint="default"/>
          <w:spacing w:val="-1"/>
        </w:rPr>
        <w:t>“</w:t>
      </w:r>
      <w:r>
        <w:rPr>
          <w:spacing w:val="-1"/>
        </w:rPr>
        <w:t>归属于母公司所有者的净利润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少数股东损益</w:t>
      </w:r>
      <w:r>
        <w:rPr>
          <w:rFonts w:ascii="Times New Roman" w:hAnsi="Times New Roman" w:cs="Times New Roman" w:eastAsia="Times New Roman" w:hint="default"/>
          <w:spacing w:val="-1"/>
        </w:rPr>
        <w:t>”</w:t>
      </w:r>
      <w:r>
        <w:rPr>
          <w:spacing w:val="-1"/>
        </w:rPr>
        <w:t>之间</w:t>
      </w:r>
      <w:r>
        <w:rPr>
          <w:spacing w:val="-76"/>
        </w:rPr>
        <w:t> </w:t>
      </w:r>
      <w:r>
        <w:rPr/>
        <w:t>分配抵销。子公司之间出售资产所发生的未实现内部交易损益，按照母公司对出售方子公司的分配比例在</w:t>
      </w:r>
      <w:r>
        <w:rPr>
          <w:rFonts w:ascii="Times New Roman" w:hAnsi="Times New Roman" w:cs="Times New Roman" w:eastAsia="Times New Roman" w:hint="default"/>
        </w:rPr>
        <w:t>“</w:t>
      </w:r>
      <w:r>
        <w:rPr/>
        <w:t>归属于母公司所</w:t>
      </w:r>
      <w:r>
        <w:rPr>
          <w:spacing w:val="-75"/>
        </w:rPr>
        <w:t> </w:t>
      </w:r>
      <w:r>
        <w:rPr>
          <w:spacing w:val="-75"/>
        </w:rPr>
      </w:r>
      <w:r>
        <w:rPr/>
        <w:t>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9" w:lineRule="auto" w:before="51"/>
        <w:ind w:left="154" w:right="171" w:firstLine="360"/>
        <w:jc w:val="both"/>
      </w:pPr>
      <w:r>
        <w:rPr>
          <w:spacing w:val="-2"/>
        </w:rPr>
        <w:t>本公司在报告期内因同一控制下企业合并增加的子公司以及业务，编制合并报表时，调整合并资产负债表的期初数，将</w:t>
      </w:r>
      <w:r>
        <w:rPr/>
        <w:t> </w:t>
      </w:r>
      <w:r>
        <w:rPr>
          <w:spacing w:val="-2"/>
        </w:rPr>
        <w:t>该子公司以及业务合并当期期初至报告期末的收入、费用、利润纳入合并利润表，现金流量纳入合并现金流量表，同时对比</w:t>
      </w:r>
      <w:r>
        <w:rPr>
          <w:spacing w:val="-66"/>
        </w:rPr>
        <w:t> </w:t>
      </w:r>
      <w:r>
        <w:rPr>
          <w:spacing w:val="-66"/>
        </w:rPr>
      </w:r>
      <w:r>
        <w:rPr/>
        <w:t>较报表的相关项目进行调整，视同合并后的报告主体自最终控制方开始控制时点起一直存在。</w:t>
      </w:r>
    </w:p>
    <w:p>
      <w:pPr>
        <w:pStyle w:val="BodyText"/>
        <w:spacing w:line="319" w:lineRule="auto" w:before="55"/>
        <w:ind w:right="171" w:firstLine="360"/>
        <w:jc w:val="both"/>
      </w:pPr>
      <w:r>
        <w:rPr>
          <w:spacing w:val="-2"/>
        </w:rPr>
        <w:t>本公司在报告期内因非同一控制下企业合并或其他方式增加的子公司以及业务，编制合并资产负债表时，不调整合并资</w:t>
      </w:r>
      <w:r>
        <w:rPr/>
        <w:t> </w:t>
      </w:r>
      <w:r>
        <w:rPr>
          <w:spacing w:val="-2"/>
        </w:rPr>
        <w:t>产负债表的期初数，将该子公司以及业务购买日至报告期末的收入、费用、利润、现金流量纳入合并利润表和合并现金流量</w:t>
      </w:r>
      <w:r>
        <w:rPr>
          <w:spacing w:val="-65"/>
        </w:rPr>
        <w:t> </w:t>
      </w:r>
      <w:r>
        <w:rPr>
          <w:spacing w:val="-65"/>
        </w:rPr>
      </w:r>
      <w:r>
        <w:rPr/>
        <w:t>表。</w:t>
      </w:r>
    </w:p>
    <w:p>
      <w:pPr>
        <w:pStyle w:val="BodyText"/>
        <w:spacing w:line="319" w:lineRule="auto" w:before="56"/>
        <w:ind w:left="154" w:right="173" w:firstLine="360"/>
        <w:jc w:val="both"/>
      </w:pPr>
      <w:r>
        <w:rPr>
          <w:spacing w:val="-2"/>
        </w:rPr>
        <w:t>本公司在报告期内处置子公司以及业务，编制合并资产负债表时，不调整合并资产负债表的期初数，该子公司以及业务</w:t>
      </w:r>
      <w:r>
        <w:rPr/>
        <w:t> 期初至处置日的收入、费用、利润纳入合并利润表，现金流量纳入合并现金流量表。</w:t>
      </w:r>
    </w:p>
    <w:p>
      <w:pPr>
        <w:pStyle w:val="BodyText"/>
        <w:spacing w:line="319" w:lineRule="auto" w:before="55"/>
        <w:ind w:right="172" w:firstLine="360"/>
        <w:jc w:val="both"/>
      </w:pPr>
      <w:r>
        <w:rPr>
          <w:spacing w:val="-2"/>
        </w:rPr>
        <w:t>母公司购买子公司少数股东拥有的子公司股权，在合并财务报表中，因购买少数股权新取得的长期股权投资与按照新增</w:t>
      </w:r>
      <w:r>
        <w:rPr/>
        <w:t> 持股比例计算应享有子公司自购买日或合并日开始持续计算的净资产份额之间的差额，调整资本公积（资本溢价或股本溢</w:t>
      </w:r>
      <w:r>
        <w:rPr>
          <w:spacing w:val="-9"/>
        </w:rPr>
        <w:t> </w:t>
      </w:r>
      <w:r>
        <w:rPr>
          <w:spacing w:val="-9"/>
        </w:rPr>
      </w:r>
      <w:r>
        <w:rPr/>
        <w:t>价），资本公积不足冲减的，调整留存收益。</w:t>
      </w:r>
    </w:p>
    <w:p>
      <w:pPr>
        <w:pStyle w:val="BodyText"/>
        <w:spacing w:line="309" w:lineRule="auto" w:before="55"/>
        <w:ind w:right="171" w:firstLine="360"/>
        <w:jc w:val="both"/>
      </w:pPr>
      <w:r>
        <w:rPr>
          <w:spacing w:val="-2"/>
        </w:rPr>
        <w:t>通过多次交易分步实现的同一控制下企业合并，不属于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的，取得控制权日，合并方在达到合并之前持有的</w:t>
      </w:r>
      <w:r>
        <w:rPr/>
        <w:t> </w:t>
      </w:r>
      <w:r>
        <w:rPr>
          <w:spacing w:val="-2"/>
        </w:rPr>
        <w:t>长期股权投资，在取得日与合并方与被合并方同处于同一方最终控制之日熟晚日与合并日之间已确认的有关损益、其他综合</w:t>
      </w:r>
      <w:r>
        <w:rPr>
          <w:spacing w:val="-64"/>
        </w:rPr>
        <w:t> </w:t>
      </w:r>
      <w:r>
        <w:rPr>
          <w:spacing w:val="-64"/>
        </w:rPr>
      </w:r>
      <w:r>
        <w:rPr/>
        <w:t>收益和其他所有者权益变动，分别冲减比较报表期间的期初留存收益或当期损益。</w:t>
      </w:r>
    </w:p>
    <w:p>
      <w:pPr>
        <w:pStyle w:val="BodyText"/>
        <w:spacing w:line="312" w:lineRule="auto" w:before="64"/>
        <w:ind w:right="171" w:firstLine="360"/>
        <w:jc w:val="both"/>
      </w:pPr>
      <w:r>
        <w:rPr>
          <w:spacing w:val="-2"/>
        </w:rPr>
        <w:t>通过多次交易分步实现非同一控制下企业合并，不属于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的，在合并财务报表中，对于购买日之前持有的被</w:t>
      </w:r>
      <w:r>
        <w:rPr/>
        <w:t> </w:t>
      </w:r>
      <w:r>
        <w:rPr>
          <w:spacing w:val="-2"/>
        </w:rPr>
        <w:t>购买方的股权，按照该股权在购买日的公允价值进行重新计量，公允价值与其账面价值的差额计入当期投资收益；购买日之</w:t>
      </w:r>
      <w:r>
        <w:rPr>
          <w:spacing w:val="-65"/>
        </w:rPr>
        <w:t> </w:t>
      </w:r>
      <w:r>
        <w:rPr>
          <w:spacing w:val="-65"/>
        </w:rPr>
      </w:r>
      <w:r>
        <w:rPr>
          <w:spacing w:val="-2"/>
        </w:rPr>
        <w:t>前持有的被购买方的股权涉及权益法核算下的其他综合收益等的，与其相关的其他综合收益等转为购买日所属当期收益。由</w:t>
      </w:r>
      <w:r>
        <w:rPr>
          <w:spacing w:val="-64"/>
        </w:rPr>
        <w:t> </w:t>
      </w:r>
      <w:r>
        <w:rPr>
          <w:spacing w:val="-64"/>
        </w:rPr>
      </w:r>
      <w:r>
        <w:rPr/>
        <w:t>于被投资方重新计量设定收益计划净负债或资产变动而产生的其他综合收益除外。</w:t>
      </w:r>
    </w:p>
    <w:p>
      <w:pPr>
        <w:pStyle w:val="BodyText"/>
        <w:spacing w:line="319" w:lineRule="auto" w:before="61"/>
        <w:ind w:right="171" w:firstLine="360"/>
        <w:jc w:val="both"/>
      </w:pPr>
      <w:r>
        <w:rPr>
          <w:spacing w:val="-2"/>
        </w:rPr>
        <w:t>母公司在不丧失控制权的情况下部分处置对子公司的长期股权投资，在合并财务报表中，处置价款与处置长期股权投资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316" w:lineRule="auto" w:before="55"/>
        <w:ind w:left="154" w:right="171" w:firstLine="360"/>
        <w:jc w:val="both"/>
      </w:pPr>
      <w:r>
        <w:rPr>
          <w:spacing w:val="-2"/>
        </w:rPr>
        <w:t>因处置部分股权投资等原因丧失了对被投资方的控制权的，在编制合并财务报表时，对于剩余股权，按照其在丧失控制</w:t>
      </w:r>
      <w:r>
        <w:rPr/>
        <w:t> </w:t>
      </w:r>
      <w:r>
        <w:rPr>
          <w:spacing w:val="-2"/>
        </w:rPr>
        <w:t>权日的公允价值进行重新计量。处置股权取得的对价与剩余股权公允价值之和，减去按原持股比例计算应享有原有子公司自</w:t>
      </w:r>
    </w:p>
    <w:p>
      <w:pPr>
        <w:spacing w:after="0" w:line="316" w:lineRule="auto"/>
        <w:jc w:val="both"/>
        <w:sectPr>
          <w:pgSz w:w="11910" w:h="16840"/>
          <w:pgMar w:header="747" w:footer="979" w:top="1060" w:bottom="1160" w:left="980" w:right="960"/>
        </w:sectPr>
      </w:pPr>
    </w:p>
    <w:p>
      <w:pPr>
        <w:spacing w:line="240" w:lineRule="auto" w:before="12"/>
        <w:rPr>
          <w:rFonts w:ascii="宋体" w:hAnsi="宋体" w:cs="宋体" w:eastAsia="宋体" w:hint="default"/>
          <w:sz w:val="25"/>
          <w:szCs w:val="25"/>
        </w:rPr>
      </w:pPr>
    </w:p>
    <w:p>
      <w:pPr>
        <w:pStyle w:val="BodyText"/>
        <w:spacing w:line="319" w:lineRule="auto" w:before="44"/>
        <w:ind w:right="43"/>
        <w:jc w:val="left"/>
      </w:pPr>
      <w:r>
        <w:rPr>
          <w:spacing w:val="-2"/>
        </w:rPr>
        <w:t>购买日或合并日开始持续计算的净资产的份额之间的差额，计入丧失控制权当期的投资收益，同时冲减商誉。与原有子公司</w:t>
      </w:r>
      <w:r>
        <w:rPr>
          <w:spacing w:val="-66"/>
        </w:rPr>
        <w:t> </w:t>
      </w:r>
      <w:r>
        <w:rPr>
          <w:spacing w:val="-66"/>
        </w:rPr>
      </w:r>
      <w:r>
        <w:rPr/>
        <w:t>股权投资相关的其他综合收益等，在丧失控制权时转为当期投资收益。</w:t>
      </w:r>
    </w:p>
    <w:p>
      <w:pPr>
        <w:pStyle w:val="BodyText"/>
        <w:spacing w:line="319" w:lineRule="auto" w:before="55"/>
        <w:ind w:right="191" w:firstLine="360"/>
        <w:jc w:val="both"/>
      </w:pPr>
      <w:r>
        <w:rPr>
          <w:spacing w:val="-2"/>
        </w:rPr>
        <w:t>通过多次交易分步处置对子公司股权投资直至丧失控制权的，如果处置对子公司股权投资直至丧失控制权的各项交易属</w:t>
      </w:r>
      <w:r>
        <w:rPr/>
        <w:t> </w:t>
      </w:r>
      <w:r>
        <w:rPr>
          <w:spacing w:val="-2"/>
        </w:rPr>
        <w:t>于一揽子交易的，将各项交易作为一项处置子公司并丧失控制权的交易进行会计处理；但是，在丧失控制权之前每一次处置</w:t>
      </w:r>
      <w:r>
        <w:rPr>
          <w:spacing w:val="-65"/>
        </w:rPr>
        <w:t> </w:t>
      </w:r>
      <w:r>
        <w:rPr>
          <w:spacing w:val="-65"/>
        </w:rPr>
      </w:r>
      <w:r>
        <w:rPr>
          <w:spacing w:val="-2"/>
        </w:rPr>
        <w:t>价款与处置投资对应的享有该子公司净资产份额的差额，在合并财务报表中确认为其他综合收益，在丧失控制权时一并转入</w:t>
      </w:r>
      <w:r>
        <w:rPr>
          <w:spacing w:val="-64"/>
        </w:rPr>
        <w:t> </w:t>
      </w:r>
      <w:r>
        <w:rPr>
          <w:spacing w:val="-64"/>
        </w:rPr>
      </w:r>
      <w:r>
        <w:rPr/>
        <w:t>丧失控制权当期的损益。</w:t>
      </w:r>
    </w:p>
    <w:p>
      <w:pPr>
        <w:pStyle w:val="BodyText"/>
        <w:spacing w:line="240" w:lineRule="auto" w:before="58"/>
        <w:ind w:left="513" w:right="43"/>
        <w:jc w:val="left"/>
      </w:pPr>
      <w:r>
        <w:rPr/>
        <w:t>合并所有者权益变动表根据合并资产负债表和合并利润表编制。</w:t>
      </w:r>
    </w:p>
    <w:p>
      <w:pPr>
        <w:pStyle w:val="BodyText"/>
        <w:spacing w:line="338" w:lineRule="auto" w:before="116"/>
        <w:ind w:left="514" w:right="632"/>
        <w:jc w:val="left"/>
      </w:pPr>
      <w:r>
        <w:rPr>
          <w:rFonts w:ascii="Times New Roman" w:hAnsi="Times New Roman" w:cs="Times New Roman" w:eastAsia="Times New Roman" w:hint="default"/>
        </w:rPr>
        <w:t>1</w:t>
      </w:r>
      <w:r>
        <w:rPr/>
        <w:t>、合并财务报表的合并范围 本公司将下列被投资单位认定为子公司，纳入合并范围。但是，有证据表明本公司不能控制被投资单位的除外：</w:t>
      </w:r>
    </w:p>
    <w:p>
      <w:pPr>
        <w:pStyle w:val="BodyText"/>
        <w:spacing w:line="240" w:lineRule="auto" w:before="43"/>
        <w:ind w:left="513" w:right="43"/>
        <w:jc w:val="left"/>
      </w:pPr>
      <w:r>
        <w:rPr/>
        <w:t>（</w:t>
      </w:r>
      <w:r>
        <w:rPr>
          <w:rFonts w:ascii="Times New Roman" w:hAnsi="Times New Roman" w:cs="Times New Roman" w:eastAsia="Times New Roman" w:hint="default"/>
        </w:rPr>
        <w:t>1</w:t>
      </w:r>
      <w:r>
        <w:rPr/>
        <w:t>）公司直接或通过子公司间接拥有被投资单位半数以上的表决权；</w:t>
      </w:r>
    </w:p>
    <w:p>
      <w:pPr>
        <w:pStyle w:val="BodyText"/>
        <w:spacing w:line="240" w:lineRule="auto" w:before="102"/>
        <w:ind w:left="513" w:right="43"/>
        <w:jc w:val="left"/>
      </w:pPr>
      <w:r>
        <w:rPr/>
        <w:t>（</w:t>
      </w:r>
      <w:r>
        <w:rPr>
          <w:rFonts w:ascii="Times New Roman" w:hAnsi="Times New Roman" w:cs="Times New Roman" w:eastAsia="Times New Roman" w:hint="default"/>
        </w:rPr>
        <w:t>2</w:t>
      </w:r>
      <w:r>
        <w:rPr/>
        <w:t>）公司拥有被投资单位半数或以下的表决权，且满足下列条件之一的：</w:t>
      </w:r>
    </w:p>
    <w:p>
      <w:pPr>
        <w:pStyle w:val="BodyText"/>
        <w:spacing w:line="240" w:lineRule="auto" w:before="102"/>
        <w:ind w:left="513" w:right="43"/>
        <w:jc w:val="left"/>
      </w:pPr>
      <w:r>
        <w:rPr/>
        <w:t>①通过与被投资单位其他投资者之间的协议拥有被投资单位半数以上表决权；</w:t>
      </w:r>
    </w:p>
    <w:p>
      <w:pPr>
        <w:pStyle w:val="BodyText"/>
        <w:spacing w:line="240" w:lineRule="auto" w:before="117"/>
        <w:ind w:left="513" w:right="43"/>
        <w:jc w:val="left"/>
      </w:pPr>
      <w:r>
        <w:rPr/>
        <w:t>②根据公司章程或协议，有权决定被投资单位的财务和经营政策；</w:t>
      </w:r>
    </w:p>
    <w:p>
      <w:pPr>
        <w:pStyle w:val="BodyText"/>
        <w:spacing w:line="240" w:lineRule="auto" w:before="116"/>
        <w:ind w:left="513" w:right="43"/>
        <w:jc w:val="left"/>
      </w:pPr>
      <w:r>
        <w:rPr/>
        <w:t>③有权任免被投资单位的董事会或类似机构的多数成员；</w:t>
      </w:r>
    </w:p>
    <w:p>
      <w:pPr>
        <w:pStyle w:val="BodyText"/>
        <w:spacing w:line="240" w:lineRule="auto" w:before="116"/>
        <w:ind w:left="514" w:right="43"/>
        <w:jc w:val="left"/>
      </w:pPr>
      <w:r>
        <w:rPr/>
        <w:t>④在被投资单位的董事会或类似机构占多数表决权。</w:t>
      </w:r>
    </w:p>
    <w:p>
      <w:pPr>
        <w:pStyle w:val="BodyText"/>
        <w:spacing w:line="240" w:lineRule="auto" w:before="117"/>
        <w:ind w:left="514" w:right="43"/>
        <w:jc w:val="left"/>
      </w:pPr>
      <w:r>
        <w:rPr>
          <w:rFonts w:ascii="Times New Roman" w:hAnsi="Times New Roman" w:cs="Times New Roman" w:eastAsia="Times New Roman" w:hint="default"/>
        </w:rPr>
        <w:t>2</w:t>
      </w:r>
      <w:r>
        <w:rPr/>
        <w:t>、合并财务报表的编制方法</w:t>
      </w:r>
    </w:p>
    <w:p>
      <w:pPr>
        <w:pStyle w:val="BodyText"/>
        <w:spacing w:line="302" w:lineRule="auto" w:before="101"/>
        <w:ind w:right="179" w:firstLine="360"/>
        <w:jc w:val="left"/>
      </w:pPr>
      <w:r>
        <w:rPr>
          <w:spacing w:val="-1"/>
        </w:rPr>
        <w:t>合并财务报表按照</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月颁布的《企业会计准则第</w:t>
      </w:r>
      <w:r>
        <w:rPr>
          <w:rFonts w:ascii="Times New Roman" w:hAnsi="Times New Roman" w:cs="Times New Roman" w:eastAsia="Times New Roman" w:hint="default"/>
          <w:spacing w:val="-1"/>
        </w:rPr>
        <w:t>33</w:t>
      </w:r>
      <w:r>
        <w:rPr>
          <w:rFonts w:ascii="Times New Roman" w:hAnsi="Times New Roman" w:cs="Times New Roman" w:eastAsia="Times New Roman" w:hint="default"/>
          <w:spacing w:val="41"/>
        </w:rPr>
        <w:t> </w:t>
      </w:r>
      <w:r>
        <w:rPr>
          <w:spacing w:val="-2"/>
        </w:rPr>
        <w:t>号</w:t>
      </w:r>
      <w:r>
        <w:rPr>
          <w:rFonts w:ascii="Times New Roman" w:hAnsi="Times New Roman" w:cs="Times New Roman" w:eastAsia="Times New Roman" w:hint="default"/>
          <w:spacing w:val="-2"/>
        </w:rPr>
        <w:t>—</w:t>
      </w:r>
      <w:r>
        <w:rPr>
          <w:spacing w:val="-2"/>
        </w:rPr>
        <w:t>合并财务报表》执行。即以母公司和纳入合并范围的子公</w:t>
      </w:r>
      <w:r>
        <w:rPr/>
        <w:t> 司的个别财务报表为基础，根据其他有关资料为依据，按照权益法调整对子公司的长期股权投资后，由母公司编制。</w:t>
      </w:r>
    </w:p>
    <w:p>
      <w:pPr>
        <w:pStyle w:val="BodyText"/>
        <w:spacing w:line="319" w:lineRule="auto" w:before="68"/>
        <w:ind w:right="43" w:firstLine="360"/>
        <w:jc w:val="left"/>
      </w:pPr>
      <w:r>
        <w:rPr>
          <w:spacing w:val="-2"/>
        </w:rPr>
        <w:t>集团内部所有重大往来余额、交易及未实现利润在合并财务报表编制时予以抵销。子公司的股东权益中不属于母公司所</w:t>
      </w:r>
      <w:r>
        <w:rPr/>
        <w:t> 拥有的部分作为少数股东权益在合并财务报表中股东权益项下单独列示。</w:t>
      </w:r>
    </w:p>
    <w:p>
      <w:pPr>
        <w:pStyle w:val="BodyText"/>
        <w:spacing w:line="319" w:lineRule="auto" w:before="57"/>
        <w:ind w:right="43" w:firstLine="360"/>
        <w:jc w:val="left"/>
      </w:pPr>
      <w:r>
        <w:rPr>
          <w:spacing w:val="-2"/>
        </w:rPr>
        <w:t>子公司与母公司采用的会计政策或会计期间不一致的，在编制合并财务报表时，按照母公司的会计政策或会计期间对子</w:t>
      </w:r>
      <w:r>
        <w:rPr/>
        <w:t> 公司财务报表进行必要的调整。</w:t>
      </w:r>
    </w:p>
    <w:p>
      <w:pPr>
        <w:pStyle w:val="BodyText"/>
        <w:spacing w:line="319" w:lineRule="auto" w:before="55"/>
        <w:ind w:right="190" w:firstLine="360"/>
        <w:jc w:val="both"/>
      </w:pPr>
      <w:r>
        <w:rPr>
          <w:spacing w:val="-2"/>
        </w:rPr>
        <w:t>对于因非同一控制下企业合并取得的子公司，在编制合并财务报表时，以购买日可辨认净资产公允价值为基础对其个别</w:t>
      </w:r>
      <w:r>
        <w:rPr/>
        <w:t> </w:t>
      </w:r>
      <w:r>
        <w:rPr>
          <w:spacing w:val="-2"/>
        </w:rPr>
        <w:t>财务报表进行调整；对于因同一控制下企业合并取得的子公司，在编制合并财务报表时，视同该企业合并于报告期最早期间</w:t>
      </w:r>
      <w:r>
        <w:rPr>
          <w:spacing w:val="-66"/>
        </w:rPr>
        <w:t> </w:t>
      </w:r>
      <w:r>
        <w:rPr>
          <w:spacing w:val="-66"/>
        </w:rPr>
      </w:r>
      <w:r>
        <w:rPr>
          <w:spacing w:val="-2"/>
        </w:rPr>
        <w:t>的期初已经发生，从报告期最早期间的期初起将其资产、负债、经营成果和现金流量纳入合并财务报表，且其合并日前实现</w:t>
      </w:r>
      <w:r>
        <w:rPr>
          <w:spacing w:val="-65"/>
        </w:rPr>
        <w:t> </w:t>
      </w:r>
      <w:r>
        <w:rPr>
          <w:spacing w:val="-65"/>
        </w:rPr>
      </w:r>
      <w:r>
        <w:rPr/>
        <w:t>的净利润在合并利润表中单列项目反映。</w:t>
      </w:r>
    </w:p>
    <w:p>
      <w:pPr>
        <w:spacing w:line="240" w:lineRule="auto" w:before="3"/>
        <w:rPr>
          <w:rFonts w:ascii="宋体" w:hAnsi="宋体" w:cs="宋体" w:eastAsia="宋体" w:hint="default"/>
          <w:sz w:val="22"/>
          <w:szCs w:val="22"/>
        </w:rPr>
      </w:pPr>
    </w:p>
    <w:p>
      <w:pPr>
        <w:pStyle w:val="Heading3"/>
        <w:spacing w:line="240" w:lineRule="auto"/>
        <w:ind w:left="153" w:right="43"/>
        <w:jc w:val="left"/>
        <w:rPr>
          <w:b w:val="0"/>
          <w:bCs w:val="0"/>
        </w:rPr>
      </w:pPr>
      <w:bookmarkStart w:name="7、合营安排分类及共同经营会计处理方法" w:id="129"/>
      <w:bookmarkEnd w:id="12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3" w:firstLine="360"/>
        <w:jc w:val="left"/>
      </w:pPr>
      <w:r>
        <w:rPr/>
        <w:t>合营安排指一项由两个或两个以上的参与方共同控制的安排。共同控制，是指按照相关约定对某项安排所共有的控制， 并且该安排的相关活动必须经过分享控制权的参与方一致同意后才能决策。</w:t>
      </w:r>
    </w:p>
    <w:p>
      <w:pPr>
        <w:pStyle w:val="BodyText"/>
        <w:spacing w:line="357" w:lineRule="auto" w:before="56"/>
        <w:ind w:left="513" w:right="43"/>
        <w:jc w:val="left"/>
      </w:pPr>
      <w:r>
        <w:rPr/>
        <w:t>本公司根据在合营安排中享有的权利和承担的义务将合营安排分为共同经营和合营企业。 </w:t>
      </w:r>
      <w:r>
        <w:rPr>
          <w:spacing w:val="-2"/>
        </w:rPr>
        <w:t>共同经营，是指合营方享有该安排相关资产且承担该安排相关负债的合营安排。本公司作为共同经营中的合营方按照相</w:t>
      </w:r>
    </w:p>
    <w:p>
      <w:pPr>
        <w:pStyle w:val="BodyText"/>
        <w:spacing w:line="224" w:lineRule="exact"/>
        <w:ind w:right="43"/>
        <w:jc w:val="left"/>
      </w:pPr>
      <w:r>
        <w:rPr/>
        <w:t>关企业会计准则的规定确认单独持有的资产和承担的负债，以及按份额确认持有的资产和承担的负债，根据相关约定单独或</w:t>
      </w:r>
    </w:p>
    <w:p>
      <w:pPr>
        <w:pStyle w:val="BodyText"/>
        <w:spacing w:line="319" w:lineRule="auto" w:before="76"/>
        <w:ind w:right="43"/>
        <w:jc w:val="left"/>
      </w:pPr>
      <w:r>
        <w:rPr>
          <w:spacing w:val="-2"/>
        </w:rPr>
        <w:t>按份额确认相关的收入和费用。与共同经营发生购买、销售不构成业务的资产交易的，仅确认因该交易产生的损益中归属于</w:t>
      </w:r>
      <w:r>
        <w:rPr>
          <w:spacing w:val="-66"/>
        </w:rPr>
        <w:t> </w:t>
      </w:r>
      <w:r>
        <w:rPr>
          <w:spacing w:val="-66"/>
        </w:rPr>
      </w:r>
      <w:r>
        <w:rPr/>
        <w:t>共同经营其他参与方的部分。</w:t>
      </w:r>
    </w:p>
    <w:p>
      <w:pPr>
        <w:pStyle w:val="BodyText"/>
        <w:spacing w:line="319" w:lineRule="auto" w:before="55"/>
        <w:ind w:right="183" w:firstLine="360"/>
        <w:jc w:val="left"/>
      </w:pPr>
      <w:r>
        <w:rPr/>
        <w:t>合营企业是指合营方仅对该安排的净资产享有权利的合营安排。本公司作为合营企业的合营方按照《企业会计准则第</w:t>
      </w:r>
      <w:r>
        <w:rPr>
          <w:rFonts w:ascii="宋体" w:hAnsi="宋体" w:cs="宋体" w:eastAsia="宋体" w:hint="default"/>
        </w:rPr>
        <w:t>2 </w:t>
      </w:r>
      <w:r>
        <w:rPr/>
        <w:t>号—长期股权投资》的规定对合营企业的投资进行会计处理。</w:t>
      </w:r>
    </w:p>
    <w:p>
      <w:pPr>
        <w:spacing w:line="240" w:lineRule="auto" w:before="3"/>
        <w:rPr>
          <w:rFonts w:ascii="宋体" w:hAnsi="宋体" w:cs="宋体" w:eastAsia="宋体" w:hint="default"/>
          <w:sz w:val="22"/>
          <w:szCs w:val="22"/>
        </w:rPr>
      </w:pPr>
    </w:p>
    <w:p>
      <w:pPr>
        <w:pStyle w:val="Heading3"/>
        <w:spacing w:line="240" w:lineRule="auto"/>
        <w:ind w:right="43"/>
        <w:jc w:val="left"/>
        <w:rPr>
          <w:b w:val="0"/>
          <w:bCs w:val="0"/>
        </w:rPr>
      </w:pPr>
      <w:bookmarkStart w:name="8、现金及现金等价物的确定标准" w:id="130"/>
      <w:bookmarkEnd w:id="13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43"/>
        <w:jc w:val="left"/>
      </w:pPr>
      <w:r>
        <w:rPr/>
        <w:t>在编制现金流量表时，将库存现金以及可以随时用于支付的存款确认为现金。现金等价物是指持有的期限短（一般是指</w:t>
      </w:r>
    </w:p>
    <w:p>
      <w:pPr>
        <w:spacing w:after="0" w:line="240" w:lineRule="auto"/>
        <w:jc w:val="left"/>
        <w:sectPr>
          <w:footerReference w:type="default" r:id="rId15"/>
          <w:pgSz w:w="11910" w:h="16840"/>
          <w:pgMar w:footer="979" w:header="747" w:top="1060" w:bottom="1160" w:left="980" w:right="940"/>
          <w:pgNumType w:start="69"/>
        </w:sectPr>
      </w:pPr>
    </w:p>
    <w:p>
      <w:pPr>
        <w:spacing w:line="240" w:lineRule="auto" w:before="13"/>
        <w:rPr>
          <w:rFonts w:ascii="宋体" w:hAnsi="宋体" w:cs="宋体" w:eastAsia="宋体" w:hint="default"/>
          <w:sz w:val="25"/>
          <w:szCs w:val="25"/>
        </w:rPr>
      </w:pPr>
    </w:p>
    <w:p>
      <w:pPr>
        <w:pStyle w:val="BodyText"/>
        <w:spacing w:line="240" w:lineRule="auto" w:before="44"/>
        <w:ind w:right="43"/>
        <w:jc w:val="left"/>
      </w:pPr>
      <w:r>
        <w:rPr/>
        <w:t>从购买日起三个月内到期）、流动性强、易于转换为已知金额现金及价值变动风险很小的投资。</w:t>
      </w:r>
    </w:p>
    <w:p>
      <w:pPr>
        <w:spacing w:line="240" w:lineRule="auto" w:before="10"/>
        <w:rPr>
          <w:rFonts w:ascii="宋体" w:hAnsi="宋体" w:cs="宋体" w:eastAsia="宋体" w:hint="default"/>
          <w:sz w:val="26"/>
          <w:szCs w:val="26"/>
        </w:rPr>
      </w:pPr>
    </w:p>
    <w:p>
      <w:pPr>
        <w:pStyle w:val="Heading3"/>
        <w:spacing w:line="240" w:lineRule="auto"/>
        <w:ind w:left="153" w:right="43"/>
        <w:jc w:val="left"/>
        <w:rPr>
          <w:b w:val="0"/>
          <w:bCs w:val="0"/>
        </w:rPr>
      </w:pPr>
      <w:bookmarkStart w:name="9、外币业务和外币报表折算" w:id="131"/>
      <w:bookmarkEnd w:id="13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2972"/>
        <w:jc w:val="left"/>
      </w:pPr>
      <w:r>
        <w:rPr>
          <w:rFonts w:ascii="Times New Roman" w:hAnsi="Times New Roman" w:cs="Times New Roman" w:eastAsia="Times New Roman" w:hint="default"/>
        </w:rPr>
        <w:t>1</w:t>
      </w:r>
      <w:r>
        <w:rPr/>
        <w:t>、外币业务折算 外币业务采用交易发生日的即期汇率作为折算汇率将外币金额折合成人民币记账。</w:t>
      </w:r>
    </w:p>
    <w:p>
      <w:pPr>
        <w:pStyle w:val="BodyText"/>
        <w:spacing w:line="319" w:lineRule="auto" w:before="42"/>
        <w:ind w:right="93"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6"/>
        </w:rPr>
        <w:t> </w:t>
      </w:r>
      <w:r>
        <w:rPr>
          <w:spacing w:val="-66"/>
        </w:rPr>
      </w:r>
      <w:r>
        <w:rPr/>
        <w:t>的即期汇率折算，由此产生的汇兑差额计入当期损益或其他综合收益。</w:t>
      </w:r>
    </w:p>
    <w:p>
      <w:pPr>
        <w:pStyle w:val="BodyText"/>
        <w:spacing w:line="338" w:lineRule="auto" w:before="56"/>
        <w:ind w:left="514" w:right="43"/>
        <w:jc w:val="left"/>
      </w:pPr>
      <w:r>
        <w:rPr>
          <w:rFonts w:ascii="Times New Roman" w:hAnsi="Times New Roman" w:cs="Times New Roman" w:eastAsia="Times New Roman" w:hint="default"/>
        </w:rPr>
        <w:t>2</w:t>
      </w:r>
      <w:r>
        <w:rPr/>
        <w:t>、外币报表的折算方法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217" w:lineRule="exact"/>
        <w:ind w:right="43"/>
        <w:jc w:val="left"/>
      </w:pPr>
      <w:r>
        <w:rPr/>
        <w:t>目采用发生时的即期汇率折算。利润表中的收入和费用项目，采用交易发生日的即期汇率折算。按照上述折算产生的外币财</w:t>
      </w:r>
    </w:p>
    <w:p>
      <w:pPr>
        <w:pStyle w:val="BodyText"/>
        <w:spacing w:line="338" w:lineRule="auto" w:before="77"/>
        <w:ind w:left="513" w:right="43" w:hanging="360"/>
        <w:jc w:val="left"/>
      </w:pPr>
      <w:r>
        <w:rPr/>
        <w:t>务报表折算差额，在其他综合收益项目下单独列示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 </w:t>
      </w:r>
      <w:r>
        <w:rPr>
          <w:spacing w:val="-2"/>
        </w:rPr>
        <w:t>处置境外经营时，将资产负债表中其他综合收益项目下列示的、与该境外经营相关的外币财务报表折算差额，自其他综</w:t>
      </w:r>
    </w:p>
    <w:p>
      <w:pPr>
        <w:pStyle w:val="BodyText"/>
        <w:spacing w:line="319" w:lineRule="auto" w:before="2"/>
        <w:ind w:right="43"/>
        <w:jc w:val="left"/>
      </w:pPr>
      <w:r>
        <w:rPr>
          <w:spacing w:val="-2"/>
        </w:rPr>
        <w:t>合收益项目转入处置当期损益；部分处置境外经营的，按处置的比例计算处置部分的外币财务报表折算差额，转入处置当期</w:t>
      </w:r>
      <w:r>
        <w:rPr>
          <w:spacing w:val="-66"/>
        </w:rPr>
        <w:t> </w:t>
      </w:r>
      <w:r>
        <w:rPr>
          <w:spacing w:val="-66"/>
        </w:rPr>
      </w:r>
      <w:r>
        <w:rPr/>
        <w:t>损益。</w:t>
      </w:r>
    </w:p>
    <w:p>
      <w:pPr>
        <w:spacing w:line="240" w:lineRule="auto" w:before="3"/>
        <w:rPr>
          <w:rFonts w:ascii="宋体" w:hAnsi="宋体" w:cs="宋体" w:eastAsia="宋体" w:hint="default"/>
          <w:sz w:val="22"/>
          <w:szCs w:val="22"/>
        </w:rPr>
      </w:pPr>
    </w:p>
    <w:p>
      <w:pPr>
        <w:pStyle w:val="Heading3"/>
        <w:spacing w:line="240" w:lineRule="auto"/>
        <w:ind w:left="153" w:right="43"/>
        <w:jc w:val="left"/>
        <w:rPr>
          <w:b w:val="0"/>
          <w:bCs w:val="0"/>
        </w:rPr>
      </w:pPr>
      <w:bookmarkStart w:name="10、金融工具" w:id="132"/>
      <w:bookmarkEnd w:id="13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43"/>
        <w:jc w:val="left"/>
      </w:pPr>
      <w:r>
        <w:rPr/>
        <w:t>金融工具包括金融资产、金融负债和权益工具。</w:t>
      </w:r>
    </w:p>
    <w:p>
      <w:pPr>
        <w:pStyle w:val="BodyText"/>
        <w:spacing w:line="338" w:lineRule="auto" w:before="116"/>
        <w:ind w:left="514" w:right="43"/>
        <w:jc w:val="left"/>
      </w:pPr>
      <w:r>
        <w:rPr>
          <w:rFonts w:ascii="Times New Roman" w:hAnsi="Times New Roman" w:cs="Times New Roman" w:eastAsia="Times New Roman" w:hint="default"/>
        </w:rPr>
        <w:t>1</w:t>
      </w:r>
      <w:r>
        <w:rPr/>
        <w:t>、金融工具的分类 </w:t>
      </w:r>
      <w:r>
        <w:rPr>
          <w:spacing w:val="-2"/>
        </w:rPr>
        <w:t>管理层按照取得持有金融资产和承担金融负债的目的，将其划分为：以公允价值计量且其变动计入当期损益的金融资产</w:t>
      </w:r>
    </w:p>
    <w:p>
      <w:pPr>
        <w:pStyle w:val="BodyText"/>
        <w:spacing w:line="319" w:lineRule="auto" w:before="2"/>
        <w:ind w:left="154" w:right="92"/>
        <w:jc w:val="left"/>
      </w:pPr>
      <w:r>
        <w:rPr/>
        <w:t>或金融负债，包括交易性金融资产或金融负债和直接指定为以公允价值计量且其变动计入当期损益的金融资产或金融负债； 持有至到期投资；应收款项；可供出售金融资产；其他金融负债等。</w:t>
      </w:r>
    </w:p>
    <w:p>
      <w:pPr>
        <w:pStyle w:val="BodyText"/>
        <w:spacing w:line="240" w:lineRule="auto" w:before="58"/>
        <w:ind w:left="514" w:right="43"/>
        <w:jc w:val="left"/>
      </w:pPr>
      <w:r>
        <w:rPr>
          <w:rFonts w:ascii="Times New Roman" w:hAnsi="Times New Roman" w:cs="Times New Roman" w:eastAsia="Times New Roman" w:hint="default"/>
        </w:rPr>
        <w:t>2</w:t>
      </w:r>
      <w:r>
        <w:rPr/>
        <w:t>、金融工具的确认依据和计量方法</w:t>
      </w:r>
    </w:p>
    <w:p>
      <w:pPr>
        <w:pStyle w:val="BodyText"/>
        <w:spacing w:line="338" w:lineRule="auto" w:before="102"/>
        <w:ind w:left="513" w:right="43"/>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60" w:lineRule="auto" w:before="4"/>
        <w:ind w:left="513" w:right="1893"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48" w:lineRule="auto" w:before="26"/>
        <w:ind w:left="513" w:right="43"/>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57" w:lineRule="auto"/>
        <w:ind w:left="513" w:right="4053" w:hanging="360"/>
        <w:jc w:val="left"/>
      </w:pPr>
      <w:r>
        <w:rPr/>
        <w:t>用的更短期间内保持不变。 处置时，将所取得价款与该投资账面价值之间的差额计入投资收益。</w:t>
      </w:r>
    </w:p>
    <w:p>
      <w:pPr>
        <w:pStyle w:val="BodyText"/>
        <w:spacing w:line="338" w:lineRule="auto" w:before="29"/>
        <w:ind w:left="513" w:right="43"/>
        <w:jc w:val="left"/>
      </w:pPr>
      <w:r>
        <w:rPr/>
        <w:t>（</w:t>
      </w:r>
      <w:r>
        <w:rPr>
          <w:rFonts w:ascii="Times New Roman" w:hAnsi="Times New Roman" w:cs="Times New Roman" w:eastAsia="Times New Roman" w:hint="default"/>
        </w:rPr>
        <w:t>3</w:t>
      </w:r>
      <w:r>
        <w:rPr/>
        <w:t>）应收款项 </w:t>
      </w:r>
      <w:r>
        <w:rPr>
          <w:spacing w:val="-2"/>
        </w:rPr>
        <w:t>对外销售商品或提供劳务形成的应收债权，以及持有的其他企业的不包括在活跃市场上有报价的债务工具的债权，包括</w:t>
      </w:r>
    </w:p>
    <w:p>
      <w:pPr>
        <w:pStyle w:val="BodyText"/>
        <w:spacing w:line="357" w:lineRule="auto" w:before="4"/>
        <w:ind w:left="514" w:right="43" w:hanging="360"/>
        <w:jc w:val="left"/>
      </w:pPr>
      <w:r>
        <w:rPr>
          <w:spacing w:val="-4"/>
        </w:rPr>
        <w:t>应收账款、其他应收款等，以向购货方应收的合同或协议价款作为初始确认金额；具有融资性质的，按其现值进行初始确认。</w:t>
      </w:r>
      <w:r>
        <w:rPr>
          <w:spacing w:val="-46"/>
        </w:rPr>
        <w:t> </w:t>
      </w:r>
      <w:r>
        <w:rPr>
          <w:spacing w:val="-46"/>
        </w:rPr>
      </w:r>
      <w:r>
        <w:rPr/>
        <w:t>收回或处置时，将取得的价款与该应收款项账面价值之间的差额计入当期损益。</w:t>
      </w:r>
    </w:p>
    <w:p>
      <w:pPr>
        <w:pStyle w:val="BodyText"/>
        <w:spacing w:line="338" w:lineRule="auto" w:before="29"/>
        <w:ind w:left="514" w:right="43"/>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spacing w:after="0" w:line="338"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43" w:hanging="360"/>
        <w:jc w:val="left"/>
      </w:pPr>
      <w:r>
        <w:rPr/>
        <w:t>初始确认金额。 </w:t>
      </w:r>
      <w:r>
        <w:rPr>
          <w:spacing w:val="-2"/>
        </w:rPr>
        <w:t>持有期间将取得的利息或现金股利确认为投资收益。期末以公允价值计量且将公允价值变动计入其他综合收益。对被投</w:t>
      </w:r>
    </w:p>
    <w:p>
      <w:pPr>
        <w:pStyle w:val="BodyText"/>
        <w:spacing w:line="224" w:lineRule="exact"/>
        <w:ind w:right="43"/>
        <w:jc w:val="left"/>
      </w:pPr>
      <w:r>
        <w:rPr/>
        <w:t>资单位不具有控制、共同控制或重大影响并且在活跃市场中没有报价、公允价值不能可靠计量的股权投资，作为可供出售金</w:t>
      </w:r>
    </w:p>
    <w:p>
      <w:pPr>
        <w:pStyle w:val="BodyText"/>
        <w:spacing w:line="357" w:lineRule="auto" w:before="77"/>
        <w:ind w:left="513" w:right="43" w:hanging="360"/>
        <w:jc w:val="left"/>
      </w:pPr>
      <w:r>
        <w:rPr/>
        <w:t>融资产列报，按成本进行后续计量。 </w:t>
      </w:r>
      <w:r>
        <w:rPr>
          <w:spacing w:val="-2"/>
        </w:rPr>
        <w:t>处置时，将取得的价款与该金融资产账面价值之间的差额，计入投资损益；同时，将原其他综合收益的公允价值变动累</w:t>
      </w:r>
    </w:p>
    <w:p>
      <w:pPr>
        <w:pStyle w:val="BodyText"/>
        <w:spacing w:line="225" w:lineRule="exact"/>
        <w:ind w:right="43"/>
        <w:jc w:val="left"/>
      </w:pPr>
      <w:r>
        <w:rPr/>
        <w:t>计额对应处置部分的金额转出，计入投资损益。</w:t>
      </w:r>
    </w:p>
    <w:p>
      <w:pPr>
        <w:pStyle w:val="BodyText"/>
        <w:spacing w:line="348" w:lineRule="auto" w:before="116"/>
        <w:ind w:left="513" w:right="279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19" w:lineRule="auto" w:before="11"/>
        <w:ind w:left="154" w:right="193" w:firstLine="360"/>
        <w:jc w:val="both"/>
      </w:pPr>
      <w:r>
        <w:rPr>
          <w:spacing w:val="-2"/>
        </w:rPr>
        <w:t>发生金融资产转移时，如已将金融资产所有权上几乎所有的风险和报酬转移给转入方，则终止确认该金融资产；如保留</w:t>
      </w:r>
      <w:r>
        <w:rPr/>
        <w:t> 了金融资产所有权上几乎所有的风险和报酬的，则不终止确认该金融资产。</w:t>
      </w:r>
    </w:p>
    <w:p>
      <w:pPr>
        <w:pStyle w:val="BodyText"/>
        <w:spacing w:line="319" w:lineRule="auto" w:before="55"/>
        <w:ind w:right="192" w:firstLine="360"/>
        <w:jc w:val="both"/>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58"/>
        <w:ind w:left="513" w:right="43"/>
        <w:jc w:val="left"/>
      </w:pPr>
      <w:r>
        <w:rPr/>
        <w:t>（</w:t>
      </w:r>
      <w:r>
        <w:rPr>
          <w:rFonts w:ascii="Times New Roman" w:hAnsi="Times New Roman" w:cs="Times New Roman" w:eastAsia="Times New Roman" w:hint="default"/>
        </w:rPr>
        <w:t>1</w:t>
      </w:r>
      <w:r>
        <w:rPr/>
        <w:t>）所转移金融资产的账面价值；</w:t>
      </w:r>
    </w:p>
    <w:p>
      <w:pPr>
        <w:pStyle w:val="BodyText"/>
        <w:spacing w:line="302" w:lineRule="auto" w:before="101"/>
        <w:ind w:left="154" w:right="190" w:firstLine="36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9" w:lineRule="auto" w:before="68"/>
        <w:ind w:right="110" w:firstLine="360"/>
        <w:jc w:val="both"/>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8"/>
        <w:ind w:left="513" w:right="43"/>
        <w:jc w:val="left"/>
      </w:pPr>
      <w:r>
        <w:rPr/>
        <w:t>（</w:t>
      </w:r>
      <w:r>
        <w:rPr>
          <w:rFonts w:ascii="Times New Roman" w:hAnsi="Times New Roman" w:cs="Times New Roman" w:eastAsia="Times New Roman" w:hint="default"/>
        </w:rPr>
        <w:t>1</w:t>
      </w:r>
      <w:r>
        <w:rPr/>
        <w:t>）终止确认部分的账面价值；</w:t>
      </w:r>
    </w:p>
    <w:p>
      <w:pPr>
        <w:pStyle w:val="BodyText"/>
        <w:spacing w:line="302" w:lineRule="auto" w:before="101"/>
        <w:ind w:left="154" w:right="191" w:firstLine="36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48" w:lineRule="auto" w:before="69"/>
        <w:ind w:left="513" w:right="43"/>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9" w:lineRule="auto"/>
        <w:ind w:left="154" w:right="19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9" w:lineRule="auto" w:before="55"/>
        <w:ind w:left="154" w:right="192" w:firstLine="360"/>
        <w:jc w:val="both"/>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9" w:lineRule="auto" w:before="56"/>
        <w:ind w:left="154" w:right="192" w:firstLine="360"/>
        <w:jc w:val="both"/>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9" w:lineRule="auto" w:before="55"/>
        <w:ind w:left="154" w:right="191" w:firstLine="360"/>
        <w:jc w:val="both"/>
      </w:pPr>
      <w:r>
        <w:rPr>
          <w:spacing w:val="-2"/>
        </w:rPr>
        <w:t>若回购部分金融负债的，在回购日按照继续确认部分与终止确认部分的相对公允价值，将该金融负债整体的账面价值进</w:t>
      </w:r>
      <w:r>
        <w:rPr/>
        <w:t> </w:t>
      </w:r>
      <w:r>
        <w:rPr>
          <w:spacing w:val="-2"/>
        </w:rPr>
        <w:t>行分配。分配给终止确认部分的账面价值与支付的对价（包括转出的非现金资产或承担的新金融负债）之间的差额，计入当</w:t>
      </w:r>
      <w:r>
        <w:rPr>
          <w:spacing w:val="-66"/>
        </w:rPr>
        <w:t> </w:t>
      </w:r>
      <w:r>
        <w:rPr>
          <w:spacing w:val="-66"/>
        </w:rPr>
      </w:r>
      <w:r>
        <w:rPr/>
        <w:t>期损益。</w:t>
      </w:r>
    </w:p>
    <w:p>
      <w:pPr>
        <w:pStyle w:val="BodyText"/>
        <w:spacing w:line="338" w:lineRule="auto" w:before="56"/>
        <w:ind w:left="514" w:right="43"/>
        <w:jc w:val="left"/>
      </w:pPr>
      <w:r>
        <w:rPr>
          <w:rFonts w:ascii="Times New Roman" w:hAnsi="Times New Roman" w:cs="Times New Roman" w:eastAsia="Times New Roman" w:hint="default"/>
        </w:rPr>
        <w:t>5</w:t>
      </w:r>
      <w:r>
        <w:rPr/>
        <w:t>、金融资产和金融负债公允价值的确定方法 </w:t>
      </w:r>
      <w:r>
        <w:rPr>
          <w:spacing w:val="-2"/>
        </w:rPr>
        <w:t>存在活跃市场的金融工具，以活跃市场中的报价确定其公允价值。不存在活跃市场的金融工具，采用估值技术确定其公</w:t>
      </w:r>
    </w:p>
    <w:p>
      <w:pPr>
        <w:pStyle w:val="BodyText"/>
        <w:spacing w:line="319" w:lineRule="auto" w:before="2"/>
        <w:ind w:left="154" w:right="191"/>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    </w:t>
      </w:r>
      <w:r>
        <w:rPr>
          <w:rFonts w:ascii="Times New Roman" w:hAnsi="Times New Roman" w:cs="Times New Roman" w:eastAsia="Times New Roman" w:hint="default"/>
        </w:rPr>
        <w:t>6</w:t>
      </w:r>
      <w:r>
        <w:rPr/>
        <w:t>、金融资产（不含应收款项）减值</w:t>
      </w:r>
    </w:p>
    <w:p>
      <w:pPr>
        <w:pStyle w:val="BodyText"/>
        <w:spacing w:line="319" w:lineRule="auto" w:before="36"/>
        <w:ind w:right="192" w:firstLine="360"/>
        <w:jc w:val="both"/>
      </w:pPr>
      <w:r>
        <w:rPr>
          <w:spacing w:val="-2"/>
        </w:rPr>
        <w:t>除以公允价值计量且其变动计入当期损益的金融资产外，本公司于资产负债表日对金融资产的账面价值进行检查，如果</w:t>
      </w:r>
      <w:r>
        <w:rPr/>
        <w:t> 有客观证据表明某项金融资产发生减值的，计提减值准备。  </w:t>
      </w:r>
      <w:r>
        <w:rPr>
          <w:spacing w:val="17"/>
        </w:rPr>
        <w:t> </w:t>
      </w:r>
      <w:r>
        <w:rPr/>
        <w:t>（</w:t>
      </w:r>
      <w:r>
        <w:rPr>
          <w:rFonts w:ascii="Times New Roman" w:hAnsi="Times New Roman" w:cs="Times New Roman" w:eastAsia="Times New Roman" w:hint="default"/>
        </w:rPr>
        <w:t>1</w:t>
      </w:r>
      <w:r>
        <w:rPr/>
        <w:t>）可供出售金融资产的减值</w:t>
      </w:r>
    </w:p>
    <w:p>
      <w:pPr>
        <w:pStyle w:val="BodyText"/>
        <w:spacing w:line="319" w:lineRule="auto" w:before="35"/>
        <w:ind w:right="192" w:firstLine="360"/>
        <w:jc w:val="both"/>
      </w:pPr>
      <w:r>
        <w:rPr>
          <w:spacing w:val="-2"/>
        </w:rPr>
        <w:t>期末如果可供出售金融资产的公允价值发生较大幅度下降，或在综合考虑各种相关因素后，预期这种下降趋势属于非暂</w:t>
      </w:r>
      <w:r>
        <w:rPr/>
        <w:t> 时性的，就认定其已发生减值，将原直接计入其他综合收益的公允价值下降形成的累计损失一并转出，确认减值损失。</w:t>
      </w:r>
    </w:p>
    <w:p>
      <w:pPr>
        <w:spacing w:after="0" w:line="319" w:lineRule="auto"/>
        <w:jc w:val="both"/>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对于可供出售金融资产由于下列损失事项影响其预计未来现金流量减少</w:t>
      </w:r>
      <w:r>
        <w:rPr>
          <w:rFonts w:ascii="Times New Roman" w:hAnsi="Times New Roman" w:cs="Times New Roman" w:eastAsia="Times New Roman" w:hint="default"/>
        </w:rPr>
        <w:t>,</w:t>
      </w:r>
      <w:r>
        <w:rPr/>
        <w:t>并且能够可靠计量，将认定其发生减值：</w:t>
      </w:r>
    </w:p>
    <w:p>
      <w:pPr>
        <w:pStyle w:val="BodyText"/>
        <w:spacing w:line="240" w:lineRule="auto" w:before="102"/>
        <w:ind w:left="513" w:right="0"/>
        <w:jc w:val="left"/>
      </w:pPr>
      <w:r>
        <w:rPr/>
        <w:t>①</w:t>
      </w:r>
      <w:r>
        <w:rPr>
          <w:spacing w:val="-19"/>
        </w:rPr>
        <w:t> </w:t>
      </w:r>
      <w:r>
        <w:rPr/>
        <w:t>债务人发生严重财务困难；</w:t>
      </w:r>
    </w:p>
    <w:p>
      <w:pPr>
        <w:pStyle w:val="BodyText"/>
        <w:spacing w:line="240" w:lineRule="auto" w:before="117"/>
        <w:ind w:left="513" w:right="0"/>
        <w:jc w:val="left"/>
      </w:pPr>
      <w:r>
        <w:rPr/>
        <w:t>②</w:t>
      </w:r>
      <w:r>
        <w:rPr>
          <w:spacing w:val="-21"/>
        </w:rPr>
        <w:t> </w:t>
      </w:r>
      <w:r>
        <w:rPr/>
        <w:t>债务人违反了合同条款</w:t>
      </w:r>
      <w:r>
        <w:rPr>
          <w:rFonts w:ascii="Times New Roman" w:hAnsi="Times New Roman" w:cs="Times New Roman" w:eastAsia="Times New Roman" w:hint="default"/>
        </w:rPr>
        <w:t>,</w:t>
      </w:r>
      <w:r>
        <w:rPr/>
        <w:t>如偿付利息或本金发生违约或逾期；</w:t>
      </w:r>
    </w:p>
    <w:p>
      <w:pPr>
        <w:pStyle w:val="BodyText"/>
        <w:spacing w:line="240" w:lineRule="auto" w:before="102"/>
        <w:ind w:left="513" w:right="0"/>
        <w:jc w:val="left"/>
      </w:pPr>
      <w:r>
        <w:rPr/>
        <w:t>③</w:t>
      </w:r>
      <w:r>
        <w:rPr>
          <w:spacing w:val="-21"/>
        </w:rPr>
        <w:t> </w:t>
      </w:r>
      <w:r>
        <w:rPr/>
        <w:t>本公司出于经济或法律等方面因素的考虑</w:t>
      </w:r>
      <w:r>
        <w:rPr>
          <w:rFonts w:ascii="Times New Roman" w:hAnsi="Times New Roman" w:cs="Times New Roman" w:eastAsia="Times New Roman" w:hint="default"/>
        </w:rPr>
        <w:t>,</w:t>
      </w:r>
      <w:r>
        <w:rPr/>
        <w:t>对发生财务困难的债务人做出让步；</w:t>
      </w:r>
    </w:p>
    <w:p>
      <w:pPr>
        <w:pStyle w:val="BodyText"/>
        <w:spacing w:line="240" w:lineRule="auto" w:before="103"/>
        <w:ind w:left="513" w:right="0"/>
        <w:jc w:val="left"/>
      </w:pPr>
      <w:r>
        <w:rPr/>
        <w:t>④</w:t>
      </w:r>
      <w:r>
        <w:rPr>
          <w:spacing w:val="-19"/>
        </w:rPr>
        <w:t> </w:t>
      </w:r>
      <w:r>
        <w:rPr/>
        <w:t>债务人很可能倒闭或进行其他财务重组；</w:t>
      </w:r>
    </w:p>
    <w:p>
      <w:pPr>
        <w:pStyle w:val="BodyText"/>
        <w:spacing w:line="240" w:lineRule="auto" w:before="117"/>
        <w:ind w:left="513" w:right="0"/>
        <w:jc w:val="left"/>
      </w:pPr>
      <w:r>
        <w:rPr/>
        <w:t>⑤</w:t>
      </w:r>
      <w:r>
        <w:rPr>
          <w:spacing w:val="-21"/>
        </w:rPr>
        <w:t> </w:t>
      </w:r>
      <w:r>
        <w:rPr/>
        <w:t>因发行方发生重大财务困难</w:t>
      </w:r>
      <w:r>
        <w:rPr>
          <w:rFonts w:ascii="Times New Roman" w:hAnsi="Times New Roman" w:cs="Times New Roman" w:eastAsia="Times New Roman" w:hint="default"/>
        </w:rPr>
        <w:t>,</w:t>
      </w:r>
      <w:r>
        <w:rPr/>
        <w:t>该金融资产无法在活跃市场继续交易；</w:t>
      </w:r>
    </w:p>
    <w:p>
      <w:pPr>
        <w:pStyle w:val="BodyText"/>
        <w:spacing w:line="319" w:lineRule="auto" w:before="101"/>
        <w:ind w:right="140" w:firstLine="360"/>
        <w:jc w:val="left"/>
      </w:pPr>
      <w:r>
        <w:rPr/>
        <w:t>⑥</w:t>
      </w:r>
      <w:r>
        <w:rPr>
          <w:spacing w:val="3"/>
        </w:rPr>
        <w:t> </w:t>
      </w:r>
      <w:r>
        <w:rPr/>
        <w:t>权益工具发行方经营所处的技术、市场、经济或法律环境等发生重大不利变化，使权益工具投资人可能无法收回投</w:t>
      </w:r>
      <w:r>
        <w:rPr/>
        <w:t> 资成本；</w:t>
      </w:r>
    </w:p>
    <w:p>
      <w:pPr>
        <w:pStyle w:val="BodyText"/>
        <w:spacing w:line="357" w:lineRule="auto" w:before="56"/>
        <w:ind w:left="513" w:right="0"/>
        <w:jc w:val="left"/>
      </w:pPr>
      <w:r>
        <w:rPr/>
        <w:t>⑦</w:t>
      </w:r>
      <w:r>
        <w:rPr>
          <w:spacing w:val="-18"/>
        </w:rPr>
        <w:t> </w:t>
      </w:r>
      <w:r>
        <w:rPr/>
        <w:t>权益工具投资的公允价值发生严重或非暂时性下跌。</w:t>
      </w:r>
      <w:r>
        <w:rPr/>
        <w:t> </w:t>
      </w:r>
      <w:r>
        <w:rPr>
          <w:spacing w:val="-2"/>
        </w:rPr>
        <w:t>认定其已发生减值，将原直接计入所有者权益的公允价值下降形成的累计损失一并转出，确认减值损失。对于已确认减</w:t>
      </w:r>
    </w:p>
    <w:p>
      <w:pPr>
        <w:pStyle w:val="BodyText"/>
        <w:spacing w:line="224" w:lineRule="exact"/>
        <w:ind w:right="0"/>
        <w:jc w:val="left"/>
      </w:pPr>
      <w:r>
        <w:rPr/>
        <w:t>值损失的可供出售债务工具，在随后的会计期间公允价值已上升且客观上与确认原减值损失确认后发生的事项有关的，原确</w:t>
      </w:r>
    </w:p>
    <w:p>
      <w:pPr>
        <w:pStyle w:val="BodyText"/>
        <w:spacing w:line="240" w:lineRule="auto" w:before="77"/>
        <w:ind w:right="0"/>
        <w:jc w:val="left"/>
      </w:pPr>
      <w:r>
        <w:rPr/>
        <w:t>认的减值损失予以转回，计入当期损益。可供出售权益工具投资发生的减值损失，不得通过损益转回。</w:t>
      </w:r>
    </w:p>
    <w:p>
      <w:pPr>
        <w:pStyle w:val="BodyText"/>
        <w:spacing w:line="338" w:lineRule="auto" w:before="116"/>
        <w:ind w:left="513" w:right="383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11、应收款项" w:id="133"/>
      <w:bookmarkEnd w:id="13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34"/>
      <w:bookmarkEnd w:id="13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应收账款单项金额大于等于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万元、其他应收账款单项金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额大于等于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单独进行减值测试，在有客观证据表明其发生了减值的，按 其未来现金流量低于账面价值的差额计提坏账准备。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35"/>
      <w:bookmarkEnd w:id="13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单项金额重大、单独进行减值测试未发生减值的应收款项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其他的应收款项以账龄特征划分若干应收款项组合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43"/>
        <w:jc w:val="left"/>
      </w:pPr>
      <w:r>
        <w:rPr/>
        <w:t>组合中，采用余额百分比法计提坏账准备的：</w:t>
      </w:r>
    </w:p>
    <w:p>
      <w:pPr>
        <w:pStyle w:val="BodyText"/>
        <w:spacing w:line="340" w:lineRule="auto" w:before="116"/>
        <w:ind w:right="6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43"/>
        <w:jc w:val="left"/>
        <w:rPr>
          <w:b w:val="0"/>
          <w:bCs w:val="0"/>
        </w:rPr>
      </w:pPr>
      <w:bookmarkStart w:name="（3）单项金额上重大但单独计提坏账准备的应收款项" w:id="136"/>
      <w:bookmarkEnd w:id="13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 证据表明其发生了减值的应收款项，按组合计提的坏账准备 不能反映实际情况，本公司单独进行减值测试。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损失，并据此计提相应的坏账准备。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12、存货" w:id="137"/>
      <w:bookmarkEnd w:id="137"/>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left="513" w:right="2793"/>
        <w:jc w:val="left"/>
      </w:pPr>
      <w:r>
        <w:rPr>
          <w:rFonts w:ascii="Times New Roman" w:hAnsi="Times New Roman" w:cs="Times New Roman" w:eastAsia="Times New Roman" w:hint="default"/>
        </w:rPr>
        <w:t>1</w:t>
      </w:r>
      <w:r>
        <w:rPr/>
        <w:t>、存货的分类 存货主要包括原材料、在产品、库存商品、发出商品、自制半成品和低值易耗品等。 </w:t>
      </w:r>
      <w:r>
        <w:rPr>
          <w:rFonts w:ascii="Times New Roman" w:hAnsi="Times New Roman" w:cs="Times New Roman" w:eastAsia="Times New Roman" w:hint="default"/>
        </w:rPr>
        <w:t>2</w:t>
      </w:r>
      <w:r>
        <w:rPr/>
        <w:t>、存货取得和发出的计价方法</w:t>
      </w:r>
    </w:p>
    <w:p>
      <w:pPr>
        <w:pStyle w:val="BodyText"/>
        <w:spacing w:line="319" w:lineRule="auto" w:before="11"/>
        <w:ind w:left="154" w:right="43" w:firstLine="360"/>
        <w:jc w:val="left"/>
      </w:pPr>
      <w:r>
        <w:rPr>
          <w:spacing w:val="-4"/>
        </w:rPr>
        <w:t>存货取得时按实际成本计价；原材料、库存商品等领用或销售采用加权平均法进行核算；产品成本计算主要采用品种法；</w:t>
      </w:r>
      <w:r>
        <w:rPr/>
        <w:t> 低值易耗品采用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w:t>
      </w:r>
    </w:p>
    <w:p>
      <w:pPr>
        <w:pStyle w:val="BodyText"/>
        <w:spacing w:line="338" w:lineRule="auto" w:before="38"/>
        <w:ind w:left="514" w:right="43"/>
        <w:jc w:val="left"/>
      </w:pPr>
      <w:r>
        <w:rPr>
          <w:rFonts w:ascii="Times New Roman" w:hAnsi="Times New Roman" w:cs="Times New Roman" w:eastAsia="Times New Roman" w:hint="default"/>
        </w:rPr>
        <w:t>3</w:t>
      </w:r>
      <w:r>
        <w:rPr/>
        <w:t>、存货可变现净值的确定依据及存货跌价准备的计提方法 </w:t>
      </w:r>
      <w:r>
        <w:rPr>
          <w:spacing w:val="-2"/>
        </w:rPr>
        <w:t>期末存货按成本与可变现净值孰低原则计价；本公司于期末在对存货进行全面盘点的基础上，对于存货因霉烂变质、全</w:t>
      </w:r>
    </w:p>
    <w:p>
      <w:pPr>
        <w:pStyle w:val="BodyText"/>
        <w:spacing w:line="319" w:lineRule="auto" w:before="2"/>
        <w:ind w:left="154" w:right="192"/>
        <w:jc w:val="both"/>
      </w:pPr>
      <w:r>
        <w:rPr>
          <w:spacing w:val="-2"/>
        </w:rPr>
        <w:t>部或部分过时或消费者偏好改变而使市场的需求发生变化，导致存货的市场价格持续下跌、并且在可预见的未来不能回升等</w:t>
      </w:r>
      <w:r>
        <w:rPr>
          <w:spacing w:val="-64"/>
        </w:rPr>
        <w:t> </w:t>
      </w:r>
      <w:r>
        <w:rPr>
          <w:spacing w:val="-64"/>
        </w:rPr>
      </w:r>
      <w:r>
        <w:rPr>
          <w:spacing w:val="-2"/>
        </w:rPr>
        <w:t>原因，预计存货的成本高于其可变现净值，则按单个存货项目的成本高于其可变现净值的差额计提存货跌价准备，计入当期</w:t>
      </w:r>
      <w:r>
        <w:rPr>
          <w:spacing w:val="-66"/>
        </w:rPr>
        <w:t> </w:t>
      </w:r>
      <w:r>
        <w:rPr>
          <w:spacing w:val="-66"/>
        </w:rPr>
      </w:r>
      <w:r>
        <w:rPr/>
        <w:t>损益。</w:t>
      </w:r>
    </w:p>
    <w:p>
      <w:pPr>
        <w:pStyle w:val="BodyText"/>
        <w:spacing w:line="319" w:lineRule="auto" w:before="55"/>
        <w:ind w:left="154" w:right="92" w:firstLine="360"/>
        <w:jc w:val="left"/>
      </w:pPr>
      <w:r>
        <w:rPr/>
        <w:t>本公司对直接用于出售的商品存货，其可变现净值按该存货的估计售价减去估计的销售费用和相关税费后的金额确定； </w:t>
      </w:r>
      <w:r>
        <w:rPr>
          <w:spacing w:val="-2"/>
        </w:rPr>
        <w:t>对需要经过加工的材料存货，以所生产的产成品的估计售价减去至完工时估计将要发生的成本、估计的销售费用和相关税费</w:t>
      </w:r>
      <w:r>
        <w:rPr>
          <w:spacing w:val="-64"/>
        </w:rPr>
        <w:t> </w:t>
      </w:r>
      <w:r>
        <w:rPr>
          <w:spacing w:val="-64"/>
        </w:rPr>
      </w:r>
      <w:r>
        <w:rPr>
          <w:spacing w:val="-2"/>
        </w:rPr>
        <w:t>后的金额确定；为执行销售合同或者劳务合同而持有的存货，其可变现净值以合同价格为基础计算；企业持有存货的数量多</w:t>
      </w:r>
      <w:r>
        <w:rPr>
          <w:spacing w:val="-66"/>
        </w:rPr>
        <w:t> </w:t>
      </w:r>
      <w:r>
        <w:rPr>
          <w:spacing w:val="-66"/>
        </w:rPr>
      </w:r>
      <w:r>
        <w:rPr/>
        <w:t>于销售合同订购数量的，超出部分的存货可变现净值以一般销售价格为基础计算。</w:t>
      </w:r>
    </w:p>
    <w:p>
      <w:pPr>
        <w:pStyle w:val="BodyText"/>
        <w:spacing w:line="319" w:lineRule="auto" w:before="56"/>
        <w:ind w:right="43" w:firstLine="360"/>
        <w:jc w:val="left"/>
      </w:pPr>
      <w:r>
        <w:rPr>
          <w:spacing w:val="-2"/>
        </w:rPr>
        <w:t>如果以前减记存货价值的影响因素已经消失，则本公司对减记的金额予以恢复，并在原已计提的存货跌价准备的金额内</w:t>
      </w:r>
      <w:r>
        <w:rPr/>
        <w:t> 转回，转回的金额计入当期损益。</w:t>
      </w:r>
    </w:p>
    <w:p>
      <w:pPr>
        <w:pStyle w:val="BodyText"/>
        <w:spacing w:line="345" w:lineRule="auto" w:before="56"/>
        <w:ind w:left="514" w:right="6592"/>
        <w:jc w:val="left"/>
      </w:pPr>
      <w:r>
        <w:rPr>
          <w:rFonts w:ascii="Times New Roman" w:hAnsi="Times New Roman" w:cs="Times New Roman" w:eastAsia="Times New Roman" w:hint="default"/>
        </w:rPr>
        <w:t>4</w:t>
      </w:r>
      <w:r>
        <w:rPr/>
        <w:t>、存货的盘存制度 本公司采用永续盘存制。 </w:t>
      </w:r>
      <w:r>
        <w:rPr>
          <w:rFonts w:ascii="Times New Roman" w:hAnsi="Times New Roman" w:cs="Times New Roman" w:eastAsia="Times New Roman" w:hint="default"/>
        </w:rPr>
        <w:t>5</w:t>
      </w:r>
      <w:r>
        <w:rPr/>
        <w:t>、低值易耗品的摊销方法 本公司采用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w:t>
      </w:r>
    </w:p>
    <w:p>
      <w:pPr>
        <w:spacing w:line="240" w:lineRule="auto" w:before="13"/>
        <w:rPr>
          <w:rFonts w:ascii="宋体" w:hAnsi="宋体" w:cs="宋体" w:eastAsia="宋体" w:hint="default"/>
          <w:sz w:val="18"/>
          <w:szCs w:val="18"/>
        </w:rPr>
      </w:pPr>
    </w:p>
    <w:p>
      <w:pPr>
        <w:pStyle w:val="Heading3"/>
        <w:spacing w:line="240" w:lineRule="auto"/>
        <w:ind w:left="153" w:right="0"/>
        <w:jc w:val="both"/>
        <w:rPr>
          <w:b w:val="0"/>
          <w:bCs w:val="0"/>
        </w:rPr>
      </w:pPr>
      <w:bookmarkStart w:name="13、划分为持有待售资产" w:id="138"/>
      <w:bookmarkEnd w:id="138"/>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43"/>
        <w:jc w:val="left"/>
      </w:pPr>
      <w:r>
        <w:rPr/>
        <w:t>无</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left="153" w:right="43"/>
        <w:jc w:val="left"/>
        <w:rPr>
          <w:b w:val="0"/>
          <w:bCs w:val="0"/>
        </w:rPr>
      </w:pPr>
      <w:bookmarkStart w:name="14、长期股权投资" w:id="139"/>
      <w:bookmarkEnd w:id="13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43"/>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9" w:lineRule="auto" w:before="3"/>
        <w:ind w:left="154" w:right="43"/>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9" w:lineRule="auto" w:before="56"/>
        <w:ind w:left="154" w:right="191" w:firstLine="433"/>
        <w:jc w:val="both"/>
      </w:pPr>
      <w:r>
        <w:rPr/>
        <w:t>重大影响，是指对一个企业的财务和经营决策有参与决策的权力，但并不能够控制或者与其他方一起共同控制这些政 策的制定。本能够对被投资单位施加重大影响的，被投资单位为本公司联营企业。</w:t>
      </w:r>
    </w:p>
    <w:p>
      <w:pPr>
        <w:pStyle w:val="BodyText"/>
        <w:spacing w:line="240" w:lineRule="auto" w:before="56"/>
        <w:ind w:left="513" w:right="43"/>
        <w:jc w:val="left"/>
      </w:pPr>
      <w:r>
        <w:rPr>
          <w:rFonts w:ascii="Times New Roman" w:hAnsi="Times New Roman" w:cs="Times New Roman" w:eastAsia="Times New Roman" w:hint="default"/>
        </w:rPr>
        <w:t>2</w:t>
      </w:r>
      <w:r>
        <w:rPr/>
        <w:t>、初始投资成本的确定</w:t>
      </w:r>
    </w:p>
    <w:p>
      <w:pPr>
        <w:pStyle w:val="BodyText"/>
        <w:spacing w:line="338" w:lineRule="auto" w:before="102"/>
        <w:ind w:left="513" w:right="43"/>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4" w:lineRule="auto" w:before="2"/>
        <w:ind w:right="93"/>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t>财务报表中的账面价值的份额，确定长期股权投资四川川润股份有限公司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年年度的初始投资成本。合并日长期股权投 资的初始投资成本，与达到合并前的长期股权投资账面价值加上合并日进一步取得股份新支付对价的账面价值之和的差额， 调整股本溢价，股本溢价不足冲减的，冲减留存收益。</w:t>
      </w:r>
    </w:p>
    <w:p>
      <w:pPr>
        <w:pStyle w:val="BodyText"/>
        <w:spacing w:line="319" w:lineRule="auto" w:before="59"/>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52" w:lineRule="auto" w:before="56"/>
        <w:ind w:left="513" w:right="43"/>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9" w:lineRule="auto"/>
        <w:ind w:right="191"/>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58"/>
        <w:ind w:left="514" w:right="43"/>
        <w:jc w:val="left"/>
      </w:pPr>
      <w:r>
        <w:rPr/>
        <w:t>通过债务重组取得的长期股权投资，其初始投资成本按照公允价值为基础确定。</w:t>
      </w:r>
    </w:p>
    <w:p>
      <w:pPr>
        <w:pStyle w:val="BodyText"/>
        <w:spacing w:line="240" w:lineRule="auto" w:before="116"/>
        <w:ind w:left="513" w:right="43"/>
        <w:jc w:val="left"/>
      </w:pPr>
      <w:r>
        <w:rPr>
          <w:rFonts w:ascii="Times New Roman" w:hAnsi="Times New Roman" w:cs="Times New Roman" w:eastAsia="Times New Roman" w:hint="default"/>
        </w:rPr>
        <w:t>3</w:t>
      </w:r>
      <w:r>
        <w:rPr/>
        <w:t>、后续计量及损益确认方法</w:t>
      </w:r>
    </w:p>
    <w:p>
      <w:pPr>
        <w:pStyle w:val="BodyText"/>
        <w:spacing w:line="338" w:lineRule="auto" w:before="102"/>
        <w:ind w:left="513" w:right="43"/>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4"/>
        <w:ind w:right="43"/>
        <w:jc w:val="left"/>
      </w:pPr>
      <w:r>
        <w:rPr/>
        <w:t>金股利或利润外，公司按照享有被投资单位宣告发放的现金股利或利润确认当期投资收益。</w:t>
      </w:r>
    </w:p>
    <w:p>
      <w:pPr>
        <w:pStyle w:val="BodyText"/>
        <w:spacing w:line="338" w:lineRule="auto" w:before="116"/>
        <w:ind w:left="513" w:right="43"/>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9" w:lineRule="auto" w:before="2"/>
        <w:ind w:right="43"/>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9" w:lineRule="auto" w:before="56"/>
        <w:ind w:right="192"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319" w:lineRule="auto" w:before="55"/>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spacing w:after="0" w:line="319"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2" w:lineRule="auto" w:before="44"/>
        <w:ind w:right="19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spacing w:val="-2"/>
        </w:rPr>
        <w:t>企业之间发生投出或出售资产的交易，该资产构成业务的，按照本附注</w:t>
      </w:r>
      <w:r>
        <w:rPr>
          <w:rFonts w:ascii="Times New Roman" w:hAnsi="Times New Roman" w:cs="Times New Roman" w:eastAsia="Times New Roman" w:hint="default"/>
          <w:spacing w:val="-2"/>
        </w:rPr>
        <w:t>“</w:t>
      </w:r>
      <w:r>
        <w:rPr>
          <w:spacing w:val="-2"/>
        </w:rPr>
        <w:t>三、</w:t>
      </w:r>
      <w:r>
        <w:rPr>
          <w:rFonts w:ascii="Times New Roman" w:hAnsi="Times New Roman" w:cs="Times New Roman" w:eastAsia="Times New Roman" w:hint="default"/>
          <w:spacing w:val="-2"/>
        </w:rPr>
        <w:t>5</w:t>
      </w:r>
      <w:r>
        <w:rPr>
          <w:spacing w:val="-2"/>
        </w:rPr>
        <w:t>、同一控制下和非同一控制下企业合并的会计</w:t>
      </w:r>
      <w:r>
        <w:rPr>
          <w:spacing w:val="-52"/>
        </w:rPr>
        <w:t> </w:t>
      </w:r>
      <w:r>
        <w:rPr>
          <w:spacing w:val="-52"/>
        </w:rPr>
      </w:r>
      <w:r>
        <w:rPr/>
        <w:t>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9" w:lineRule="auto" w:before="42"/>
        <w:ind w:right="93"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38" w:lineRule="auto" w:before="58"/>
        <w:ind w:left="514" w:right="369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9" w:lineRule="auto" w:before="41"/>
        <w:ind w:right="192" w:firstLine="360"/>
        <w:jc w:val="both"/>
      </w:pPr>
      <w:r>
        <w:rPr>
          <w:spacing w:val="-2"/>
        </w:rPr>
        <w:t>采用权益法核算的长期股权投资，在处置该项投资时，采用与被投资单位直接处置相关资产或负债相同的基础，按相应</w:t>
      </w:r>
      <w:r>
        <w:rPr/>
        <w:t> 比例对原计入其他综合收益的部分进行会计处理。因被投资单位除净损益、其他综合收 益和利润分配以外的其他所有者权</w:t>
      </w:r>
      <w:r>
        <w:rPr>
          <w:spacing w:val="-87"/>
        </w:rPr>
        <w:t> </w:t>
      </w:r>
      <w:r>
        <w:rPr>
          <w:spacing w:val="-87"/>
        </w:rPr>
      </w:r>
      <w:r>
        <w:rPr>
          <w:spacing w:val="-2"/>
        </w:rPr>
        <w:t>益变动而确认的所有者权益，按比例结转入当期损益，由于被投资方重新计量设定受益计划净负债或净资产变动而产生的其</w:t>
      </w:r>
      <w:r>
        <w:rPr>
          <w:spacing w:val="-64"/>
        </w:rPr>
        <w:t> </w:t>
      </w:r>
      <w:r>
        <w:rPr>
          <w:spacing w:val="-64"/>
        </w:rPr>
      </w:r>
      <w:r>
        <w:rPr/>
        <w:t>他综合收益除外。</w:t>
      </w:r>
    </w:p>
    <w:p>
      <w:pPr>
        <w:pStyle w:val="BodyText"/>
        <w:spacing w:line="319" w:lineRule="auto" w:before="56"/>
        <w:ind w:right="93"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9" w:lineRule="auto" w:before="55"/>
        <w:ind w:right="191"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5"/>
        </w:rPr>
        <w:t> </w:t>
      </w:r>
      <w:r>
        <w:rPr>
          <w:spacing w:val="-65"/>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9" w:lineRule="auto" w:before="55"/>
        <w:ind w:right="19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4"/>
        <w:rPr>
          <w:rFonts w:ascii="宋体" w:hAnsi="宋体" w:cs="宋体" w:eastAsia="宋体" w:hint="default"/>
          <w:sz w:val="22"/>
          <w:szCs w:val="22"/>
        </w:rPr>
      </w:pPr>
    </w:p>
    <w:p>
      <w:pPr>
        <w:pStyle w:val="Heading3"/>
        <w:spacing w:line="240" w:lineRule="auto"/>
        <w:ind w:left="153" w:right="43"/>
        <w:jc w:val="left"/>
        <w:rPr>
          <w:b w:val="0"/>
          <w:bCs w:val="0"/>
        </w:rPr>
      </w:pPr>
      <w:bookmarkStart w:name="15、投资性房地产" w:id="140"/>
      <w:bookmarkEnd w:id="14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13"/>
        <w:jc w:val="left"/>
      </w:pPr>
      <w:r>
        <w:rPr/>
        <w:t>投资性房地产计量模式 成本法计量 折旧或摊销方法</w:t>
      </w:r>
    </w:p>
    <w:p>
      <w:pPr>
        <w:pStyle w:val="BodyText"/>
        <w:spacing w:line="360" w:lineRule="auto" w:before="26"/>
        <w:ind w:left="513" w:right="993"/>
        <w:jc w:val="left"/>
      </w:pPr>
      <w:r>
        <w:rPr/>
        <w:t>对已出租的建筑物，按其账面价值及房屋建筑物的估计使用年限，扣除残值后，采用直线法按月计提折旧。 对已出租的土地使用权，按其账面价值及土地使用权的尚可使用年限，采用直线法按月进行摊销。</w:t>
      </w:r>
    </w:p>
    <w:p>
      <w:pPr>
        <w:spacing w:line="240" w:lineRule="auto" w:before="11"/>
        <w:rPr>
          <w:rFonts w:ascii="宋体" w:hAnsi="宋体" w:cs="宋体" w:eastAsia="宋体" w:hint="default"/>
          <w:sz w:val="19"/>
          <w:szCs w:val="19"/>
        </w:rPr>
      </w:pPr>
    </w:p>
    <w:p>
      <w:pPr>
        <w:pStyle w:val="Heading3"/>
        <w:spacing w:line="240" w:lineRule="auto"/>
        <w:ind w:left="153" w:right="43"/>
        <w:jc w:val="left"/>
        <w:rPr>
          <w:b w:val="0"/>
          <w:bCs w:val="0"/>
        </w:rPr>
      </w:pPr>
      <w:bookmarkStart w:name="16、固定资产" w:id="141"/>
      <w:bookmarkEnd w:id="14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43"/>
        <w:jc w:val="left"/>
        <w:rPr>
          <w:b w:val="0"/>
          <w:bCs w:val="0"/>
        </w:rPr>
      </w:pPr>
      <w:bookmarkStart w:name="（1）确认条件" w:id="142"/>
      <w:bookmarkEnd w:id="14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2"/>
        <w:jc w:val="left"/>
      </w:pPr>
      <w:r>
        <w:rPr>
          <w:spacing w:val="-2"/>
        </w:rPr>
        <w:t>固定资产是指为生产商品、提供劳务、出租或经营管理而持有的，使用寿命超过一个会计年度的有形资产。固定资产同时满</w:t>
      </w:r>
      <w:r>
        <w:rPr>
          <w:spacing w:val="-66"/>
        </w:rPr>
        <w:t> </w:t>
      </w:r>
      <w:r>
        <w:rPr>
          <w:spacing w:val="-66"/>
        </w:rPr>
      </w:r>
      <w:r>
        <w:rPr/>
        <w:t>足下列条件的，本公司予以确认：①与该固定资产有关的经济利益很可能流入企业；②该固定资产的成本能够可靠地计量。</w:t>
      </w:r>
    </w:p>
    <w:p>
      <w:pPr>
        <w:spacing w:after="0" w:line="319"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left="153" w:right="43"/>
        <w:jc w:val="left"/>
        <w:rPr>
          <w:b w:val="0"/>
          <w:bCs w:val="0"/>
        </w:rPr>
      </w:pPr>
      <w:bookmarkStart w:name="（2）折旧方法" w:id="143"/>
      <w:bookmarkEnd w:id="14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2.11%-3.80%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7.92%-11.88%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right="43"/>
        <w:jc w:val="left"/>
        <w:rPr>
          <w:b w:val="0"/>
          <w:bCs w:val="0"/>
        </w:rPr>
      </w:pPr>
      <w:bookmarkStart w:name="（3）融资租入固定资产的认定依据、计价和折旧方法" w:id="144"/>
      <w:bookmarkEnd w:id="14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43"/>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）租赁开始日的最低租赁付款额现值，与该资产的公允价值不存在较大的差异。公司在租赁开始日，</w:t>
      </w:r>
      <w:r>
        <w:rPr>
          <w:spacing w:val="-70"/>
        </w:rPr>
        <w:t> </w:t>
      </w:r>
      <w:r>
        <w:rPr>
          <w:spacing w:val="-2"/>
        </w:rPr>
        <w:t>将租赁资产公允价值与最低租赁付款额现值两者中较低者作为融资租入固定资产的入账价值，将最低租赁付款额作为长期应</w:t>
      </w:r>
      <w:r>
        <w:rPr>
          <w:spacing w:val="-64"/>
        </w:rPr>
        <w:t> </w:t>
      </w:r>
      <w:r>
        <w:rPr>
          <w:spacing w:val="-64"/>
        </w:rPr>
      </w:r>
      <w:r>
        <w:rPr/>
        <w:t>付款的入账价值，其差额作为未确认的融资费用。</w:t>
      </w:r>
    </w:p>
    <w:p>
      <w:pPr>
        <w:spacing w:line="240" w:lineRule="auto" w:before="1"/>
        <w:rPr>
          <w:rFonts w:ascii="宋体" w:hAnsi="宋体" w:cs="宋体" w:eastAsia="宋体" w:hint="default"/>
          <w:sz w:val="23"/>
          <w:szCs w:val="23"/>
        </w:rPr>
      </w:pPr>
    </w:p>
    <w:p>
      <w:pPr>
        <w:pStyle w:val="Heading3"/>
        <w:spacing w:line="240" w:lineRule="auto"/>
        <w:ind w:right="43"/>
        <w:jc w:val="left"/>
        <w:rPr>
          <w:b w:val="0"/>
          <w:bCs w:val="0"/>
        </w:rPr>
      </w:pPr>
      <w:bookmarkStart w:name="17、在建工程" w:id="145"/>
      <w:bookmarkEnd w:id="14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54" w:right="191" w:firstLine="360"/>
        <w:jc w:val="both"/>
      </w:pPr>
      <w:r>
        <w:rPr>
          <w:rFonts w:ascii="Times New Roman" w:hAnsi="Times New Roman" w:cs="Times New Roman" w:eastAsia="Times New Roman" w:hint="default"/>
        </w:rPr>
        <w:t>1</w:t>
      </w:r>
      <w:r>
        <w:rPr/>
        <w:t>、在建工程的类别：本公司在建工程指为建造或更新改造固定资产而进行的各项建筑和安装工程，包括自营的在建工 程和发包的在建工程；</w:t>
      </w:r>
    </w:p>
    <w:p>
      <w:pPr>
        <w:pStyle w:val="BodyText"/>
        <w:spacing w:line="302" w:lineRule="auto" w:before="68"/>
        <w:ind w:left="154" w:right="191" w:firstLine="360"/>
        <w:jc w:val="both"/>
      </w:pPr>
      <w:r>
        <w:rPr>
          <w:rFonts w:ascii="Times New Roman" w:hAnsi="Times New Roman" w:cs="Times New Roman" w:eastAsia="Times New Roman" w:hint="default"/>
        </w:rPr>
        <w:t>2</w:t>
      </w:r>
      <w:r>
        <w:rPr/>
        <w:t>、在建工程的计价：在建工程按成本进行初始计量，工程成本包括在建期间发生的各项工程支出以及符合资本化条件 的借款费用等；</w:t>
      </w:r>
    </w:p>
    <w:p>
      <w:pPr>
        <w:pStyle w:val="BodyText"/>
        <w:spacing w:line="309" w:lineRule="auto" w:before="68"/>
        <w:ind w:left="154" w:right="191" w:firstLine="578"/>
        <w:jc w:val="both"/>
      </w:pPr>
      <w:r>
        <w:rPr>
          <w:rFonts w:ascii="Times New Roman" w:hAnsi="Times New Roman" w:cs="Times New Roman" w:eastAsia="Times New Roman" w:hint="default"/>
          <w:spacing w:val="-1"/>
        </w:rPr>
        <w:t>3</w:t>
      </w:r>
      <w:r>
        <w:rPr>
          <w:spacing w:val="-1"/>
        </w:rPr>
        <w:t>、在建工程结转固定资产的时点：本公司在工程完工、验收合格交付使用的当月结转固定资产。对已达到预定可使</w:t>
      </w:r>
      <w:r>
        <w:rPr/>
        <w:t> </w:t>
      </w:r>
      <w:r>
        <w:rPr>
          <w:spacing w:val="-2"/>
        </w:rPr>
        <w:t>用状态但尚未办理竣工决算的固定资产，按照估计价值确定其成本，并计提折旧；待办理竣工结算后，按实际成本调整原来</w:t>
      </w:r>
      <w:r>
        <w:rPr>
          <w:spacing w:val="-66"/>
        </w:rPr>
        <w:t> </w:t>
      </w:r>
      <w:r>
        <w:rPr>
          <w:spacing w:val="-66"/>
        </w:rPr>
      </w:r>
      <w:r>
        <w:rPr/>
        <w:t>的暂估价值，但不调整原已计提的折旧额。</w:t>
      </w:r>
    </w:p>
    <w:p>
      <w:pPr>
        <w:spacing w:line="240" w:lineRule="auto" w:before="12"/>
        <w:rPr>
          <w:rFonts w:ascii="宋体" w:hAnsi="宋体" w:cs="宋体" w:eastAsia="宋体" w:hint="default"/>
          <w:sz w:val="22"/>
          <w:szCs w:val="22"/>
        </w:rPr>
      </w:pPr>
    </w:p>
    <w:p>
      <w:pPr>
        <w:pStyle w:val="Heading3"/>
        <w:spacing w:line="240" w:lineRule="auto"/>
        <w:ind w:right="43"/>
        <w:jc w:val="left"/>
        <w:rPr>
          <w:b w:val="0"/>
          <w:bCs w:val="0"/>
        </w:rPr>
      </w:pPr>
      <w:bookmarkStart w:name="18、借款费用" w:id="146"/>
      <w:bookmarkEnd w:id="14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91" w:firstLine="360"/>
        <w:jc w:val="both"/>
      </w:pPr>
      <w:r>
        <w:rPr>
          <w:rFonts w:ascii="Times New Roman" w:hAnsi="Times New Roman" w:cs="Times New Roman" w:eastAsia="Times New Roman" w:hint="default"/>
        </w:rPr>
        <w:t>1</w:t>
      </w:r>
      <w:r>
        <w:rPr/>
        <w:t>、借款费用资本化的确认原则：借款费用包括因借款而发生的利息、折价或溢价的摊销和辅助费用，以及因外币借款 </w:t>
      </w:r>
      <w:r>
        <w:rPr>
          <w:spacing w:val="-2"/>
        </w:rPr>
        <w:t>而发生的汇兑差额等。本公司发生的借款费用，可直接归属于符合资本化条件的资产的购建或者生产的，予以资本化，计入</w:t>
      </w:r>
      <w:r>
        <w:rPr>
          <w:spacing w:val="-66"/>
        </w:rPr>
        <w:t> </w:t>
      </w:r>
      <w:r>
        <w:rPr>
          <w:spacing w:val="-66"/>
        </w:rPr>
      </w:r>
      <w:r>
        <w:rPr/>
        <w:t>相关资产的成本；其他借款费用，在发生时根据其发生额确认为费用，计入当期损益。</w:t>
      </w:r>
    </w:p>
    <w:p>
      <w:pPr>
        <w:pStyle w:val="BodyText"/>
        <w:spacing w:line="240" w:lineRule="auto" w:before="65"/>
        <w:ind w:left="513" w:right="43"/>
        <w:jc w:val="left"/>
      </w:pPr>
      <w:r>
        <w:rPr>
          <w:rFonts w:ascii="Times New Roman" w:hAnsi="Times New Roman" w:cs="Times New Roman" w:eastAsia="Times New Roman" w:hint="default"/>
        </w:rPr>
        <w:t>2</w:t>
      </w:r>
      <w:r>
        <w:rPr/>
        <w:t>、借款费用资本化的开始：本公司对同时满足以下三个条件的借款费用，开始资本化：</w:t>
      </w:r>
    </w:p>
    <w:p>
      <w:pPr>
        <w:pStyle w:val="BodyText"/>
        <w:spacing w:line="302" w:lineRule="auto" w:before="101"/>
        <w:ind w:left="154" w:right="191" w:firstLine="360"/>
        <w:jc w:val="both"/>
      </w:pPr>
      <w:r>
        <w:rPr/>
        <w:t>（</w:t>
      </w:r>
      <w:r>
        <w:rPr>
          <w:rFonts w:ascii="Times New Roman" w:hAnsi="Times New Roman" w:cs="Times New Roman" w:eastAsia="Times New Roman" w:hint="default"/>
        </w:rPr>
        <w:t>1</w:t>
      </w:r>
      <w:r>
        <w:rPr/>
        <w:t>）资产支出（资产支出包括为购建固定资产或者生产符合资本化条件的资产而以支付现金、转移非现金资产或者承 担带息债务形式发生的支出）已经发生；</w:t>
      </w:r>
    </w:p>
    <w:p>
      <w:pPr>
        <w:pStyle w:val="BodyText"/>
        <w:spacing w:line="240" w:lineRule="auto" w:before="69"/>
        <w:ind w:left="514" w:right="43"/>
        <w:jc w:val="left"/>
      </w:pPr>
      <w:r>
        <w:rPr/>
        <w:t>（</w:t>
      </w:r>
      <w:r>
        <w:rPr>
          <w:rFonts w:ascii="Times New Roman" w:hAnsi="Times New Roman" w:cs="Times New Roman" w:eastAsia="Times New Roman" w:hint="default"/>
        </w:rPr>
        <w:t>2</w:t>
      </w:r>
      <w:r>
        <w:rPr/>
        <w:t>）借款费用已经发生；</w:t>
      </w:r>
    </w:p>
    <w:p>
      <w:pPr>
        <w:pStyle w:val="BodyText"/>
        <w:spacing w:line="240" w:lineRule="auto" w:before="103"/>
        <w:ind w:left="514" w:right="43"/>
        <w:jc w:val="left"/>
      </w:pPr>
      <w:r>
        <w:rPr/>
        <w:t>（</w:t>
      </w:r>
      <w:r>
        <w:rPr>
          <w:rFonts w:ascii="Times New Roman" w:hAnsi="Times New Roman" w:cs="Times New Roman" w:eastAsia="Times New Roman" w:hint="default"/>
        </w:rPr>
        <w:t>3</w:t>
      </w:r>
      <w:r>
        <w:rPr/>
        <w:t>）为使资产达到预定可使用状态或者可销售状态所必要的购建活动或者生产活动已经开始。</w:t>
      </w:r>
    </w:p>
    <w:p>
      <w:pPr>
        <w:pStyle w:val="BodyText"/>
        <w:spacing w:line="240" w:lineRule="auto" w:before="102"/>
        <w:ind w:left="513" w:right="43"/>
        <w:jc w:val="left"/>
      </w:pPr>
      <w:r>
        <w:rPr>
          <w:rFonts w:ascii="Times New Roman" w:hAnsi="Times New Roman" w:cs="Times New Roman" w:eastAsia="Times New Roman" w:hint="default"/>
        </w:rPr>
        <w:t>3</w:t>
      </w:r>
      <w:r>
        <w:rPr/>
        <w:t>、资本化期间：是指从借款费用开始资本化时点到停止资本化时点的期间，借款费用暂停资本化的期间不包括在内。</w:t>
      </w:r>
    </w:p>
    <w:p>
      <w:pPr>
        <w:pStyle w:val="BodyText"/>
        <w:spacing w:line="312" w:lineRule="auto" w:before="101"/>
        <w:ind w:left="154" w:right="191" w:firstLine="360"/>
        <w:jc w:val="both"/>
      </w:pPr>
      <w:r>
        <w:rPr>
          <w:rFonts w:ascii="Times New Roman" w:hAnsi="Times New Roman" w:cs="Times New Roman" w:eastAsia="Times New Roman" w:hint="default"/>
        </w:rPr>
        <w:t>4</w:t>
      </w:r>
      <w:r>
        <w:rPr/>
        <w:t>、借款费用资本化的暂停和停止：本公司对符合资本化条件的资产在购建或者生产过程中发生非正常中断，并且中断 </w:t>
      </w:r>
      <w:r>
        <w:rPr>
          <w:spacing w:val="-2"/>
        </w:rPr>
        <w:t>时间连续超过三个月，暂停借款费用的资本化。在中断期间发生的借款费用确认为费用，计入当期损益，直至资产的购建或</w:t>
      </w:r>
      <w:r>
        <w:rPr>
          <w:spacing w:val="-66"/>
        </w:rPr>
        <w:t> </w:t>
      </w:r>
      <w:r>
        <w:rPr>
          <w:spacing w:val="-66"/>
        </w:rPr>
      </w:r>
      <w:r>
        <w:rPr/>
        <w:t>者生产活动重新开始。如果中断是使所购建或者生产的符合资本化条件的资产达到预定可使用或者可销售状态所必要的程</w:t>
      </w:r>
      <w:r>
        <w:rPr>
          <w:spacing w:val="-9"/>
        </w:rPr>
        <w:t> </w:t>
      </w:r>
      <w:r>
        <w:rPr>
          <w:spacing w:val="-9"/>
        </w:rPr>
      </w:r>
      <w:r>
        <w:rPr/>
        <w:t>序，则借款费用的资本化继续进行。</w:t>
      </w:r>
    </w:p>
    <w:p>
      <w:pPr>
        <w:spacing w:after="0" w:line="312"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43" w:firstLine="360"/>
        <w:jc w:val="left"/>
      </w:pPr>
      <w:r>
        <w:rPr>
          <w:spacing w:val="-2"/>
        </w:rPr>
        <w:t>当购建或者生产符合资本化条件的资产达到预定可使用或者可销售状态时，停止借款费用的资本化，以后发生的费用于</w:t>
      </w:r>
      <w:r>
        <w:rPr/>
        <w:t> 发生当期确认为费用。</w:t>
      </w:r>
    </w:p>
    <w:p>
      <w:pPr>
        <w:pStyle w:val="BodyText"/>
        <w:spacing w:line="340" w:lineRule="auto" w:before="56"/>
        <w:ind w:left="514" w:right="2972"/>
        <w:jc w:val="left"/>
      </w:pPr>
      <w:r>
        <w:rPr>
          <w:rFonts w:ascii="Times New Roman" w:hAnsi="Times New Roman" w:cs="Times New Roman" w:eastAsia="Times New Roman" w:hint="default"/>
        </w:rPr>
        <w:t>5</w:t>
      </w:r>
      <w:r>
        <w:rPr/>
        <w:t>、借款费用资本化金额的计算方法 在资本化期间内，本公司对每一会计期间的利息资本化金额，按照下列方法确定：</w:t>
      </w:r>
    </w:p>
    <w:p>
      <w:pPr>
        <w:pStyle w:val="BodyText"/>
        <w:spacing w:line="302" w:lineRule="auto" w:before="39"/>
        <w:ind w:left="154" w:right="182" w:firstLine="360"/>
        <w:jc w:val="left"/>
      </w:pPr>
      <w:r>
        <w:rPr/>
        <w:t>（</w:t>
      </w:r>
      <w:r>
        <w:rPr>
          <w:rFonts w:ascii="Times New Roman" w:hAnsi="Times New Roman" w:cs="Times New Roman" w:eastAsia="Times New Roman" w:hint="default"/>
        </w:rPr>
        <w:t>1</w:t>
      </w:r>
      <w:r>
        <w:rPr/>
        <w:t>）为购建或者生产符合资本化条件的资产而借入专门借款的，以专门借款当期实际发生的利息费用，减去将尚未动 用的借款资金存入银行取得的利息收入或进行暂时性投资取得的投资收益后的金额确定；</w:t>
      </w:r>
    </w:p>
    <w:p>
      <w:pPr>
        <w:pStyle w:val="BodyText"/>
        <w:spacing w:line="309" w:lineRule="auto" w:before="68"/>
        <w:ind w:left="154" w:right="191" w:firstLine="360"/>
        <w:jc w:val="both"/>
      </w:pPr>
      <w:r>
        <w:rPr/>
        <w:t>（</w:t>
      </w:r>
      <w:r>
        <w:rPr>
          <w:rFonts w:ascii="Times New Roman" w:hAnsi="Times New Roman" w:cs="Times New Roman" w:eastAsia="Times New Roman" w:hint="default"/>
        </w:rPr>
        <w:t>2</w:t>
      </w:r>
      <w:r>
        <w:rPr/>
        <w:t>）为购建或者生产符合资本化条件的资产而占用了一般借款的，根据累计资产支出超过专门借款部分的资产支出加 </w:t>
      </w:r>
      <w:r>
        <w:rPr>
          <w:spacing w:val="-2"/>
        </w:rPr>
        <w:t>权平均数乘以所占用一般借款的资本化率，计算确定一般借款应予资本化的利息金额。资本化率根据一般借款加权平均利率</w:t>
      </w:r>
      <w:r>
        <w:rPr>
          <w:spacing w:val="-64"/>
        </w:rPr>
        <w:t> </w:t>
      </w:r>
      <w:r>
        <w:rPr>
          <w:spacing w:val="-64"/>
        </w:rPr>
      </w:r>
      <w:r>
        <w:rPr/>
        <w:t>计算确定。</w:t>
      </w:r>
    </w:p>
    <w:p>
      <w:pPr>
        <w:spacing w:line="240" w:lineRule="auto" w:before="11"/>
        <w:rPr>
          <w:rFonts w:ascii="宋体" w:hAnsi="宋体" w:cs="宋体" w:eastAsia="宋体" w:hint="default"/>
          <w:sz w:val="22"/>
          <w:szCs w:val="22"/>
        </w:rPr>
      </w:pPr>
    </w:p>
    <w:p>
      <w:pPr>
        <w:pStyle w:val="Heading3"/>
        <w:spacing w:line="240" w:lineRule="auto"/>
        <w:ind w:left="153" w:right="43"/>
        <w:jc w:val="left"/>
        <w:rPr>
          <w:b w:val="0"/>
          <w:bCs w:val="0"/>
        </w:rPr>
      </w:pPr>
      <w:bookmarkStart w:name="19、生物资产" w:id="147"/>
      <w:bookmarkEnd w:id="14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43"/>
        <w:jc w:val="left"/>
      </w:pPr>
      <w:r>
        <w:rPr/>
        <w:t>无</w:t>
      </w:r>
    </w:p>
    <w:p>
      <w:pPr>
        <w:spacing w:line="240" w:lineRule="auto" w:before="11"/>
        <w:rPr>
          <w:rFonts w:ascii="宋体" w:hAnsi="宋体" w:cs="宋体" w:eastAsia="宋体" w:hint="default"/>
          <w:sz w:val="26"/>
          <w:szCs w:val="26"/>
        </w:rPr>
      </w:pPr>
    </w:p>
    <w:p>
      <w:pPr>
        <w:pStyle w:val="Heading3"/>
        <w:spacing w:line="240" w:lineRule="auto"/>
        <w:ind w:right="43"/>
        <w:jc w:val="left"/>
        <w:rPr>
          <w:b w:val="0"/>
          <w:bCs w:val="0"/>
        </w:rPr>
      </w:pPr>
      <w:bookmarkStart w:name="20、油气资产" w:id="148"/>
      <w:bookmarkEnd w:id="14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43"/>
        <w:jc w:val="left"/>
      </w:pPr>
      <w:r>
        <w:rPr/>
        <w:t>无</w:t>
      </w:r>
    </w:p>
    <w:p>
      <w:pPr>
        <w:spacing w:line="240" w:lineRule="auto" w:before="11"/>
        <w:rPr>
          <w:rFonts w:ascii="宋体" w:hAnsi="宋体" w:cs="宋体" w:eastAsia="宋体" w:hint="default"/>
          <w:sz w:val="26"/>
          <w:szCs w:val="26"/>
        </w:rPr>
      </w:pPr>
    </w:p>
    <w:p>
      <w:pPr>
        <w:pStyle w:val="Heading3"/>
        <w:spacing w:line="240" w:lineRule="auto"/>
        <w:ind w:right="43"/>
        <w:jc w:val="left"/>
        <w:rPr>
          <w:b w:val="0"/>
          <w:bCs w:val="0"/>
        </w:rPr>
      </w:pPr>
      <w:bookmarkStart w:name="21、无形资产" w:id="149"/>
      <w:bookmarkEnd w:id="14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43"/>
        <w:jc w:val="left"/>
        <w:rPr>
          <w:b w:val="0"/>
          <w:bCs w:val="0"/>
        </w:rPr>
      </w:pPr>
      <w:bookmarkStart w:name="（1）计价方法、使用寿命、减值测试" w:id="150"/>
      <w:bookmarkEnd w:id="15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43"/>
        <w:jc w:val="left"/>
      </w:pPr>
      <w:r>
        <w:rPr>
          <w:rFonts w:ascii="Times New Roman" w:hAnsi="Times New Roman" w:cs="Times New Roman" w:eastAsia="Times New Roman" w:hint="default"/>
        </w:rPr>
        <w:t>1</w:t>
      </w:r>
      <w:r>
        <w:rPr/>
        <w:t>、本公司对无形资产按照成本进行初始计量，具体方法如下：</w:t>
      </w:r>
    </w:p>
    <w:p>
      <w:pPr>
        <w:pStyle w:val="BodyText"/>
        <w:spacing w:line="302" w:lineRule="auto" w:before="101"/>
        <w:ind w:left="154" w:right="92" w:firstLine="360"/>
        <w:jc w:val="left"/>
      </w:pPr>
      <w:r>
        <w:rPr/>
        <w:t>（</w:t>
      </w:r>
      <w:r>
        <w:rPr>
          <w:rFonts w:ascii="Times New Roman" w:hAnsi="Times New Roman" w:cs="Times New Roman" w:eastAsia="Times New Roman" w:hint="default"/>
        </w:rPr>
        <w:t>1</w:t>
      </w:r>
      <w:r>
        <w:rPr/>
        <w:t>）购入的无形资产的成本，包括购买价款、相关税费及直接归属于使该项资产达到预定用途所发生的其他支出；购 买无形资产的价款超过正常信用条件延期支付，且实质上具有融资性质的，无形资产的成本以购买价款的现值为基础确定；</w:t>
      </w:r>
    </w:p>
    <w:p>
      <w:pPr>
        <w:pStyle w:val="BodyText"/>
        <w:spacing w:line="302" w:lineRule="auto" w:before="68"/>
        <w:ind w:left="154" w:right="182" w:firstLine="360"/>
        <w:jc w:val="left"/>
      </w:pPr>
      <w:r>
        <w:rPr/>
        <w:t>（</w:t>
      </w:r>
      <w:r>
        <w:rPr>
          <w:rFonts w:ascii="Times New Roman" w:hAnsi="Times New Roman" w:cs="Times New Roman" w:eastAsia="Times New Roman" w:hint="default"/>
        </w:rPr>
        <w:t>2</w:t>
      </w:r>
      <w:r>
        <w:rPr/>
        <w:t>）自行开发的无形资产的成本，按满足资本化条件的时点至达到预定用途前发生的支出总额确定，但对于以前期间 已经费用化的支出不再调整；</w:t>
      </w:r>
    </w:p>
    <w:p>
      <w:pPr>
        <w:pStyle w:val="BodyText"/>
        <w:spacing w:line="240" w:lineRule="auto" w:before="70"/>
        <w:ind w:left="514" w:right="43"/>
        <w:jc w:val="left"/>
      </w:pPr>
      <w:r>
        <w:rPr/>
        <w:t>（</w:t>
      </w:r>
      <w:r>
        <w:rPr>
          <w:rFonts w:ascii="Times New Roman" w:hAnsi="Times New Roman" w:cs="Times New Roman" w:eastAsia="Times New Roman" w:hint="default"/>
        </w:rPr>
        <w:t>3</w:t>
      </w:r>
      <w:r>
        <w:rPr/>
        <w:t>）投资者投入的无形资产的成本，按投资合同或协议约定的价值确定，但合同或协议约定价值不公允的除外；</w:t>
      </w:r>
    </w:p>
    <w:p>
      <w:pPr>
        <w:pStyle w:val="BodyText"/>
        <w:spacing w:line="300" w:lineRule="auto" w:before="101"/>
        <w:ind w:right="190" w:firstLine="360"/>
        <w:jc w:val="both"/>
      </w:pPr>
      <w:r>
        <w:rPr>
          <w:spacing w:val="-2"/>
        </w:rPr>
        <w:t>（</w:t>
      </w:r>
      <w:r>
        <w:rPr>
          <w:rFonts w:ascii="Times New Roman" w:hAnsi="Times New Roman" w:cs="Times New Roman" w:eastAsia="Times New Roman" w:hint="default"/>
          <w:spacing w:val="-2"/>
        </w:rPr>
        <w:t>4</w:t>
      </w:r>
      <w:r>
        <w:rPr>
          <w:spacing w:val="-2"/>
        </w:rPr>
        <w:t>）非货币性资产交换、债务重组、政府补助和企业合并取得的无形资产的成本，分别按《企业会计准则第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w:t>
      </w:r>
      <w:r>
        <w:rPr>
          <w:spacing w:val="1"/>
        </w:rPr>
        <w:t> </w:t>
      </w:r>
      <w:r>
        <w:rPr>
          <w:spacing w:val="-2"/>
        </w:rPr>
        <w:t>币性资产交换》、《企业会计准则第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政府补助》和《企业会计准则第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w:t>
      </w:r>
      <w:r>
        <w:rPr>
          <w:spacing w:val="-61"/>
        </w:rPr>
        <w:t> </w:t>
      </w:r>
      <w:r>
        <w:rPr/>
        <w:t>业合并》的相关规定确定。</w:t>
      </w:r>
    </w:p>
    <w:p>
      <w:pPr>
        <w:pStyle w:val="BodyText"/>
        <w:spacing w:line="338" w:lineRule="auto" w:before="71"/>
        <w:ind w:left="514" w:right="43"/>
        <w:jc w:val="left"/>
      </w:pPr>
      <w:r>
        <w:rPr>
          <w:rFonts w:ascii="Times New Roman" w:hAnsi="Times New Roman" w:cs="Times New Roman" w:eastAsia="Times New Roman" w:hint="default"/>
        </w:rPr>
        <w:t>2</w:t>
      </w:r>
      <w:r>
        <w:rPr/>
        <w:t>、本公司对无形资产使用寿命的估计情况如下： </w:t>
      </w:r>
      <w:r>
        <w:rPr>
          <w:spacing w:val="-2"/>
        </w:rPr>
        <w:t>本公司对来源于合同性权利或其他法定权利的无形资产，认定其使用寿命不超过合同性权利或其他法定权利的期限；对</w:t>
      </w:r>
    </w:p>
    <w:p>
      <w:pPr>
        <w:pStyle w:val="BodyText"/>
        <w:spacing w:line="319" w:lineRule="auto" w:before="2"/>
        <w:ind w:left="154" w:right="43"/>
        <w:jc w:val="left"/>
      </w:pPr>
      <w:r>
        <w:rPr>
          <w:spacing w:val="-2"/>
        </w:rPr>
        <w:t>合同或法律没有规定使用寿命的无形资产，通常综合各方面因素判断（如与同行业比较、参考历史经验，或聘用相关专家进</w:t>
      </w:r>
      <w:r>
        <w:rPr>
          <w:spacing w:val="-66"/>
        </w:rPr>
        <w:t> </w:t>
      </w:r>
      <w:r>
        <w:rPr>
          <w:spacing w:val="-66"/>
        </w:rPr>
      </w:r>
      <w:r>
        <w:rPr/>
        <w:t>行论证等），确定无形资产为公司带来经济利益的期限。本公司确定无形资产使用寿命通常考虑如下因素：</w:t>
      </w:r>
    </w:p>
    <w:p>
      <w:pPr>
        <w:pStyle w:val="BodyText"/>
        <w:spacing w:line="240" w:lineRule="auto" w:before="56"/>
        <w:ind w:left="513" w:right="43"/>
        <w:jc w:val="left"/>
      </w:pPr>
      <w:r>
        <w:rPr/>
        <w:t>（</w:t>
      </w:r>
      <w:r>
        <w:rPr>
          <w:rFonts w:ascii="Times New Roman" w:hAnsi="Times New Roman" w:cs="Times New Roman" w:eastAsia="Times New Roman" w:hint="default"/>
        </w:rPr>
        <w:t>1</w:t>
      </w:r>
      <w:r>
        <w:rPr/>
        <w:t>）运用该资产生产的产品通常的寿命周期、可获得的类似资产使用寿命的信息；</w:t>
      </w:r>
    </w:p>
    <w:p>
      <w:pPr>
        <w:pStyle w:val="BodyText"/>
        <w:spacing w:line="240" w:lineRule="auto" w:before="102"/>
        <w:ind w:left="513" w:right="43"/>
        <w:jc w:val="left"/>
      </w:pPr>
      <w:r>
        <w:rPr/>
        <w:t>（</w:t>
      </w:r>
      <w:r>
        <w:rPr>
          <w:rFonts w:ascii="Times New Roman" w:hAnsi="Times New Roman" w:cs="Times New Roman" w:eastAsia="Times New Roman" w:hint="default"/>
        </w:rPr>
        <w:t>2</w:t>
      </w:r>
      <w:r>
        <w:rPr/>
        <w:t>）技术、工艺等方面的现阶段情况及对未来发展趋势的估计；</w:t>
      </w:r>
    </w:p>
    <w:p>
      <w:pPr>
        <w:pStyle w:val="BodyText"/>
        <w:spacing w:line="240" w:lineRule="auto" w:before="103"/>
        <w:ind w:left="513" w:right="43"/>
        <w:jc w:val="left"/>
      </w:pPr>
      <w:r>
        <w:rPr/>
        <w:t>（</w:t>
      </w:r>
      <w:r>
        <w:rPr>
          <w:rFonts w:ascii="Times New Roman" w:hAnsi="Times New Roman" w:cs="Times New Roman" w:eastAsia="Times New Roman" w:hint="default"/>
        </w:rPr>
        <w:t>3</w:t>
      </w:r>
      <w:r>
        <w:rPr/>
        <w:t>）以该资产生产的产品或提供的服务的市场需求情况；</w:t>
      </w:r>
    </w:p>
    <w:p>
      <w:pPr>
        <w:pStyle w:val="BodyText"/>
        <w:spacing w:line="240" w:lineRule="auto" w:before="102"/>
        <w:ind w:left="514" w:right="43"/>
        <w:jc w:val="left"/>
      </w:pPr>
      <w:r>
        <w:rPr/>
        <w:t>（</w:t>
      </w:r>
      <w:r>
        <w:rPr>
          <w:rFonts w:ascii="Times New Roman" w:hAnsi="Times New Roman" w:cs="Times New Roman" w:eastAsia="Times New Roman" w:hint="default"/>
        </w:rPr>
        <w:t>4</w:t>
      </w:r>
      <w:r>
        <w:rPr/>
        <w:t>）现在或潜在的竞争者预期采取的行动；</w:t>
      </w:r>
    </w:p>
    <w:p>
      <w:pPr>
        <w:pStyle w:val="BodyText"/>
        <w:spacing w:line="240" w:lineRule="auto" w:before="103"/>
        <w:ind w:left="514" w:right="43"/>
        <w:jc w:val="left"/>
      </w:pPr>
      <w:r>
        <w:rPr/>
        <w:t>（</w:t>
      </w:r>
      <w:r>
        <w:rPr>
          <w:rFonts w:ascii="Times New Roman" w:hAnsi="Times New Roman" w:cs="Times New Roman" w:eastAsia="Times New Roman" w:hint="default"/>
        </w:rPr>
        <w:t>5</w:t>
      </w:r>
      <w:r>
        <w:rPr/>
        <w:t>）为维护该资产带来经济利益能力的预期维护支出、以及公司预计支付有关支出的能力；</w:t>
      </w:r>
    </w:p>
    <w:p>
      <w:pPr>
        <w:pStyle w:val="BodyText"/>
        <w:spacing w:line="240" w:lineRule="auto" w:before="103"/>
        <w:ind w:left="513" w:right="43"/>
        <w:jc w:val="left"/>
      </w:pPr>
      <w:r>
        <w:rPr/>
        <w:t>（</w:t>
      </w:r>
      <w:r>
        <w:rPr>
          <w:rFonts w:ascii="Times New Roman" w:hAnsi="Times New Roman" w:cs="Times New Roman" w:eastAsia="Times New Roman" w:hint="default"/>
        </w:rPr>
        <w:t>6</w:t>
      </w:r>
      <w:r>
        <w:rPr/>
        <w:t>）对该资产控制期限的相关法律规定或类似限制；</w:t>
      </w:r>
    </w:p>
    <w:p>
      <w:pPr>
        <w:pStyle w:val="BodyText"/>
        <w:spacing w:line="240" w:lineRule="auto" w:before="102"/>
        <w:ind w:left="514" w:right="43"/>
        <w:jc w:val="left"/>
      </w:pPr>
      <w:r>
        <w:rPr/>
        <w:t>（</w:t>
      </w:r>
      <w:r>
        <w:rPr>
          <w:rFonts w:ascii="Times New Roman" w:hAnsi="Times New Roman" w:cs="Times New Roman" w:eastAsia="Times New Roman" w:hint="default"/>
        </w:rPr>
        <w:t>7</w:t>
      </w:r>
      <w:r>
        <w:rPr/>
        <w:t>）与公司持有的其他资产使用寿命的关联性等。</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3" w:right="43"/>
        <w:jc w:val="left"/>
      </w:pPr>
      <w:r>
        <w:rPr/>
        <w:t>按照上述方法仍无法合理确定无形资产为公司带来经济利益期限的，本公司将其视为使用寿命不确定的无形资产。</w:t>
      </w:r>
    </w:p>
    <w:p>
      <w:pPr>
        <w:pStyle w:val="BodyText"/>
        <w:spacing w:line="312" w:lineRule="auto" w:before="115"/>
        <w:ind w:left="154" w:right="191" w:firstLine="360"/>
        <w:jc w:val="both"/>
      </w:pPr>
      <w:r>
        <w:rPr>
          <w:rFonts w:ascii="Times New Roman" w:hAnsi="Times New Roman" w:cs="Times New Roman" w:eastAsia="Times New Roman" w:hint="default"/>
        </w:rPr>
        <w:t>3</w:t>
      </w:r>
      <w:r>
        <w:rPr/>
        <w:t>、本公司对使用寿命有限的无形资产自其可供使用时起至不再作为无形资产确认时止在无形资产使用寿命内采用直线 </w:t>
      </w:r>
      <w:r>
        <w:rPr>
          <w:spacing w:val="-2"/>
        </w:rPr>
        <w:t>法摊销。即按预计使用年限、合同规定的受益年限和法律规定的有效年限三者中最短者分期平均摊销。摊销金额按其受益对</w:t>
      </w:r>
      <w:r>
        <w:rPr>
          <w:spacing w:val="-66"/>
        </w:rPr>
        <w:t> </w:t>
      </w:r>
      <w:r>
        <w:rPr>
          <w:spacing w:val="-66"/>
        </w:rPr>
      </w:r>
      <w:r>
        <w:rPr>
          <w:spacing w:val="-2"/>
        </w:rPr>
        <w:t>象计入相关资产成本和当期损益。本公司对已提减值准备的无形资产计算应摊销金额时，还需扣除该无形资产已计提的减值</w:t>
      </w:r>
      <w:r>
        <w:rPr>
          <w:spacing w:val="-64"/>
        </w:rPr>
        <w:t> </w:t>
      </w:r>
      <w:r>
        <w:rPr>
          <w:spacing w:val="-64"/>
        </w:rPr>
      </w:r>
      <w:r>
        <w:rPr/>
        <w:t>准备累计金额；</w:t>
      </w:r>
    </w:p>
    <w:p>
      <w:pPr>
        <w:pStyle w:val="BodyText"/>
        <w:spacing w:line="319" w:lineRule="auto" w:before="62"/>
        <w:ind w:right="103" w:firstLine="360"/>
        <w:jc w:val="both"/>
      </w:pPr>
      <w:r>
        <w:rPr>
          <w:spacing w:val="-4"/>
        </w:rPr>
        <w:t>对于使用寿命不确定的无形资产，本公司不对其进行摊销，但在每个会计期末，对该部分无形资产的使用寿命进行复核，</w:t>
      </w:r>
      <w:r>
        <w:rPr/>
        <w:t> 如使用寿命仍不能确定，则对其进行减值测试。</w:t>
      </w:r>
    </w:p>
    <w:p>
      <w:pPr>
        <w:pStyle w:val="BodyText"/>
        <w:spacing w:line="338" w:lineRule="auto" w:before="56"/>
        <w:ind w:left="514" w:right="43"/>
        <w:jc w:val="left"/>
      </w:pPr>
      <w:r>
        <w:rPr>
          <w:rFonts w:ascii="Times New Roman" w:hAnsi="Times New Roman" w:cs="Times New Roman" w:eastAsia="Times New Roman" w:hint="default"/>
        </w:rPr>
        <w:t>4</w:t>
      </w:r>
      <w:r>
        <w:rPr/>
        <w:t>、无形资产减值准备的确认标准和计提方法 </w:t>
      </w:r>
      <w:r>
        <w:rPr>
          <w:spacing w:val="-2"/>
        </w:rPr>
        <w:t>本公司对商标等受益年限不确定的无形资产，每年末均需进行减值测试，估计其可收回金额，按其可收回金额低于账面</w:t>
      </w:r>
    </w:p>
    <w:p>
      <w:pPr>
        <w:pStyle w:val="BodyText"/>
        <w:spacing w:line="357" w:lineRule="auto" w:before="4"/>
        <w:ind w:left="514" w:right="43" w:hanging="360"/>
        <w:jc w:val="left"/>
      </w:pPr>
      <w:r>
        <w:rPr/>
        <w:t>价值的差额计提无形资产减值准备，确认资产减值损失。 </w:t>
      </w:r>
      <w:r>
        <w:rPr>
          <w:spacing w:val="-2"/>
        </w:rPr>
        <w:t>对其他无形资产，期末进行检查，当存在下述减值迹象时估计其可收回金额，按其可收回金额低于账面价值的差额计提</w:t>
      </w:r>
    </w:p>
    <w:p>
      <w:pPr>
        <w:pStyle w:val="BodyText"/>
        <w:spacing w:line="225" w:lineRule="exact"/>
        <w:ind w:left="154" w:right="43"/>
        <w:jc w:val="left"/>
      </w:pPr>
      <w:r>
        <w:rPr/>
        <w:t>无形资产减值准备，确认资产减值损失：</w:t>
      </w:r>
    </w:p>
    <w:p>
      <w:pPr>
        <w:pStyle w:val="BodyText"/>
        <w:spacing w:line="240" w:lineRule="auto" w:before="116"/>
        <w:ind w:left="513" w:right="43"/>
        <w:jc w:val="left"/>
      </w:pPr>
      <w:r>
        <w:rPr/>
        <w:t>（</w:t>
      </w:r>
      <w:r>
        <w:rPr>
          <w:rFonts w:ascii="Times New Roman" w:hAnsi="Times New Roman" w:cs="Times New Roman" w:eastAsia="Times New Roman" w:hint="default"/>
        </w:rPr>
        <w:t>1</w:t>
      </w:r>
      <w:r>
        <w:rPr/>
        <w:t>）已被其他新技术所代替，使其为本公司创造经济利益的能力受到重大不利影响；</w:t>
      </w:r>
    </w:p>
    <w:p>
      <w:pPr>
        <w:pStyle w:val="BodyText"/>
        <w:spacing w:line="240" w:lineRule="auto" w:before="102"/>
        <w:ind w:left="513" w:right="43"/>
        <w:jc w:val="left"/>
      </w:pPr>
      <w:r>
        <w:rPr/>
        <w:t>（</w:t>
      </w:r>
      <w:r>
        <w:rPr>
          <w:rFonts w:ascii="Times New Roman" w:hAnsi="Times New Roman" w:cs="Times New Roman" w:eastAsia="Times New Roman" w:hint="default"/>
        </w:rPr>
        <w:t>2</w:t>
      </w:r>
      <w:r>
        <w:rPr/>
        <w:t>）市价在当期大幅下跌，在剩余摊销年限内预期不会恢复；</w:t>
      </w:r>
    </w:p>
    <w:p>
      <w:pPr>
        <w:pStyle w:val="BodyText"/>
        <w:spacing w:line="240" w:lineRule="auto" w:before="103"/>
        <w:ind w:left="514" w:right="43"/>
        <w:jc w:val="left"/>
      </w:pPr>
      <w:r>
        <w:rPr/>
        <w:t>（</w:t>
      </w:r>
      <w:r>
        <w:rPr>
          <w:rFonts w:ascii="Times New Roman" w:hAnsi="Times New Roman" w:cs="Times New Roman" w:eastAsia="Times New Roman" w:hint="default"/>
        </w:rPr>
        <w:t>3</w:t>
      </w:r>
      <w:r>
        <w:rPr/>
        <w:t>）已超过法律保护期限，但仍然具有部分使用价值；</w:t>
      </w:r>
    </w:p>
    <w:p>
      <w:pPr>
        <w:pStyle w:val="BodyText"/>
        <w:spacing w:line="338" w:lineRule="auto" w:before="102"/>
        <w:ind w:left="514" w:right="4772"/>
        <w:jc w:val="left"/>
      </w:pPr>
      <w:r>
        <w:rPr/>
        <w:t>（</w:t>
      </w:r>
      <w:r>
        <w:rPr>
          <w:rFonts w:ascii="Times New Roman" w:hAnsi="Times New Roman" w:cs="Times New Roman" w:eastAsia="Times New Roman" w:hint="default"/>
        </w:rPr>
        <w:t>4</w:t>
      </w:r>
      <w:r>
        <w:rPr/>
        <w:t>）其他足以证明实际上已经发生减值的情形。 无形资产减值损失一经确认，在以后的会计期间不再转回。</w:t>
      </w:r>
    </w:p>
    <w:p>
      <w:pPr>
        <w:spacing w:line="240" w:lineRule="auto" w:before="2"/>
        <w:rPr>
          <w:rFonts w:ascii="宋体" w:hAnsi="宋体" w:cs="宋体" w:eastAsia="宋体" w:hint="default"/>
          <w:sz w:val="21"/>
          <w:szCs w:val="21"/>
        </w:rPr>
      </w:pPr>
    </w:p>
    <w:p>
      <w:pPr>
        <w:pStyle w:val="Heading3"/>
        <w:spacing w:line="240" w:lineRule="auto"/>
        <w:ind w:right="43"/>
        <w:jc w:val="left"/>
        <w:rPr>
          <w:b w:val="0"/>
          <w:bCs w:val="0"/>
        </w:rPr>
      </w:pPr>
      <w:bookmarkStart w:name="（2）内部研究开发支出会计政策" w:id="151"/>
      <w:bookmarkEnd w:id="15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43"/>
        <w:jc w:val="left"/>
      </w:pPr>
      <w:r>
        <w:rPr/>
        <w:t>本公司对内部研究开发无形资产的计量原则和会计处理如下：</w:t>
      </w:r>
    </w:p>
    <w:p>
      <w:pPr>
        <w:pStyle w:val="BodyText"/>
        <w:spacing w:line="309" w:lineRule="auto" w:before="116"/>
        <w:ind w:left="154" w:right="191" w:firstLine="360"/>
        <w:jc w:val="both"/>
      </w:pPr>
      <w:r>
        <w:rPr/>
        <w:t>（</w:t>
      </w:r>
      <w:r>
        <w:rPr>
          <w:rFonts w:ascii="Times New Roman" w:hAnsi="Times New Roman" w:cs="Times New Roman" w:eastAsia="Times New Roman" w:hint="default"/>
        </w:rPr>
        <w:t>1</w:t>
      </w:r>
      <w:r>
        <w:rPr/>
        <w:t>）本公司将企业内部研究开发项目的支出区分为研究阶段支出和开发阶段支出，研究阶段支出是指为获取并理解新 </w:t>
      </w:r>
      <w:r>
        <w:rPr>
          <w:spacing w:val="-2"/>
        </w:rPr>
        <w:t>的科学或技术知识而进行的独创性的有计划调查阶段而发生的支出；开发阶段支出是指在进行商业性生产或使用前，将研究</w:t>
      </w:r>
      <w:r>
        <w:rPr>
          <w:spacing w:val="-64"/>
        </w:rPr>
        <w:t> </w:t>
      </w:r>
      <w:r>
        <w:rPr>
          <w:spacing w:val="-64"/>
        </w:rPr>
      </w:r>
      <w:r>
        <w:rPr/>
        <w:t>成果或其他知识应用于某项计划或设计，以生产出新的或具有实质性改进的材料、装置、产品等阶段而发生的支出。</w:t>
      </w:r>
    </w:p>
    <w:p>
      <w:pPr>
        <w:pStyle w:val="BodyText"/>
        <w:spacing w:line="302" w:lineRule="auto" w:before="62"/>
        <w:ind w:left="154" w:right="101" w:firstLine="360"/>
        <w:jc w:val="both"/>
      </w:pPr>
      <w:r>
        <w:rPr>
          <w:spacing w:val="-2"/>
        </w:rPr>
        <w:t>（</w:t>
      </w:r>
      <w:r>
        <w:rPr>
          <w:rFonts w:ascii="Times New Roman" w:hAnsi="Times New Roman" w:cs="Times New Roman" w:eastAsia="Times New Roman" w:hint="default"/>
          <w:spacing w:val="-2"/>
        </w:rPr>
        <w:t>2</w:t>
      </w:r>
      <w:r>
        <w:rPr>
          <w:spacing w:val="-2"/>
        </w:rPr>
        <w:t>）本公司对研究阶段的支出，于发生时计入当期损益；对开发阶段的支出，在同时满足下列条件时确认为无形资产，</w:t>
      </w:r>
      <w:r>
        <w:rPr/>
        <w:t> 不同时满足下列条件的确认为损益：</w:t>
      </w:r>
    </w:p>
    <w:p>
      <w:pPr>
        <w:pStyle w:val="BodyText"/>
        <w:spacing w:line="240" w:lineRule="auto" w:before="69"/>
        <w:ind w:left="514" w:right="43"/>
        <w:jc w:val="left"/>
      </w:pPr>
      <w:r>
        <w:rPr/>
        <w:t>①完成该无形资产以使其能够使用或出售在技术上具有可行性；</w:t>
      </w:r>
    </w:p>
    <w:p>
      <w:pPr>
        <w:pStyle w:val="BodyText"/>
        <w:spacing w:line="240" w:lineRule="auto" w:before="117"/>
        <w:ind w:left="514" w:right="43"/>
        <w:jc w:val="left"/>
      </w:pPr>
      <w:r>
        <w:rPr/>
        <w:t>②具有完成该无形资产并使用或出售的意图；</w:t>
      </w:r>
    </w:p>
    <w:p>
      <w:pPr>
        <w:pStyle w:val="BodyText"/>
        <w:spacing w:line="319" w:lineRule="auto" w:before="115"/>
        <w:ind w:left="154" w:right="191" w:firstLine="360"/>
        <w:jc w:val="both"/>
      </w:pPr>
      <w:r>
        <w:rPr>
          <w:spacing w:val="-2"/>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56"/>
        <w:ind w:left="514" w:right="43"/>
        <w:jc w:val="left"/>
      </w:pPr>
      <w:r>
        <w:rPr/>
        <w:t>④有足够的技术、财务资源和其他资源支持，以完成该无形资产的开发，并有能力使用或出售该无形资产；</w:t>
      </w:r>
    </w:p>
    <w:p>
      <w:pPr>
        <w:pStyle w:val="BodyText"/>
        <w:spacing w:line="240" w:lineRule="auto" w:before="117"/>
        <w:ind w:left="513" w:right="43"/>
        <w:jc w:val="left"/>
      </w:pPr>
      <w:r>
        <w:rPr/>
        <w:t>⑤归属于该无形资产开发阶段的支出能够可靠地计量。</w:t>
      </w:r>
    </w:p>
    <w:p>
      <w:pPr>
        <w:spacing w:line="240" w:lineRule="auto" w:before="10"/>
        <w:rPr>
          <w:rFonts w:ascii="宋体" w:hAnsi="宋体" w:cs="宋体" w:eastAsia="宋体" w:hint="default"/>
          <w:sz w:val="26"/>
          <w:szCs w:val="26"/>
        </w:rPr>
      </w:pPr>
    </w:p>
    <w:p>
      <w:pPr>
        <w:pStyle w:val="Heading3"/>
        <w:spacing w:line="240" w:lineRule="auto"/>
        <w:ind w:right="43"/>
        <w:jc w:val="left"/>
        <w:rPr>
          <w:b w:val="0"/>
          <w:bCs w:val="0"/>
        </w:rPr>
      </w:pPr>
      <w:bookmarkStart w:name="22、长期资产减值" w:id="152"/>
      <w:bookmarkEnd w:id="152"/>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left="154" w:right="190" w:firstLine="360"/>
        <w:jc w:val="both"/>
      </w:pPr>
      <w:r>
        <w:rPr>
          <w:rFonts w:ascii="Times New Roman" w:hAnsi="Times New Roman" w:cs="Times New Roman" w:eastAsia="Times New Roman" w:hint="default"/>
        </w:rPr>
        <w:t>1</w:t>
      </w:r>
      <w:r>
        <w:rPr/>
        <w:t>、长期股权投资的减值测试方法及减值准备计提方法：本公司于期末对长期股权投资的账面价值逐项进行检查，如果 </w:t>
      </w:r>
      <w:r>
        <w:rPr>
          <w:spacing w:val="-2"/>
        </w:rPr>
        <w:t>由于市价持续下跌或被投资单位经营状况发生变化等原因导致长期股权投资的可收回金额低于其账面价值，并且这种降低的</w:t>
      </w:r>
      <w:r>
        <w:rPr>
          <w:spacing w:val="-64"/>
        </w:rPr>
        <w:t> </w:t>
      </w:r>
      <w:r>
        <w:rPr>
          <w:spacing w:val="-64"/>
        </w:rPr>
      </w:r>
      <w:r>
        <w:rPr/>
        <w:t>价值在可预计的未来期间内不可能恢复时，按单项长期股权投资账面价值高于可收回金额的差额计提长期股权投资减值准</w:t>
      </w:r>
      <w:r>
        <w:rPr>
          <w:spacing w:val="-3"/>
        </w:rPr>
        <w:t> </w:t>
      </w:r>
      <w:r>
        <w:rPr>
          <w:spacing w:val="-3"/>
        </w:rPr>
      </w:r>
      <w:r>
        <w:rPr>
          <w:spacing w:val="-2"/>
        </w:rPr>
        <w:t>备，确认资产减值损失。除对资产进行处置、出售、对外投资等情况外，长期股权投资减值损失一经确认，在以后的会计期</w:t>
      </w:r>
      <w:r>
        <w:rPr>
          <w:spacing w:val="-68"/>
        </w:rPr>
        <w:t> </w:t>
      </w:r>
      <w:r>
        <w:rPr>
          <w:spacing w:val="-68"/>
        </w:rPr>
      </w:r>
      <w:r>
        <w:rPr/>
        <w:t>间不予转回。</w:t>
      </w:r>
    </w:p>
    <w:p>
      <w:pPr>
        <w:pStyle w:val="BodyText"/>
        <w:spacing w:line="302" w:lineRule="auto" w:before="59"/>
        <w:ind w:left="154" w:right="191" w:firstLine="360"/>
        <w:jc w:val="both"/>
      </w:pPr>
      <w:r>
        <w:rPr>
          <w:rFonts w:ascii="Times New Roman" w:hAnsi="Times New Roman" w:cs="Times New Roman" w:eastAsia="Times New Roman" w:hint="default"/>
        </w:rPr>
        <w:t>2</w:t>
      </w:r>
      <w:r>
        <w:rPr/>
        <w:t>、投资性房地产减值准备的计提依据：期末按单项资产账面价值大于可收回金额的差额计提投资性房地产减值准备； 投资性房地产减值准备一经确认，在以后的会计期间不再转回。</w:t>
      </w:r>
    </w:p>
    <w:p>
      <w:pPr>
        <w:spacing w:after="0" w:line="302" w:lineRule="auto"/>
        <w:jc w:val="both"/>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38" w:lineRule="auto" w:before="44"/>
        <w:ind w:left="514" w:right="0"/>
        <w:jc w:val="left"/>
      </w:pPr>
      <w:r>
        <w:rPr>
          <w:rFonts w:ascii="Times New Roman" w:hAnsi="Times New Roman" w:cs="Times New Roman" w:eastAsia="Times New Roman" w:hint="default"/>
        </w:rPr>
        <w:t>3</w:t>
      </w:r>
      <w:r>
        <w:rPr/>
        <w:t>、固定资产的减值测试方法、减值准备计提方法： </w:t>
      </w:r>
      <w:r>
        <w:rPr>
          <w:spacing w:val="-2"/>
        </w:rPr>
        <w:t>期末固定资产由于市价持续下跌，或技术陈旧、损坏、长期闲置等原因导致其可收回金额低于其账面价值的，将固定资</w:t>
      </w:r>
    </w:p>
    <w:p>
      <w:pPr>
        <w:pStyle w:val="BodyText"/>
        <w:spacing w:line="319" w:lineRule="auto" w:before="2"/>
        <w:ind w:left="154" w:right="0"/>
        <w:jc w:val="left"/>
      </w:pPr>
      <w:r>
        <w:rPr>
          <w:spacing w:val="-2"/>
        </w:rPr>
        <w:t>产的账面价值减记至可收回金额。对计提了减值准备的固定资产，则在未来期间按扣除减值准备后的账面价值及依据尚可使</w:t>
      </w:r>
      <w:r>
        <w:rPr>
          <w:spacing w:val="-64"/>
        </w:rPr>
        <w:t> </w:t>
      </w:r>
      <w:r>
        <w:rPr>
          <w:spacing w:val="-64"/>
        </w:rPr>
      </w:r>
      <w:r>
        <w:rPr/>
        <w:t>用年限确定折旧额。</w:t>
      </w:r>
    </w:p>
    <w:p>
      <w:pPr>
        <w:pStyle w:val="BodyText"/>
        <w:spacing w:line="319" w:lineRule="auto" w:before="57"/>
        <w:ind w:left="154" w:right="0" w:firstLine="360"/>
        <w:jc w:val="left"/>
      </w:pPr>
      <w:r>
        <w:rPr>
          <w:spacing w:val="-2"/>
        </w:rPr>
        <w:t>符合持有待售条件的固定资产，以账面价值与公允价值减去处置费用孰低的金额列示。公允价值减去处置费用低于原账</w:t>
      </w:r>
      <w:r>
        <w:rPr/>
        <w:t> 面价值的金额，确认为资产减值损失。</w:t>
      </w:r>
    </w:p>
    <w:p>
      <w:pPr>
        <w:pStyle w:val="BodyText"/>
        <w:spacing w:line="240" w:lineRule="auto" w:before="56"/>
        <w:ind w:left="514" w:right="0"/>
        <w:jc w:val="left"/>
      </w:pPr>
      <w:r>
        <w:rPr/>
        <w:t>固定资产减值损失一经确认，在以后的会计期间不再转回。</w:t>
      </w:r>
    </w:p>
    <w:p>
      <w:pPr>
        <w:pStyle w:val="BodyText"/>
        <w:spacing w:line="338" w:lineRule="auto" w:before="116"/>
        <w:ind w:left="514" w:right="0"/>
        <w:jc w:val="left"/>
      </w:pPr>
      <w:r>
        <w:rPr>
          <w:rFonts w:ascii="Times New Roman" w:hAnsi="Times New Roman" w:cs="Times New Roman" w:eastAsia="Times New Roman" w:hint="default"/>
        </w:rPr>
        <w:t>4</w:t>
      </w:r>
      <w:r>
        <w:rPr/>
        <w:t>、在建工程减值准备的确认标准和计提方法 </w:t>
      </w:r>
      <w:r>
        <w:rPr>
          <w:spacing w:val="-2"/>
        </w:rPr>
        <w:t>本公司于期末对在建工程进行检查，如发现存在下列情况，则计算在建工程的可收回金额，以确定资产是否已经发生减</w:t>
      </w:r>
    </w:p>
    <w:p>
      <w:pPr>
        <w:pStyle w:val="BodyText"/>
        <w:spacing w:line="319" w:lineRule="auto" w:before="2"/>
        <w:ind w:left="154" w:right="0"/>
        <w:jc w:val="left"/>
      </w:pPr>
      <w:r>
        <w:rPr>
          <w:spacing w:val="-2"/>
        </w:rPr>
        <w:t>值。对于可收回金额低于其账面价值的在建工程，按该资产可收回金额低于其账面价值的差额计提减值准备，确认资产减值</w:t>
      </w:r>
      <w:r>
        <w:rPr>
          <w:spacing w:val="-66"/>
        </w:rPr>
        <w:t> </w:t>
      </w:r>
      <w:r>
        <w:rPr>
          <w:spacing w:val="-66"/>
        </w:rPr>
      </w:r>
      <w:r>
        <w:rPr/>
        <w:t>损失。</w:t>
      </w:r>
    </w:p>
    <w:p>
      <w:pPr>
        <w:pStyle w:val="BodyText"/>
        <w:spacing w:line="240" w:lineRule="auto" w:before="56"/>
        <w:ind w:left="604" w:right="0"/>
        <w:jc w:val="left"/>
      </w:pPr>
      <w:r>
        <w:rPr/>
        <w:t>（</w:t>
      </w:r>
      <w:r>
        <w:rPr>
          <w:rFonts w:ascii="宋体" w:hAnsi="宋体" w:cs="宋体" w:eastAsia="宋体" w:hint="default"/>
        </w:rPr>
        <w:t>1</w:t>
      </w:r>
      <w:r>
        <w:rPr/>
        <w:t>）长期停建并且预计未来三年内不会重新开工的在建工程；</w:t>
      </w:r>
    </w:p>
    <w:p>
      <w:pPr>
        <w:pStyle w:val="BodyText"/>
        <w:spacing w:line="240" w:lineRule="auto" w:before="116"/>
        <w:ind w:left="514" w:right="0"/>
        <w:jc w:val="left"/>
      </w:pPr>
      <w:r>
        <w:rPr/>
        <w:t>（</w:t>
      </w:r>
      <w:r>
        <w:rPr>
          <w:rFonts w:ascii="Times New Roman" w:hAnsi="Times New Roman" w:cs="Times New Roman" w:eastAsia="Times New Roman" w:hint="default"/>
        </w:rPr>
        <w:t>2</w:t>
      </w:r>
      <w:r>
        <w:rPr/>
        <w:t>）项目无论在性能上，还是在技术上已经落后，并且给企业带来的经济利益具有很大的不确定性；</w:t>
      </w:r>
    </w:p>
    <w:p>
      <w:pPr>
        <w:pStyle w:val="BodyText"/>
        <w:spacing w:line="348" w:lineRule="auto" w:before="103"/>
        <w:ind w:left="514" w:right="4732"/>
        <w:jc w:val="left"/>
      </w:pPr>
      <w:r>
        <w:rPr/>
        <w:t>（</w:t>
      </w:r>
      <w:r>
        <w:rPr>
          <w:rFonts w:ascii="Times New Roman" w:hAnsi="Times New Roman" w:cs="Times New Roman" w:eastAsia="Times New Roman" w:hint="default"/>
        </w:rPr>
        <w:t>3</w:t>
      </w:r>
      <w:r>
        <w:rPr/>
        <w:t>）其他足以证明在建工程已经发生减值的情形。 在建工程减值损失一经确认，在以后的会计期间不再转回。 </w:t>
      </w:r>
      <w:r>
        <w:rPr>
          <w:rFonts w:ascii="Times New Roman" w:hAnsi="Times New Roman" w:cs="Times New Roman" w:eastAsia="Times New Roman" w:hint="default"/>
        </w:rPr>
        <w:t>5</w:t>
      </w:r>
      <w:r>
        <w:rPr/>
        <w:t>、无形资产减值准备的确认标准和计提方法</w:t>
      </w:r>
    </w:p>
    <w:p>
      <w:pPr>
        <w:pStyle w:val="BodyText"/>
        <w:spacing w:line="319" w:lineRule="auto" w:before="12"/>
        <w:ind w:left="154" w:right="0" w:firstLine="360"/>
        <w:jc w:val="left"/>
      </w:pPr>
      <w:r>
        <w:rPr>
          <w:spacing w:val="-2"/>
        </w:rPr>
        <w:t>本公司对商标等受益年限不确定的无形资产，每年末均需进行减值测试，估计其可收回金额，按其可收回金额低于账面</w:t>
      </w:r>
      <w:r>
        <w:rPr/>
        <w:t> 价值的差额计提无形资产减值准备，确认资产减值损失。</w:t>
      </w:r>
    </w:p>
    <w:p>
      <w:pPr>
        <w:pStyle w:val="BodyText"/>
        <w:spacing w:line="319" w:lineRule="auto" w:before="55"/>
        <w:ind w:left="154" w:right="0" w:firstLine="360"/>
        <w:jc w:val="left"/>
      </w:pPr>
      <w:r>
        <w:rPr>
          <w:spacing w:val="-2"/>
        </w:rPr>
        <w:t>对其他无形资产，期末进行检查，当存在下述减值迹象时估计其可收回金额，按其可收回金额低于账面价值的差额计提</w:t>
      </w:r>
      <w:r>
        <w:rPr/>
        <w:t> 无形资产减值准备，确认资产减值损失：</w:t>
      </w:r>
    </w:p>
    <w:p>
      <w:pPr>
        <w:pStyle w:val="BodyText"/>
        <w:spacing w:line="240" w:lineRule="auto" w:before="57"/>
        <w:ind w:left="514" w:right="0"/>
        <w:jc w:val="left"/>
      </w:pPr>
      <w:r>
        <w:rPr/>
        <w:t>（</w:t>
      </w:r>
      <w:r>
        <w:rPr>
          <w:rFonts w:ascii="Times New Roman" w:hAnsi="Times New Roman" w:cs="Times New Roman" w:eastAsia="Times New Roman" w:hint="default"/>
        </w:rPr>
        <w:t>1</w:t>
      </w:r>
      <w:r>
        <w:rPr/>
        <w:t>）已被其他新技术所代替，使其为本公司创造经济利益的能力受到重大不利影响；</w:t>
      </w:r>
    </w:p>
    <w:p>
      <w:pPr>
        <w:pStyle w:val="BodyText"/>
        <w:spacing w:line="240" w:lineRule="auto" w:before="103"/>
        <w:ind w:left="513" w:right="0"/>
        <w:jc w:val="left"/>
      </w:pPr>
      <w:r>
        <w:rPr/>
        <w:t>（</w:t>
      </w:r>
      <w:r>
        <w:rPr>
          <w:rFonts w:ascii="Times New Roman" w:hAnsi="Times New Roman" w:cs="Times New Roman" w:eastAsia="Times New Roman" w:hint="default"/>
        </w:rPr>
        <w:t>2</w:t>
      </w:r>
      <w:r>
        <w:rPr/>
        <w:t>）市价在当期大幅下跌，在剩余摊销年限内预期不会恢复；</w:t>
      </w:r>
    </w:p>
    <w:p>
      <w:pPr>
        <w:pStyle w:val="BodyText"/>
        <w:spacing w:line="240" w:lineRule="auto" w:before="102"/>
        <w:ind w:left="514" w:right="0"/>
        <w:jc w:val="left"/>
      </w:pPr>
      <w:r>
        <w:rPr/>
        <w:t>（</w:t>
      </w:r>
      <w:r>
        <w:rPr>
          <w:rFonts w:ascii="Times New Roman" w:hAnsi="Times New Roman" w:cs="Times New Roman" w:eastAsia="Times New Roman" w:hint="default"/>
        </w:rPr>
        <w:t>3</w:t>
      </w:r>
      <w:r>
        <w:rPr/>
        <w:t>）已超过法律保护期限，但仍然具有部分使用价值；</w:t>
      </w:r>
    </w:p>
    <w:p>
      <w:pPr>
        <w:pStyle w:val="BodyText"/>
        <w:spacing w:line="340" w:lineRule="auto" w:before="102"/>
        <w:ind w:left="514" w:right="4732"/>
        <w:jc w:val="left"/>
      </w:pPr>
      <w:r>
        <w:rPr/>
        <w:t>（</w:t>
      </w:r>
      <w:r>
        <w:rPr>
          <w:rFonts w:ascii="Times New Roman" w:hAnsi="Times New Roman" w:cs="Times New Roman" w:eastAsia="Times New Roman" w:hint="default"/>
        </w:rPr>
        <w:t>4</w:t>
      </w:r>
      <w:r>
        <w:rPr/>
        <w:t>）其他足以证明实际上已经发生减值的情形。 无形资产减值损失一经确认，在以后的会计期间不再转回。</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3、长期待摊费用" w:id="153"/>
      <w:bookmarkEnd w:id="15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54" w:right="150" w:firstLine="360"/>
        <w:jc w:val="both"/>
      </w:pPr>
      <w:r>
        <w:rPr>
          <w:spacing w:val="-1"/>
        </w:rPr>
        <w:t>长期待摊费用核算已经发生，但应由当期及以后各期负担的分摊期限在一年以上</w:t>
      </w:r>
      <w:r>
        <w:rPr>
          <w:rFonts w:ascii="Times New Roman" w:hAnsi="Times New Roman" w:cs="Times New Roman" w:eastAsia="Times New Roman" w:hint="default"/>
          <w:spacing w:val="-1"/>
        </w:rPr>
        <w:t>(</w:t>
      </w:r>
      <w:r>
        <w:rPr>
          <w:spacing w:val="-1"/>
        </w:rPr>
        <w:t>不含一年</w:t>
      </w:r>
      <w:r>
        <w:rPr>
          <w:rFonts w:ascii="Times New Roman" w:hAnsi="Times New Roman" w:cs="Times New Roman" w:eastAsia="Times New Roman" w:hint="default"/>
          <w:spacing w:val="-1"/>
        </w:rPr>
        <w:t>)</w:t>
      </w:r>
      <w:r>
        <w:rPr>
          <w:spacing w:val="-1"/>
        </w:rPr>
        <w:t>的各项费用，本公司对该等</w:t>
      </w:r>
      <w:r>
        <w:rPr/>
        <w:t> </w:t>
      </w:r>
      <w:r>
        <w:rPr>
          <w:spacing w:val="-2"/>
        </w:rPr>
        <w:t>费用采用直线法在其受益期内平均摊销，如果长期待摊费用项目不能使以后会计期间受益，则将尚未摊销的该项目的摊余价</w:t>
      </w:r>
      <w:r>
        <w:rPr>
          <w:spacing w:val="-64"/>
        </w:rPr>
        <w:t> </w:t>
      </w:r>
      <w:r>
        <w:rPr>
          <w:spacing w:val="-64"/>
        </w:rPr>
      </w:r>
      <w:r>
        <w:rPr/>
        <w:t>值全部转入当期损益。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4、职工薪酬" w:id="154"/>
      <w:bookmarkEnd w:id="15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55"/>
      <w:bookmarkEnd w:id="15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在职工为公司提供服务的会计期间，将实际发生的短期薪酬确认为负债，并计入当期损益或相关资产成本。</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离职后福利的会计处理方法" w:id="156"/>
      <w:bookmarkEnd w:id="15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0"/>
        <w:jc w:val="left"/>
      </w:pPr>
      <w:r>
        <w:rPr/>
        <w:t>离职后福利计划分类为设定提存计划和设定受益计划。 </w:t>
      </w:r>
      <w:r>
        <w:rPr>
          <w:spacing w:val="-2"/>
        </w:rPr>
        <w:t>在职工为公司提供服务的会计期间，将根据设定提存计划计算的应缴存金额确认为负债，并计入当期损益或相关资产成</w:t>
      </w:r>
    </w:p>
    <w:p>
      <w:pPr>
        <w:spacing w:after="0" w:line="357"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9" w:lineRule="auto" w:before="44"/>
        <w:ind w:right="151"/>
        <w:jc w:val="both"/>
      </w:pPr>
      <w:r>
        <w:rPr>
          <w:spacing w:val="-2"/>
        </w:rPr>
        <w:t>本。根据设定提存计划，预期不会在职工提供相关服务的年度报告期结束后十二个月内支付全部应缴存金额的，根据资产负</w:t>
      </w:r>
      <w:r>
        <w:rPr>
          <w:spacing w:val="-66"/>
        </w:rPr>
        <w:t> </w:t>
      </w:r>
      <w:r>
        <w:rPr>
          <w:spacing w:val="-66"/>
        </w:rPr>
      </w: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pStyle w:val="BodyText"/>
        <w:spacing w:line="319" w:lineRule="auto" w:before="55"/>
        <w:ind w:right="159" w:firstLine="360"/>
        <w:jc w:val="both"/>
      </w:pPr>
      <w:r>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BodyText"/>
        <w:spacing w:line="319" w:lineRule="auto" w:before="56"/>
        <w:ind w:right="150" w:firstLine="360"/>
        <w:jc w:val="both"/>
      </w:pPr>
      <w:r>
        <w:rPr>
          <w:spacing w:val="-2"/>
        </w:rPr>
        <w:t>设定受益计划存在资产的，将设定受益计划义务现值减去设定受益计划资产公允价值所形成的赤字或盈余确认为一项设</w:t>
      </w:r>
      <w:r>
        <w:rPr/>
        <w:t> </w:t>
      </w: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6"/>
        </w:rPr>
        <w:t> </w:t>
      </w:r>
      <w:r>
        <w:rPr>
          <w:spacing w:val="-66"/>
        </w:rPr>
      </w:r>
      <w:r>
        <w:rPr/>
        <w:t>值。</w:t>
      </w:r>
    </w:p>
    <w:p>
      <w:pPr>
        <w:pStyle w:val="BodyText"/>
        <w:spacing w:line="319" w:lineRule="auto" w:before="55"/>
        <w:ind w:left="154" w:right="151"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6"/>
        </w:rPr>
        <w:t> </w:t>
      </w:r>
      <w:r>
        <w:rPr>
          <w:spacing w:val="-66"/>
        </w:rPr>
      </w:r>
      <w:r>
        <w:rPr/>
        <w:t>回至损益，可以在权益范围内转移。</w:t>
      </w:r>
    </w:p>
    <w:p>
      <w:pPr>
        <w:pStyle w:val="BodyText"/>
        <w:spacing w:line="357" w:lineRule="auto" w:before="56"/>
        <w:ind w:left="513" w:right="0"/>
        <w:jc w:val="left"/>
      </w:pPr>
      <w:r>
        <w:rPr/>
        <w:t>在设定受益计划下，在修改设定受益计划与确认相关重组费用或辞退福利孰早日将过去服务成本确认为当期费用。 </w:t>
      </w:r>
      <w:r>
        <w:rPr>
          <w:spacing w:val="-2"/>
        </w:rPr>
        <w:t>企业在设定受益计划结算时，确认结算利得或损失。该利得或损失是在结算日确定的设定受益计划义务现值与结算价格</w:t>
      </w:r>
    </w:p>
    <w:p>
      <w:pPr>
        <w:pStyle w:val="BodyText"/>
        <w:spacing w:line="225" w:lineRule="exact"/>
        <w:ind w:right="0"/>
        <w:jc w:val="both"/>
      </w:pPr>
      <w:r>
        <w:rPr/>
        <w:t>的差。</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3）辞退福利的会计处理方法" w:id="157"/>
      <w:bookmarkEnd w:id="15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在下列两者孰早日确认辞退福利产生的职工薪酬负债，并计入当期损益：</w:t>
      </w:r>
    </w:p>
    <w:p>
      <w:pPr>
        <w:pStyle w:val="BodyText"/>
        <w:spacing w:line="240" w:lineRule="auto" w:before="116"/>
        <w:ind w:left="513" w:right="0"/>
        <w:jc w:val="left"/>
      </w:pPr>
      <w:r>
        <w:rPr/>
        <w:t>（</w:t>
      </w:r>
      <w:r>
        <w:rPr>
          <w:rFonts w:ascii="Times New Roman" w:hAnsi="Times New Roman" w:cs="Times New Roman" w:eastAsia="Times New Roman" w:hint="default"/>
        </w:rPr>
        <w:t>1</w:t>
      </w:r>
      <w:r>
        <w:rPr/>
        <w:t>）企业不能单方面撤回因解除劳动关系计划或裁减建议所提供的辞退福利时；</w:t>
      </w:r>
    </w:p>
    <w:p>
      <w:pPr>
        <w:pStyle w:val="BodyText"/>
        <w:spacing w:line="338" w:lineRule="auto" w:before="102"/>
        <w:ind w:left="513" w:right="0"/>
        <w:jc w:val="left"/>
      </w:pPr>
      <w:r>
        <w:rPr/>
        <w:t>（</w:t>
      </w:r>
      <w:r>
        <w:rPr>
          <w:rFonts w:ascii="Times New Roman" w:hAnsi="Times New Roman" w:cs="Times New Roman" w:eastAsia="Times New Roman" w:hint="default"/>
        </w:rPr>
        <w:t>2</w:t>
      </w:r>
      <w:r>
        <w:rPr/>
        <w:t>）企业确认与涉及支付辞退福利的重组相关的成本或费用时。 </w:t>
      </w:r>
      <w:r>
        <w:rPr>
          <w:spacing w:val="-2"/>
        </w:rPr>
        <w:t>辞退福利预期在其确认的年度报告期结束后十二个月内完全支付的，适用短期薪酬的相关规定；辞退福利预期在年度报</w:t>
      </w:r>
    </w:p>
    <w:p>
      <w:pPr>
        <w:pStyle w:val="BodyText"/>
        <w:spacing w:line="240" w:lineRule="auto" w:before="4"/>
        <w:ind w:right="0"/>
        <w:jc w:val="both"/>
      </w:pPr>
      <w:r>
        <w:rPr/>
        <w:t>告期结束后十二个月内不能完全支付的，适用其他长期职工福利的有关规定。</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4）其他长期职工福利的会计处理方法" w:id="158"/>
      <w:bookmarkEnd w:id="15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50" w:firstLine="360"/>
        <w:jc w:val="both"/>
      </w:pPr>
      <w:r>
        <w:rPr/>
        <w:t>其他长期职工福利，符合设定提存计划条件的，根据上述</w:t>
      </w:r>
      <w:r>
        <w:rPr>
          <w:rFonts w:ascii="Times New Roman" w:hAnsi="Times New Roman" w:cs="Times New Roman" w:eastAsia="Times New Roman" w:hint="default"/>
        </w:rPr>
        <w:t>2</w:t>
      </w:r>
      <w:r>
        <w:rPr/>
        <w:t>、处理。不符合设定提存计划的，适用关于设定受益计划的 </w:t>
      </w:r>
      <w:r>
        <w:rPr>
          <w:spacing w:val="-2"/>
        </w:rPr>
        <w:t>有关规定，确认和计量其他长期职工福利净负债或净资产。在报告期末，将其他长期职工福利中的服务成本、净负债或净资</w:t>
      </w:r>
      <w:r>
        <w:rPr>
          <w:spacing w:val="-66"/>
        </w:rPr>
        <w:t> </w:t>
      </w:r>
      <w:r>
        <w:rPr>
          <w:spacing w:val="-66"/>
        </w:rPr>
      </w:r>
      <w:r>
        <w:rPr/>
        <w:t>产的利息净额、重新计量其他长期职工福利净负债或净资产所产生的变动的总净额计入当期损益或相关资产成本。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left="153" w:right="0"/>
        <w:jc w:val="both"/>
        <w:rPr>
          <w:b w:val="0"/>
          <w:bCs w:val="0"/>
        </w:rPr>
      </w:pPr>
      <w:bookmarkStart w:name="25、预计负债" w:id="159"/>
      <w:bookmarkEnd w:id="15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51" w:firstLine="360"/>
        <w:jc w:val="both"/>
      </w:pPr>
      <w:r>
        <w:rPr>
          <w:spacing w:val="-2"/>
        </w:rPr>
        <w:t>因产品质量保证、对外提供担保、已贴现商业承兑汇票、未决诉讼等事项形成的现时义务，其履行很可能导致经济利益</w:t>
      </w:r>
      <w:r>
        <w:rPr/>
        <w:t> 的流出，在该义务的金额能够可靠计量时，确认为预计负债。对于未来经营亏损，不确认预计负债。</w:t>
      </w:r>
    </w:p>
    <w:p>
      <w:pPr>
        <w:pStyle w:val="BodyText"/>
        <w:spacing w:line="319" w:lineRule="auto" w:before="55"/>
        <w:ind w:right="15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6"/>
        </w:rPr>
        <w:t> </w:t>
      </w:r>
      <w:r>
        <w:rPr>
          <w:spacing w:val="-66"/>
        </w:rPr>
      </w:r>
      <w:r>
        <w:rPr/>
        <w:t>进行的折现还原而导致的预计负债账面价值的增加金额，确认为利息费用。</w:t>
      </w:r>
    </w:p>
    <w:p>
      <w:pPr>
        <w:pStyle w:val="BodyText"/>
        <w:spacing w:line="240" w:lineRule="auto" w:before="58"/>
        <w:ind w:left="513" w:right="0"/>
        <w:jc w:val="left"/>
      </w:pPr>
      <w:r>
        <w:rPr/>
        <w:t>于资产负债表日，对预计负债的账面价值进行复核并作适当调整，以反映当前的最佳估计数。</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26、股份支付" w:id="160"/>
      <w:bookmarkEnd w:id="16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3832"/>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spacing w:after="0" w:line="338"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338" w:lineRule="auto" w:before="44"/>
        <w:ind w:left="513" w:right="0"/>
        <w:jc w:val="left"/>
      </w:pPr>
      <w:r>
        <w:rPr/>
        <w:t>（</w:t>
      </w:r>
      <w:r>
        <w:rPr>
          <w:rFonts w:ascii="Times New Roman" w:hAnsi="Times New Roman" w:cs="Times New Roman" w:eastAsia="Times New Roman" w:hint="default"/>
        </w:rPr>
        <w:t>2</w:t>
      </w:r>
      <w:r>
        <w:rPr/>
        <w:t>）权益工具公允价值的确定方法 </w:t>
      </w:r>
      <w:r>
        <w:rPr>
          <w:spacing w:val="-2"/>
        </w:rPr>
        <w:t>对于授予的存在活跃市场的期权等权益工具，按照活跃市场中的报价确定其公允价值。对于授予的不存在活跃市场的期</w:t>
      </w:r>
    </w:p>
    <w:p>
      <w:pPr>
        <w:pStyle w:val="BodyText"/>
        <w:spacing w:line="309" w:lineRule="auto" w:before="2"/>
        <w:ind w:right="149"/>
        <w:jc w:val="both"/>
      </w:pPr>
      <w:r>
        <w:rPr>
          <w:spacing w:val="-2"/>
        </w:rPr>
        <w:t>权等权益工具，采用期权定价模型等确定其公允价值，选用的期权定价模型至少考虑以下因素：①期权的行权价格；②期权</w:t>
      </w:r>
      <w:r>
        <w:rPr>
          <w:spacing w:val="-66"/>
        </w:rPr>
        <w:t> </w:t>
      </w:r>
      <w:r>
        <w:rPr>
          <w:spacing w:val="-66"/>
        </w:rPr>
      </w:r>
      <w:r>
        <w:rPr/>
        <w:t>期限；③基础股份的现行价格；④股价的预计波动率；⑤股份的预计股利；⑥期权期限内的无风险利率。（</w:t>
      </w:r>
      <w:r>
        <w:rPr>
          <w:rFonts w:ascii="Times New Roman" w:hAnsi="Times New Roman" w:cs="Times New Roman" w:eastAsia="Times New Roman" w:hint="default"/>
        </w:rPr>
        <w:t>3</w:t>
      </w:r>
      <w:r>
        <w:rPr/>
        <w:t>）确认可行权</w:t>
      </w:r>
      <w:r>
        <w:rPr>
          <w:spacing w:val="-81"/>
        </w:rPr>
        <w:t> </w:t>
      </w:r>
      <w:r>
        <w:rPr>
          <w:spacing w:val="-81"/>
        </w:rPr>
      </w:r>
      <w:r>
        <w:rPr/>
        <w:t>权益工具最佳估计的依据</w:t>
      </w:r>
    </w:p>
    <w:p>
      <w:pPr>
        <w:pStyle w:val="BodyText"/>
        <w:spacing w:line="319" w:lineRule="auto" w:before="64"/>
        <w:ind w:right="0" w:firstLine="360"/>
        <w:jc w:val="left"/>
      </w:pPr>
      <w:r>
        <w:rPr>
          <w:spacing w:val="-2"/>
        </w:rPr>
        <w:t>在等待期内的每个资产负债表日，以根据最新取得的可行权职工人数变动等后续信息对可行权权益工具数量做出最佳估</w:t>
      </w:r>
      <w:r>
        <w:rPr/>
        <w:t> 计。</w:t>
      </w:r>
    </w:p>
    <w:p>
      <w:pPr>
        <w:pStyle w:val="BodyText"/>
        <w:spacing w:line="240" w:lineRule="auto" w:before="56"/>
        <w:ind w:left="514" w:right="0"/>
        <w:jc w:val="left"/>
      </w:pPr>
      <w:r>
        <w:rPr/>
        <w:t>（</w:t>
      </w:r>
      <w:r>
        <w:rPr>
          <w:rFonts w:ascii="Times New Roman" w:hAnsi="Times New Roman" w:cs="Times New Roman" w:eastAsia="Times New Roman" w:hint="default"/>
        </w:rPr>
        <w:t>4</w:t>
      </w:r>
      <w:r>
        <w:rPr/>
        <w:t>）实施、修改、终止股份支付计划的相关会计处理</w:t>
      </w:r>
    </w:p>
    <w:p>
      <w:pPr>
        <w:pStyle w:val="BodyText"/>
        <w:spacing w:line="240" w:lineRule="auto" w:before="102"/>
        <w:ind w:left="514" w:right="0"/>
        <w:jc w:val="left"/>
      </w:pPr>
      <w:r>
        <w:rPr/>
        <w:t>①以权益结算的股份支付</w:t>
      </w:r>
    </w:p>
    <w:p>
      <w:pPr>
        <w:pStyle w:val="BodyText"/>
        <w:spacing w:line="309" w:lineRule="auto" w:before="116"/>
        <w:ind w:left="154" w:right="152" w:firstLine="360"/>
        <w:jc w:val="both"/>
      </w:pPr>
      <w:r>
        <w:rPr>
          <w:rFonts w:ascii="Times New Roman" w:hAnsi="Times New Roman" w:cs="Times New Roman" w:eastAsia="Times New Roman" w:hint="default"/>
          <w:spacing w:val="-1"/>
        </w:rPr>
        <w:t>A</w:t>
      </w:r>
      <w:r>
        <w:rPr>
          <w:spacing w:val="-1"/>
        </w:rPr>
        <w:t>、对于换取职工服务的股份支付，本公司以股份支付所授予的权益工具的公允价值计量。在等待期内的每个资产负债</w:t>
      </w:r>
      <w:r>
        <w:rPr/>
        <w:t> </w:t>
      </w:r>
      <w:r>
        <w:rPr>
          <w:spacing w:val="-2"/>
        </w:rPr>
        <w:t>表日，以根据最新取得的可行权职工人数变动等后续信息对可行权权益工具数量做出的最佳估计为基础，按照权益工具在授</w:t>
      </w:r>
      <w:r>
        <w:rPr>
          <w:spacing w:val="-64"/>
        </w:rPr>
        <w:t> </w:t>
      </w:r>
      <w:r>
        <w:rPr>
          <w:spacing w:val="-64"/>
        </w:rPr>
      </w:r>
      <w:r>
        <w:rPr/>
        <w:t>予日的公允价值，将当期取得的服务计入相关资产成本或当期费用，同时计入资本公积中的其他资本公积；</w:t>
      </w:r>
    </w:p>
    <w:p>
      <w:pPr>
        <w:pStyle w:val="BodyText"/>
        <w:spacing w:line="302" w:lineRule="auto" w:before="62"/>
        <w:ind w:left="154" w:right="0" w:firstLine="360"/>
        <w:jc w:val="left"/>
      </w:pPr>
      <w:r>
        <w:rPr>
          <w:rFonts w:ascii="Times New Roman" w:hAnsi="Times New Roman" w:cs="Times New Roman" w:eastAsia="Times New Roman" w:hint="default"/>
          <w:spacing w:val="-1"/>
        </w:rPr>
        <w:t>B</w:t>
      </w:r>
      <w:r>
        <w:rPr>
          <w:spacing w:val="-1"/>
        </w:rPr>
        <w:t>、对于授予后立即可行权的换取职工提供服务的权益结算的股份支付，在授予日按照权益工具的公允价值，将取得的</w:t>
      </w:r>
      <w:r>
        <w:rPr/>
        <w:t> 服务计入相关资产成本或当期费用，同时计入资本公积中的股本溢价。</w:t>
      </w:r>
    </w:p>
    <w:p>
      <w:pPr>
        <w:pStyle w:val="BodyText"/>
        <w:spacing w:line="240" w:lineRule="auto" w:before="69"/>
        <w:ind w:left="514" w:right="0"/>
        <w:jc w:val="left"/>
      </w:pPr>
      <w:r>
        <w:rPr/>
        <w:t>②以现金结算的股份支付</w:t>
      </w:r>
    </w:p>
    <w:p>
      <w:pPr>
        <w:pStyle w:val="BodyText"/>
        <w:spacing w:line="309" w:lineRule="auto" w:before="116"/>
        <w:ind w:left="154" w:right="152" w:firstLine="360"/>
        <w:jc w:val="both"/>
      </w:pPr>
      <w:r>
        <w:rPr>
          <w:rFonts w:ascii="Times New Roman" w:hAnsi="Times New Roman" w:cs="Times New Roman" w:eastAsia="Times New Roman" w:hint="default"/>
          <w:spacing w:val="-1"/>
        </w:rPr>
        <w:t>A</w:t>
      </w:r>
      <w:r>
        <w:rPr>
          <w:spacing w:val="-1"/>
        </w:rPr>
        <w:t>、本公司在等待期内的每个资产负债表日，以对可行权情况的最佳估计（如根据最新取得的可行权职工人数变动等后</w:t>
      </w:r>
      <w:r>
        <w:rPr/>
        <w:t> </w:t>
      </w:r>
      <w:r>
        <w:rPr>
          <w:spacing w:val="-2"/>
        </w:rPr>
        <w:t>续信息做出）为基础，按照公司承担负债的公允价值，将当期取得的服务计入相关资产成本或当期费用，同时计入负债（应</w:t>
      </w:r>
      <w:r>
        <w:rPr>
          <w:spacing w:val="-66"/>
        </w:rPr>
        <w:t> </w:t>
      </w:r>
      <w:r>
        <w:rPr>
          <w:spacing w:val="-66"/>
        </w:rPr>
      </w:r>
      <w:r>
        <w:rPr/>
        <w:t>付职工薪酬），并在结算前的每个资产负债表日和结算日对负债的公允价值重新计量，将其变动计入损益；</w:t>
      </w:r>
    </w:p>
    <w:p>
      <w:pPr>
        <w:pStyle w:val="BodyText"/>
        <w:spacing w:line="309" w:lineRule="auto" w:before="62"/>
        <w:ind w:left="154" w:right="150" w:firstLine="360"/>
        <w:jc w:val="both"/>
      </w:pPr>
      <w:r>
        <w:rPr>
          <w:rFonts w:ascii="Times New Roman" w:hAnsi="Times New Roman" w:cs="Times New Roman" w:eastAsia="Times New Roman" w:hint="default"/>
          <w:spacing w:val="-1"/>
        </w:rPr>
        <w:t>B</w:t>
      </w:r>
      <w:r>
        <w:rPr>
          <w:spacing w:val="-1"/>
        </w:rPr>
        <w:t>、对于授予后立即可行权的现金结算的股份支付，在授予日按照公司承担负债的公允价值计入相关资产成本或当期费</w:t>
      </w:r>
      <w:r>
        <w:rPr/>
        <w:t> </w:t>
      </w:r>
      <w:r>
        <w:rPr>
          <w:spacing w:val="-2"/>
        </w:rPr>
        <w:t>用，同时计入负债（应付职工薪酬），并在结算前的每个资产负债表日和结算日对负债的公允价值重新计量，将其变动计入</w:t>
      </w:r>
      <w:r>
        <w:rPr>
          <w:spacing w:val="-66"/>
        </w:rPr>
        <w:t> </w:t>
      </w:r>
      <w:r>
        <w:rPr>
          <w:spacing w:val="-66"/>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7、优先股、永续债等其他金融工具" w:id="161"/>
      <w:bookmarkEnd w:id="16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28、收入" w:id="162"/>
      <w:bookmarkEnd w:id="162"/>
      <w:r>
        <w:rPr>
          <w:b w:val="0"/>
          <w:bCs w:val="0"/>
        </w:rPr>
      </w:r>
      <w:r>
        <w:rPr>
          <w:rFonts w:ascii="Times New Roman" w:hAnsi="Times New Roman" w:cs="Times New Roman" w:eastAsia="Times New Roman" w:hint="default"/>
        </w:rPr>
        <w:t>28</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收入确认原则和计量方法</w:t>
      </w:r>
    </w:p>
    <w:p>
      <w:pPr>
        <w:pStyle w:val="BodyText"/>
        <w:spacing w:line="240" w:lineRule="auto" w:before="116"/>
        <w:ind w:left="514" w:right="0"/>
        <w:jc w:val="left"/>
      </w:pPr>
      <w:r>
        <w:rPr>
          <w:rFonts w:ascii="Times New Roman" w:hAnsi="Times New Roman" w:cs="Times New Roman" w:eastAsia="Times New Roman" w:hint="default"/>
        </w:rPr>
        <w:t>1</w:t>
      </w:r>
      <w:r>
        <w:rPr/>
        <w:t>、本公司在同时满足下列条件时，确认商品销售收入：</w:t>
      </w:r>
    </w:p>
    <w:p>
      <w:pPr>
        <w:pStyle w:val="BodyText"/>
        <w:spacing w:line="240" w:lineRule="auto" w:before="103"/>
        <w:ind w:left="514" w:right="0"/>
        <w:jc w:val="left"/>
      </w:pPr>
      <w:r>
        <w:rPr/>
        <w:t>（</w:t>
      </w:r>
      <w:r>
        <w:rPr>
          <w:rFonts w:ascii="Times New Roman" w:hAnsi="Times New Roman" w:cs="Times New Roman" w:eastAsia="Times New Roman" w:hint="default"/>
        </w:rPr>
        <w:t>1</w:t>
      </w:r>
      <w:r>
        <w:rPr/>
        <w:t>）公司已将商品所有权上的主要风险和报酬转移给购买方；</w:t>
      </w:r>
    </w:p>
    <w:p>
      <w:pPr>
        <w:pStyle w:val="BodyText"/>
        <w:spacing w:line="240" w:lineRule="auto" w:before="102"/>
        <w:ind w:left="514" w:right="0"/>
        <w:jc w:val="left"/>
      </w:pPr>
      <w:r>
        <w:rPr/>
        <w:t>（</w:t>
      </w:r>
      <w:r>
        <w:rPr>
          <w:rFonts w:ascii="Times New Roman" w:hAnsi="Times New Roman" w:cs="Times New Roman" w:eastAsia="Times New Roman" w:hint="default"/>
        </w:rPr>
        <w:t>2</w:t>
      </w:r>
      <w:r>
        <w:rPr/>
        <w:t>）不再保留通常与商品所有权相联系的继续管理权，也没有对已售出的商品实施有效控制；</w:t>
      </w:r>
    </w:p>
    <w:p>
      <w:pPr>
        <w:pStyle w:val="BodyText"/>
        <w:spacing w:line="240" w:lineRule="auto" w:before="102"/>
        <w:ind w:left="513" w:right="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03"/>
        <w:ind w:left="513" w:right="0"/>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102"/>
        <w:ind w:left="513" w:right="0"/>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240" w:lineRule="auto" w:before="102"/>
        <w:ind w:left="514" w:right="0"/>
        <w:jc w:val="left"/>
      </w:pPr>
      <w:r>
        <w:rPr>
          <w:rFonts w:ascii="Times New Roman" w:hAnsi="Times New Roman" w:cs="Times New Roman" w:eastAsia="Times New Roman" w:hint="default"/>
        </w:rPr>
        <w:t>2</w:t>
      </w:r>
      <w:r>
        <w:rPr/>
        <w:t>、本公司对外提供劳务时，按以下方法确定收入：</w:t>
      </w:r>
    </w:p>
    <w:p>
      <w:pPr>
        <w:pStyle w:val="BodyText"/>
        <w:spacing w:line="338" w:lineRule="auto" w:before="103"/>
        <w:ind w:left="513" w:right="863"/>
        <w:jc w:val="left"/>
      </w:pPr>
      <w:r>
        <w:rPr/>
        <w:t>（</w:t>
      </w:r>
      <w:r>
        <w:rPr>
          <w:rFonts w:ascii="Times New Roman" w:hAnsi="Times New Roman" w:cs="Times New Roman" w:eastAsia="Times New Roman" w:hint="default"/>
        </w:rPr>
        <w:t>1</w:t>
      </w:r>
      <w:r>
        <w:rPr/>
        <w:t>）在提供劳务交易的结果能够可靠估计的情况下，于资产负债表日按完工百分比法确认相关的劳务收入； 提供劳务交易的结果能够可靠估计，是指同时满足下列条件：</w:t>
      </w:r>
    </w:p>
    <w:p>
      <w:pPr>
        <w:pStyle w:val="BodyText"/>
        <w:spacing w:line="240" w:lineRule="auto" w:before="42"/>
        <w:ind w:left="514" w:right="0"/>
        <w:jc w:val="left"/>
      </w:pPr>
      <w:r>
        <w:rPr/>
        <w:t>①收入的金额能够可靠地计量；</w:t>
      </w:r>
    </w:p>
    <w:p>
      <w:pPr>
        <w:pStyle w:val="BodyText"/>
        <w:spacing w:line="240" w:lineRule="auto" w:before="117"/>
        <w:ind w:left="514" w:right="0"/>
        <w:jc w:val="left"/>
      </w:pPr>
      <w:r>
        <w:rPr/>
        <w:t>②相关的经济利益很可能流入本公司；</w:t>
      </w:r>
    </w:p>
    <w:p>
      <w:pPr>
        <w:pStyle w:val="BodyText"/>
        <w:spacing w:line="240" w:lineRule="auto" w:before="116"/>
        <w:ind w:left="514" w:right="0"/>
        <w:jc w:val="left"/>
      </w:pPr>
      <w:r>
        <w:rPr/>
        <w:t>③交易的完工进度能够可靠地确定；</w:t>
      </w:r>
    </w:p>
    <w:p>
      <w:pPr>
        <w:pStyle w:val="BodyText"/>
        <w:spacing w:line="240" w:lineRule="auto" w:before="116"/>
        <w:ind w:left="514" w:right="0"/>
        <w:jc w:val="left"/>
      </w:pPr>
      <w:r>
        <w:rPr/>
        <w:t>④交易中已发生和将发生的成本能够可靠地计量。</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513" w:right="43"/>
        <w:jc w:val="left"/>
      </w:pPr>
      <w:r>
        <w:rPr/>
        <w:t>本公司确定提供劳务交易的完工进度时选用下列方法：</w:t>
      </w:r>
    </w:p>
    <w:p>
      <w:pPr>
        <w:pStyle w:val="BodyText"/>
        <w:spacing w:line="240" w:lineRule="auto" w:before="116"/>
        <w:ind w:left="513" w:right="43"/>
        <w:jc w:val="left"/>
      </w:pPr>
      <w:r>
        <w:rPr/>
        <w:t>①已完工作的测量；</w:t>
      </w:r>
    </w:p>
    <w:p>
      <w:pPr>
        <w:pStyle w:val="BodyText"/>
        <w:spacing w:line="240" w:lineRule="auto" w:before="117"/>
        <w:ind w:left="513" w:right="43"/>
        <w:jc w:val="left"/>
      </w:pPr>
      <w:r>
        <w:rPr/>
        <w:t>②已经提供的劳务占应提供劳务总量的比例；</w:t>
      </w:r>
    </w:p>
    <w:p>
      <w:pPr>
        <w:pStyle w:val="BodyText"/>
        <w:spacing w:line="240" w:lineRule="auto" w:before="116"/>
        <w:ind w:left="513" w:right="43"/>
        <w:jc w:val="left"/>
      </w:pPr>
      <w:r>
        <w:rPr/>
        <w:t>③已经发生的成本占估计总成本的比例。</w:t>
      </w:r>
    </w:p>
    <w:p>
      <w:pPr>
        <w:pStyle w:val="BodyText"/>
        <w:spacing w:line="302" w:lineRule="auto" w:before="115"/>
        <w:ind w:left="154" w:right="182" w:firstLine="360"/>
        <w:jc w:val="left"/>
      </w:pPr>
      <w:r>
        <w:rPr/>
        <w:t>（</w:t>
      </w:r>
      <w:r>
        <w:rPr>
          <w:rFonts w:ascii="Times New Roman" w:hAnsi="Times New Roman" w:cs="Times New Roman" w:eastAsia="Times New Roman" w:hint="default"/>
        </w:rPr>
        <w:t>2</w:t>
      </w:r>
      <w:r>
        <w:rPr/>
        <w:t>）在提供劳务交易的结果不能可靠估计的情况下，于资产负债表日按已经发生并预计能够补偿的劳务成本金额确认 收入，并按相同金额结转成本；</w:t>
      </w:r>
    </w:p>
    <w:p>
      <w:pPr>
        <w:pStyle w:val="BodyText"/>
        <w:spacing w:line="240" w:lineRule="auto" w:before="70"/>
        <w:ind w:left="514" w:right="43"/>
        <w:jc w:val="left"/>
      </w:pPr>
      <w:r>
        <w:rPr/>
        <w:t>如预计已经发生的劳务成本不能得到补偿，则将已经发生的劳务成本计入当期损益，不确认提供劳务收入。</w:t>
      </w:r>
    </w:p>
    <w:p>
      <w:pPr>
        <w:pStyle w:val="BodyText"/>
        <w:spacing w:line="302" w:lineRule="auto" w:before="115"/>
        <w:ind w:left="154" w:right="182" w:firstLine="360"/>
        <w:jc w:val="left"/>
      </w:pPr>
      <w:r>
        <w:rPr>
          <w:rFonts w:ascii="Times New Roman" w:hAnsi="Times New Roman" w:cs="Times New Roman" w:eastAsia="Times New Roman" w:hint="default"/>
        </w:rPr>
        <w:t>3</w:t>
      </w:r>
      <w:r>
        <w:rPr/>
        <w:t>、让渡资产使用权：公司预计相关的经济利益很可能流入本公司、收入的金额能够可靠地计量时，按有关合同或协议 规定的收费时间和方法计算确定。</w:t>
      </w:r>
    </w:p>
    <w:p>
      <w:pPr>
        <w:spacing w:line="240" w:lineRule="auto" w:before="2"/>
        <w:rPr>
          <w:rFonts w:ascii="宋体" w:hAnsi="宋体" w:cs="宋体" w:eastAsia="宋体" w:hint="default"/>
          <w:sz w:val="23"/>
          <w:szCs w:val="23"/>
        </w:rPr>
      </w:pPr>
    </w:p>
    <w:p>
      <w:pPr>
        <w:pStyle w:val="Heading3"/>
        <w:spacing w:line="240" w:lineRule="auto"/>
        <w:ind w:right="43"/>
        <w:jc w:val="left"/>
        <w:rPr>
          <w:b w:val="0"/>
          <w:bCs w:val="0"/>
        </w:rPr>
      </w:pPr>
      <w:bookmarkStart w:name="29、政府补助" w:id="163"/>
      <w:bookmarkEnd w:id="16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43"/>
        <w:jc w:val="left"/>
        <w:rPr>
          <w:b w:val="0"/>
          <w:bCs w:val="0"/>
        </w:rPr>
      </w:pPr>
      <w:bookmarkStart w:name="（1）与资产相关的政府补助判断依据及会计处理方法" w:id="164"/>
      <w:bookmarkEnd w:id="16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43"/>
        <w:jc w:val="left"/>
      </w:pPr>
      <w:r>
        <w:rPr/>
        <w:t>与资产相关的政府补助，确认为递延收益，并在相关资产使用寿命内平均分配，计入当期损益。</w:t>
      </w:r>
    </w:p>
    <w:p>
      <w:pPr>
        <w:spacing w:line="240" w:lineRule="auto" w:before="10"/>
        <w:rPr>
          <w:rFonts w:ascii="宋体" w:hAnsi="宋体" w:cs="宋体" w:eastAsia="宋体" w:hint="default"/>
          <w:sz w:val="26"/>
          <w:szCs w:val="26"/>
        </w:rPr>
      </w:pPr>
    </w:p>
    <w:p>
      <w:pPr>
        <w:pStyle w:val="Heading3"/>
        <w:spacing w:line="240" w:lineRule="auto"/>
        <w:ind w:left="153" w:right="43"/>
        <w:jc w:val="left"/>
        <w:rPr>
          <w:b w:val="0"/>
          <w:bCs w:val="0"/>
        </w:rPr>
      </w:pPr>
      <w:bookmarkStart w:name="（2）与收益相关的政府补助判断依据及会计处理方法" w:id="165"/>
      <w:bookmarkEnd w:id="16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43"/>
        <w:jc w:val="left"/>
      </w:pPr>
      <w:r>
        <w:rPr/>
        <w:t>（</w:t>
      </w:r>
      <w:r>
        <w:rPr>
          <w:rFonts w:ascii="Times New Roman" w:hAnsi="Times New Roman" w:cs="Times New Roman" w:eastAsia="Times New Roman" w:hint="default"/>
        </w:rPr>
        <w:t>1</w:t>
      </w:r>
      <w:r>
        <w:rPr/>
        <w:t>）用于补偿公司以后期间的相关费用或损失的，确认为递延收益，并在确认相关费用的期间，计入当期损益。</w:t>
      </w:r>
    </w:p>
    <w:p>
      <w:pPr>
        <w:pStyle w:val="BodyText"/>
        <w:spacing w:line="240" w:lineRule="auto" w:before="103"/>
        <w:ind w:left="513" w:right="43"/>
        <w:jc w:val="left"/>
      </w:pPr>
      <w:r>
        <w:rPr/>
        <w:t>（</w:t>
      </w:r>
      <w:r>
        <w:rPr>
          <w:rFonts w:ascii="Times New Roman" w:hAnsi="Times New Roman" w:cs="Times New Roman" w:eastAsia="Times New Roman" w:hint="default"/>
        </w:rPr>
        <w:t>2</w:t>
      </w:r>
      <w:r>
        <w:rPr/>
        <w:t>）用于补偿公司已发生的相关费用或损失的，直接计入当期损益。</w:t>
      </w:r>
    </w:p>
    <w:p>
      <w:pPr>
        <w:spacing w:line="240" w:lineRule="auto" w:before="9"/>
        <w:rPr>
          <w:rFonts w:ascii="宋体" w:hAnsi="宋体" w:cs="宋体" w:eastAsia="宋体" w:hint="default"/>
          <w:sz w:val="25"/>
          <w:szCs w:val="25"/>
        </w:rPr>
      </w:pPr>
    </w:p>
    <w:p>
      <w:pPr>
        <w:pStyle w:val="Heading3"/>
        <w:spacing w:line="240" w:lineRule="auto"/>
        <w:ind w:left="153" w:right="43"/>
        <w:jc w:val="left"/>
        <w:rPr>
          <w:b w:val="0"/>
          <w:bCs w:val="0"/>
        </w:rPr>
      </w:pPr>
      <w:bookmarkStart w:name="30、递延所得税资产/递延所得税负债" w:id="166"/>
      <w:bookmarkEnd w:id="166"/>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43"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计算确认。对于按照税</w:t>
      </w:r>
      <w:r>
        <w:rPr/>
        <w:t> 法规定能够于以后年度抵减应纳税所得额的可抵扣亏损，视同暂时性差异确认相应的递延所得税资产。</w:t>
      </w:r>
    </w:p>
    <w:p>
      <w:pPr>
        <w:pStyle w:val="BodyText"/>
        <w:spacing w:line="309" w:lineRule="auto" w:before="68"/>
        <w:ind w:right="103" w:firstLine="360"/>
        <w:jc w:val="both"/>
      </w:pPr>
      <w:r>
        <w:rPr>
          <w:spacing w:val="-2"/>
        </w:rPr>
        <w:t>对于商誉的初始确认产生的暂时性差异，不确认相应的递延所得税负债。对于既不影响会计利润也不影响应纳税所得额</w:t>
      </w:r>
      <w:r>
        <w:rPr/>
        <w:t> </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 </w:t>
      </w:r>
      <w:r>
        <w:rPr>
          <w:spacing w:val="-4"/>
        </w:rPr>
        <w:t>延所得税负债。在资产负债表日，递延所得税资产和递延所得税负债按照预期收回该资产或清偿该负债期间的适用税率计量。</w:t>
      </w:r>
    </w:p>
    <w:p>
      <w:pPr>
        <w:pStyle w:val="BodyText"/>
        <w:spacing w:line="319" w:lineRule="auto" w:before="62"/>
        <w:ind w:left="154" w:right="192" w:firstLine="360"/>
        <w:jc w:val="both"/>
      </w:pPr>
      <w:r>
        <w:rPr>
          <w:spacing w:val="-2"/>
        </w:rPr>
        <w:t>递延所得税资产的确认以公司很可能取得用来抵扣可抵扣暂时性差异、可抵扣亏损和税款抵减的应纳税所得额为限。对</w:t>
      </w:r>
      <w:r>
        <w:rPr/>
        <w:t> </w:t>
      </w:r>
      <w:r>
        <w:rPr>
          <w:spacing w:val="-2"/>
        </w:rPr>
        <w:t>子公司及联营企业投资相关的暂时性差异产生的递延所得税资产和递延所得税负债，予以确认。但公司能够控制暂时性差异</w:t>
      </w:r>
      <w:r>
        <w:rPr>
          <w:spacing w:val="-64"/>
        </w:rPr>
        <w:t> </w:t>
      </w:r>
      <w:r>
        <w:rPr>
          <w:spacing w:val="-64"/>
        </w:rPr>
      </w:r>
      <w:r>
        <w:rPr/>
        <w:t>转回的时间且该暂时性差异在可预见的未来很可能不会转回的，不予确认。</w:t>
      </w:r>
    </w:p>
    <w:p>
      <w:pPr>
        <w:spacing w:line="240" w:lineRule="auto" w:before="4"/>
        <w:rPr>
          <w:rFonts w:ascii="宋体" w:hAnsi="宋体" w:cs="宋体" w:eastAsia="宋体" w:hint="default"/>
          <w:sz w:val="22"/>
          <w:szCs w:val="22"/>
        </w:rPr>
      </w:pPr>
    </w:p>
    <w:p>
      <w:pPr>
        <w:pStyle w:val="Heading3"/>
        <w:spacing w:line="240" w:lineRule="auto"/>
        <w:ind w:right="43"/>
        <w:jc w:val="left"/>
        <w:rPr>
          <w:b w:val="0"/>
          <w:bCs w:val="0"/>
        </w:rPr>
      </w:pPr>
      <w:bookmarkStart w:name="31、租赁" w:id="167"/>
      <w:bookmarkEnd w:id="167"/>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43"/>
        <w:jc w:val="left"/>
        <w:rPr>
          <w:b w:val="0"/>
          <w:bCs w:val="0"/>
        </w:rPr>
      </w:pPr>
      <w:bookmarkStart w:name="（1）经营租赁的会计处理方法" w:id="168"/>
      <w:bookmarkEnd w:id="16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43"/>
        <w:jc w:val="left"/>
      </w:pPr>
      <w:r>
        <w:rPr/>
        <w:t>经营租赁的租金在租赁期内的各个期间按直线法计入相关资产成本或当期损益。</w:t>
      </w:r>
    </w:p>
    <w:p>
      <w:pPr>
        <w:spacing w:line="240" w:lineRule="auto" w:before="11"/>
        <w:rPr>
          <w:rFonts w:ascii="宋体" w:hAnsi="宋体" w:cs="宋体" w:eastAsia="宋体" w:hint="default"/>
          <w:sz w:val="26"/>
          <w:szCs w:val="26"/>
        </w:rPr>
      </w:pPr>
    </w:p>
    <w:p>
      <w:pPr>
        <w:pStyle w:val="Heading3"/>
        <w:spacing w:line="240" w:lineRule="auto"/>
        <w:ind w:left="153" w:right="43"/>
        <w:jc w:val="left"/>
        <w:rPr>
          <w:b w:val="0"/>
          <w:bCs w:val="0"/>
        </w:rPr>
      </w:pPr>
      <w:bookmarkStart w:name="（2）融资租赁的会计处理方法" w:id="169"/>
      <w:bookmarkEnd w:id="16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43" w:firstLine="360"/>
        <w:jc w:val="left"/>
      </w:pPr>
      <w:r>
        <w:rPr>
          <w:spacing w:val="-2"/>
        </w:rPr>
        <w:t>在租赁期开始日，公司将租赁开始日租赁资产公允价值与最低租赁付款额现值中较低者作为租入资产的入账价值，将最</w:t>
      </w:r>
      <w:r>
        <w:rPr/>
        <w:t> 低租赁付款额作为长期应付款的入账价值，其差额作为未确认融资费用。</w:t>
      </w:r>
    </w:p>
    <w:p>
      <w:pPr>
        <w:spacing w:after="0" w:line="319"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left="213" w:right="2333"/>
        <w:jc w:val="left"/>
        <w:rPr>
          <w:b w:val="0"/>
          <w:bCs w:val="0"/>
        </w:rPr>
      </w:pPr>
      <w:bookmarkStart w:name="32、其他重要的会计政策和会计估计" w:id="170"/>
      <w:bookmarkEnd w:id="17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3" w:right="2333"/>
        <w:jc w:val="left"/>
      </w:pPr>
      <w:r>
        <w:rPr/>
        <w:t>无</w:t>
      </w:r>
    </w:p>
    <w:p>
      <w:pPr>
        <w:spacing w:line="240" w:lineRule="auto" w:before="10"/>
        <w:rPr>
          <w:rFonts w:ascii="宋体" w:hAnsi="宋体" w:cs="宋体" w:eastAsia="宋体" w:hint="default"/>
          <w:sz w:val="26"/>
          <w:szCs w:val="26"/>
        </w:rPr>
      </w:pPr>
    </w:p>
    <w:p>
      <w:pPr>
        <w:pStyle w:val="Heading3"/>
        <w:spacing w:line="240" w:lineRule="auto"/>
        <w:ind w:left="213" w:right="2333"/>
        <w:jc w:val="left"/>
        <w:rPr>
          <w:b w:val="0"/>
          <w:bCs w:val="0"/>
        </w:rPr>
      </w:pPr>
      <w:bookmarkStart w:name="33、重要会计政策和会计估计变更" w:id="171"/>
      <w:bookmarkEnd w:id="17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3" w:right="2333"/>
        <w:jc w:val="left"/>
        <w:rPr>
          <w:b w:val="0"/>
          <w:bCs w:val="0"/>
        </w:rPr>
      </w:pPr>
      <w:bookmarkStart w:name="（1）重要会计政策变更" w:id="172"/>
      <w:bookmarkEnd w:id="17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3" w:right="2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536"/>
        <w:gridCol w:w="1677"/>
        <w:gridCol w:w="1518"/>
        <w:gridCol w:w="1601"/>
        <w:gridCol w:w="1519"/>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0"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本公司在编制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年度财务报告时依据财</w:t>
            </w:r>
          </w:p>
          <w:p>
            <w:pPr>
              <w:pStyle w:val="TableParagraph"/>
              <w:spacing w:line="240" w:lineRule="auto" w:before="61"/>
              <w:ind w:left="103" w:right="0"/>
              <w:jc w:val="both"/>
              <w:rPr>
                <w:rFonts w:ascii="宋体" w:hAnsi="宋体" w:cs="宋体" w:eastAsia="宋体" w:hint="default"/>
                <w:sz w:val="18"/>
                <w:szCs w:val="18"/>
              </w:rPr>
            </w:pPr>
            <w:r>
              <w:rPr>
                <w:rFonts w:ascii="宋体" w:hAnsi="宋体" w:cs="宋体" w:eastAsia="宋体" w:hint="default"/>
                <w:sz w:val="18"/>
                <w:szCs w:val="18"/>
              </w:rPr>
              <w:t>政部于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年修订及颁布的新准则《企业</w:t>
            </w:r>
          </w:p>
          <w:p>
            <w:pPr>
              <w:pStyle w:val="TableParagraph"/>
              <w:spacing w:line="309" w:lineRule="auto" w:before="63"/>
              <w:ind w:left="103" w:right="180"/>
              <w:jc w:val="both"/>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财务报表列报》开始 执行金融工具列表准则。根据各准则衔接 要求进行了调整。</w:t>
            </w:r>
          </w:p>
        </w:tc>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第二届董事会第十五次会议及第二届 监事会第十二次会议。</w:t>
            </w:r>
          </w:p>
        </w:tc>
        <w:tc>
          <w:tcPr>
            <w:tcW w:w="3120" w:type="dxa"/>
            <w:gridSpan w:val="2"/>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变更前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变更后</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变更前</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7" w:right="0"/>
              <w:jc w:val="left"/>
              <w:rPr>
                <w:rFonts w:ascii="宋体" w:hAnsi="宋体" w:cs="宋体" w:eastAsia="宋体" w:hint="default"/>
                <w:sz w:val="18"/>
                <w:szCs w:val="18"/>
              </w:rPr>
            </w:pPr>
            <w:r>
              <w:rPr>
                <w:rFonts w:ascii="宋体" w:hAnsi="宋体" w:cs="宋体" w:eastAsia="宋体" w:hint="default"/>
                <w:sz w:val="18"/>
                <w:szCs w:val="18"/>
              </w:rPr>
              <w:t>变更后</w:t>
            </w:r>
          </w:p>
        </w:tc>
      </w:tr>
      <w:tr>
        <w:trPr>
          <w:trHeight w:val="40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7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49,500,000.00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9" w:right="0"/>
              <w:jc w:val="left"/>
              <w:rPr>
                <w:rFonts w:ascii="Times New Roman" w:hAnsi="Times New Roman" w:cs="Times New Roman" w:eastAsia="Times New Roman" w:hint="default"/>
                <w:sz w:val="18"/>
                <w:szCs w:val="18"/>
              </w:rPr>
            </w:pPr>
            <w:r>
              <w:rPr>
                <w:rFonts w:ascii="Times New Roman"/>
                <w:sz w:val="18"/>
              </w:rPr>
              <w:t>49,500,000.00</w:t>
            </w:r>
          </w:p>
        </w:tc>
        <w:tc>
          <w:tcPr>
            <w:tcW w:w="151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5,499,000.00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14,596,000.00</w:t>
            </w:r>
          </w:p>
        </w:tc>
      </w:tr>
      <w:tr>
        <w:trPr>
          <w:trHeight w:val="40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5,499,000.00</w:t>
            </w:r>
          </w:p>
        </w:tc>
        <w:tc>
          <w:tcPr>
            <w:tcW w:w="151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14,596,000.00</w:t>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7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w w:val="95"/>
                <w:sz w:val="18"/>
              </w:rPr>
              <w:t>-895,479.02</w:t>
            </w:r>
            <w:r>
              <w:rPr>
                <w:rFonts w:ascii="Times New Roman"/>
                <w:sz w:val="18"/>
              </w:rPr>
            </w:r>
          </w:p>
        </w:tc>
        <w:tc>
          <w:tcPr>
            <w:tcW w:w="160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w w:val="95"/>
                <w:sz w:val="18"/>
              </w:rPr>
              <w:t>-889,189.82</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214" w:right="2333"/>
        <w:jc w:val="left"/>
        <w:rPr>
          <w:b w:val="0"/>
          <w:bCs w:val="0"/>
        </w:rPr>
      </w:pPr>
      <w:bookmarkStart w:name="（2）重要会计估计变更" w:id="173"/>
      <w:bookmarkEnd w:id="17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2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213" w:right="2333"/>
        <w:jc w:val="left"/>
        <w:rPr>
          <w:b w:val="0"/>
          <w:bCs w:val="0"/>
        </w:rPr>
      </w:pPr>
      <w:bookmarkStart w:name="34、其他" w:id="174"/>
      <w:bookmarkEnd w:id="174"/>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2333"/>
        <w:jc w:val="left"/>
      </w:pPr>
      <w:r>
        <w:rPr/>
        <w:t>无</w:t>
      </w:r>
    </w:p>
    <w:p>
      <w:pPr>
        <w:spacing w:line="240" w:lineRule="auto" w:before="2"/>
        <w:rPr>
          <w:rFonts w:ascii="宋体" w:hAnsi="宋体" w:cs="宋体" w:eastAsia="宋体" w:hint="default"/>
          <w:sz w:val="25"/>
          <w:szCs w:val="25"/>
        </w:rPr>
      </w:pPr>
    </w:p>
    <w:p>
      <w:pPr>
        <w:pStyle w:val="Heading2"/>
        <w:spacing w:line="240" w:lineRule="auto"/>
        <w:ind w:left="214" w:right="2333"/>
        <w:jc w:val="left"/>
        <w:rPr>
          <w:b w:val="0"/>
          <w:bCs w:val="0"/>
        </w:rPr>
      </w:pPr>
      <w:bookmarkStart w:name="六、税项" w:id="175"/>
      <w:bookmarkEnd w:id="17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2333"/>
        <w:jc w:val="left"/>
        <w:rPr>
          <w:b w:val="0"/>
          <w:bCs w:val="0"/>
        </w:rPr>
      </w:pPr>
      <w:bookmarkStart w:name="1、主要税种及税率" w:id="176"/>
      <w:bookmarkEnd w:id="17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销售货物或提供应税劳务收入、技术服 务收入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技术服务收入、资金占用费收入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2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43"/>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合肥君正科技有限公司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43"/>
        <w:jc w:val="left"/>
        <w:rPr>
          <w:b w:val="0"/>
          <w:bCs w:val="0"/>
        </w:rPr>
      </w:pPr>
      <w:bookmarkStart w:name="2、税收优惠" w:id="177"/>
      <w:bookmarkEnd w:id="17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102" w:firstLine="360"/>
        <w:jc w:val="both"/>
      </w:pPr>
      <w:r>
        <w:rPr>
          <w:spacing w:val="-2"/>
        </w:rPr>
        <w:t>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日取得北京市科学技术委员会、北京市财政局、北京市国家税务局、北京市地方税务局联合颁发的</w:t>
      </w:r>
      <w:r>
        <w:rPr/>
        <w:t> </w:t>
      </w:r>
      <w:r>
        <w:rPr>
          <w:spacing w:val="-2"/>
        </w:rPr>
        <w:t>高新技术企业证书，证书编号</w:t>
      </w:r>
      <w:r>
        <w:rPr>
          <w:rFonts w:ascii="Times New Roman" w:hAnsi="Times New Roman" w:cs="Times New Roman" w:eastAsia="Times New Roman" w:hint="default"/>
          <w:spacing w:val="-2"/>
        </w:rPr>
        <w:t>GR201211000620</w:t>
      </w:r>
      <w:r>
        <w:rPr>
          <w:spacing w:val="-2"/>
        </w:rPr>
        <w:t>，有效期限三年。</w:t>
      </w:r>
      <w:r>
        <w:rPr>
          <w:rFonts w:ascii="Times New Roman" w:hAnsi="Times New Roman" w:cs="Times New Roman" w:eastAsia="Times New Roman" w:hint="default"/>
          <w:spacing w:val="-2"/>
        </w:rPr>
        <w:t>2012-2014</w:t>
      </w:r>
      <w:r>
        <w:rPr>
          <w:spacing w:val="-2"/>
        </w:rPr>
        <w:t>年度按应纳税所得额的</w:t>
      </w:r>
      <w:r>
        <w:rPr>
          <w:rFonts w:ascii="Times New Roman" w:hAnsi="Times New Roman" w:cs="Times New Roman" w:eastAsia="Times New Roman" w:hint="default"/>
          <w:spacing w:val="-2"/>
        </w:rPr>
        <w:t>15%</w:t>
      </w:r>
      <w:r>
        <w:rPr>
          <w:spacing w:val="-2"/>
        </w:rPr>
        <w:t>计算缴纳企业所得税。</w:t>
      </w:r>
    </w:p>
    <w:p>
      <w:pPr>
        <w:pStyle w:val="BodyText"/>
        <w:spacing w:line="300" w:lineRule="auto" w:before="50"/>
        <w:ind w:right="102"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月，本公司被认定为</w:t>
      </w:r>
      <w:r>
        <w:rPr>
          <w:rFonts w:ascii="Times New Roman" w:hAnsi="Times New Roman" w:cs="Times New Roman" w:eastAsia="Times New Roman" w:hint="default"/>
        </w:rPr>
        <w:t>2013-2014</w:t>
      </w:r>
      <w:r>
        <w:rPr/>
        <w:t>年度国家规划布局内重点集成电路设计企业，根据《关于进一步鼓励软件产业 和集成电路产业发展企业所得税政策的通知》（财税</w:t>
      </w:r>
      <w:r>
        <w:rPr>
          <w:rFonts w:ascii="Times New Roman" w:hAnsi="Times New Roman" w:cs="Times New Roman" w:eastAsia="Times New Roman" w:hint="default"/>
        </w:rPr>
        <w:t>[2012]27</w:t>
      </w:r>
      <w:r>
        <w:rPr/>
        <w:t>号）的规定，国家规划布局内的重点软件企业和集成电路设计 </w:t>
      </w:r>
      <w:r>
        <w:rPr>
          <w:spacing w:val="-5"/>
        </w:rPr>
        <w:t>企业，如当年未享受免税优惠的，可减按</w:t>
      </w:r>
      <w:r>
        <w:rPr>
          <w:rFonts w:ascii="Times New Roman" w:hAnsi="Times New Roman" w:cs="Times New Roman" w:eastAsia="Times New Roman" w:hint="default"/>
          <w:spacing w:val="-5"/>
        </w:rPr>
        <w:t>10%</w:t>
      </w:r>
      <w:r>
        <w:rPr>
          <w:spacing w:val="-5"/>
        </w:rPr>
        <w:t>的税率征收企业所得税。公司</w:t>
      </w:r>
      <w:r>
        <w:rPr>
          <w:rFonts w:ascii="Times New Roman" w:hAnsi="Times New Roman" w:cs="Times New Roman" w:eastAsia="Times New Roman" w:hint="default"/>
          <w:spacing w:val="-5"/>
        </w:rPr>
        <w:t>2013</w:t>
      </w:r>
      <w:r>
        <w:rPr>
          <w:spacing w:val="-5"/>
        </w:rPr>
        <w:t>年度企业所得税税率由原来的</w:t>
      </w:r>
      <w:r>
        <w:rPr>
          <w:rFonts w:ascii="Times New Roman" w:hAnsi="Times New Roman" w:cs="Times New Roman" w:eastAsia="Times New Roman" w:hint="default"/>
          <w:spacing w:val="-5"/>
        </w:rPr>
        <w:t>15%</w:t>
      </w:r>
      <w:r>
        <w:rPr>
          <w:spacing w:val="-5"/>
        </w:rPr>
        <w:t>调整为</w:t>
      </w:r>
      <w:r>
        <w:rPr>
          <w:rFonts w:ascii="Times New Roman" w:hAnsi="Times New Roman" w:cs="Times New Roman" w:eastAsia="Times New Roman" w:hint="default"/>
          <w:spacing w:val="-5"/>
        </w:rPr>
        <w:t>10%</w:t>
      </w:r>
      <w:r>
        <w:rPr>
          <w:spacing w:val="-5"/>
        </w:rPr>
        <w:t>。</w:t>
      </w:r>
    </w:p>
    <w:p>
      <w:pPr>
        <w:pStyle w:val="BodyText"/>
        <w:spacing w:line="309" w:lineRule="auto" w:before="51"/>
        <w:ind w:right="191" w:firstLine="360"/>
        <w:jc w:val="both"/>
      </w:pPr>
      <w:r>
        <w:rPr>
          <w:spacing w:val="-2"/>
        </w:rPr>
        <w:t>深圳君正时代集成电路有限公司已取得由深圳市科技创新委员会、深圳市财政委员会、深圳市国家税务局、深圳市地方</w:t>
      </w:r>
      <w:r>
        <w:rPr/>
        <w:t> 税务局联合颁发的高新技术企业证书，证书编号</w:t>
      </w:r>
      <w:r>
        <w:rPr>
          <w:rFonts w:ascii="Times New Roman" w:hAnsi="Times New Roman" w:cs="Times New Roman" w:eastAsia="Times New Roman" w:hint="default"/>
        </w:rPr>
        <w:t>GR20144201276</w:t>
      </w:r>
      <w:r>
        <w:rPr/>
        <w:t>，发证时间：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日，有效期三年。深圳君正时代</w:t>
      </w:r>
      <w:r>
        <w:rPr>
          <w:spacing w:val="-66"/>
        </w:rPr>
        <w:t> </w:t>
      </w:r>
      <w:r>
        <w:rPr>
          <w:spacing w:val="-66"/>
        </w:rPr>
      </w:r>
      <w:r>
        <w:rPr/>
        <w:t>集成电路有限公司将自</w:t>
      </w:r>
      <w:r>
        <w:rPr>
          <w:rFonts w:ascii="Times New Roman" w:hAnsi="Times New Roman" w:cs="Times New Roman" w:eastAsia="Times New Roman" w:hint="default"/>
        </w:rPr>
        <w:t>2014</w:t>
      </w:r>
      <w:r>
        <w:rPr/>
        <w:t>年起连续三年享受高新技术企业所得税优惠政策，按</w:t>
      </w:r>
      <w:r>
        <w:rPr>
          <w:rFonts w:ascii="Times New Roman" w:hAnsi="Times New Roman" w:cs="Times New Roman" w:eastAsia="Times New Roman" w:hint="default"/>
        </w:rPr>
        <w:t>15%</w:t>
      </w:r>
      <w:r>
        <w:rPr/>
        <w:t>的税率缴纳企业所得税。</w:t>
      </w:r>
    </w:p>
    <w:p>
      <w:pPr>
        <w:spacing w:line="240" w:lineRule="auto" w:before="4"/>
        <w:rPr>
          <w:rFonts w:ascii="宋体" w:hAnsi="宋体" w:cs="宋体" w:eastAsia="宋体" w:hint="default"/>
          <w:sz w:val="21"/>
          <w:szCs w:val="21"/>
        </w:rPr>
      </w:pPr>
    </w:p>
    <w:p>
      <w:pPr>
        <w:pStyle w:val="Heading3"/>
        <w:spacing w:line="240" w:lineRule="auto"/>
        <w:ind w:left="153" w:right="43"/>
        <w:jc w:val="left"/>
        <w:rPr>
          <w:b w:val="0"/>
          <w:bCs w:val="0"/>
        </w:rPr>
      </w:pPr>
      <w:bookmarkStart w:name="3、其他" w:id="178"/>
      <w:bookmarkEnd w:id="178"/>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43"/>
        <w:jc w:val="left"/>
      </w:pPr>
      <w:r>
        <w:rPr/>
        <w:t>无</w:t>
      </w:r>
    </w:p>
    <w:p>
      <w:pPr>
        <w:spacing w:line="240" w:lineRule="auto" w:before="13"/>
        <w:rPr>
          <w:rFonts w:ascii="宋体" w:hAnsi="宋体" w:cs="宋体" w:eastAsia="宋体" w:hint="default"/>
          <w:sz w:val="24"/>
          <w:szCs w:val="24"/>
        </w:rPr>
      </w:pPr>
    </w:p>
    <w:p>
      <w:pPr>
        <w:pStyle w:val="Heading2"/>
        <w:spacing w:line="240" w:lineRule="auto"/>
        <w:ind w:right="43"/>
        <w:jc w:val="left"/>
        <w:rPr>
          <w:b w:val="0"/>
          <w:bCs w:val="0"/>
        </w:rPr>
      </w:pPr>
      <w:bookmarkStart w:name="七、合并财务报表项目注释" w:id="179"/>
      <w:bookmarkEnd w:id="179"/>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43"/>
        <w:jc w:val="left"/>
        <w:rPr>
          <w:b w:val="0"/>
          <w:bCs w:val="0"/>
        </w:rPr>
      </w:pPr>
      <w:bookmarkStart w:name="1、货币资金" w:id="180"/>
      <w:bookmarkEnd w:id="18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194,943.93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145,069.94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835,770,456.51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847,682,055.09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835,965,400.44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847,827,125.03</w:t>
            </w:r>
          </w:p>
        </w:tc>
      </w:tr>
    </w:tbl>
    <w:p>
      <w:pPr>
        <w:spacing w:line="240" w:lineRule="auto" w:before="2"/>
        <w:rPr>
          <w:rFonts w:ascii="宋体" w:hAnsi="宋体" w:cs="宋体" w:eastAsia="宋体" w:hint="default"/>
          <w:sz w:val="19"/>
          <w:szCs w:val="19"/>
        </w:rPr>
      </w:pPr>
    </w:p>
    <w:p>
      <w:pPr>
        <w:pStyle w:val="Heading3"/>
        <w:spacing w:line="240" w:lineRule="auto" w:before="35"/>
        <w:ind w:right="43"/>
        <w:jc w:val="left"/>
        <w:rPr>
          <w:b w:val="0"/>
          <w:bCs w:val="0"/>
        </w:rPr>
      </w:pPr>
      <w:bookmarkStart w:name="2、以公允价值计量且其变动计入当期损益的金融资产" w:id="181"/>
      <w:bookmarkEnd w:id="18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43"/>
        <w:jc w:val="left"/>
      </w:pPr>
      <w:r>
        <w:rPr/>
        <w:t>无</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衍生金融资产" w:id="182"/>
      <w:bookmarkEnd w:id="18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应收票据" w:id="183"/>
      <w:bookmarkEnd w:id="18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184"/>
      <w:bookmarkEnd w:id="18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期末公司已质押的应收票据" w:id="185"/>
      <w:bookmarkEnd w:id="18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期末公司已背书或贴现且在资产负债表日尚未到期的应收票据" w:id="186"/>
      <w:bookmarkEnd w:id="18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期末公司因出票人未履约而将其转应收账款的票据" w:id="187"/>
      <w:bookmarkEnd w:id="18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应收账款" w:id="188"/>
      <w:bookmarkEnd w:id="18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89"/>
      <w:bookmarkEnd w:id="18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4,526,87</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8.93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571,894.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3,954,983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13,883,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794.19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360,359.6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13,523,434.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4,526,87</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8.93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571,894.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12.63%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3,954,983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13,883,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794.19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360,359.6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13,523,434.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3,410,906.25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3,410,906.25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641,766.40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192,529.93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474,206.28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379,365.02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474,206.28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379,365.02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4,526,878.93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571,894.95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5452"/>
        <w:jc w:val="left"/>
      </w:pPr>
      <w:r>
        <w:rPr/>
        <w:t>确定该组合依据的说明： 组合中，采用余额百分比法计提坏账准备的应收账款：</w:t>
      </w:r>
    </w:p>
    <w:p>
      <w:pPr>
        <w:pStyle w:val="BodyText"/>
        <w:spacing w:line="340" w:lineRule="auto" w:before="26"/>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本期计提、收回或转回的坏账准备情况" w:id="190"/>
      <w:bookmarkEnd w:id="19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3619"/>
        <w:jc w:val="left"/>
      </w:pPr>
      <w:r>
        <w:rPr/>
        <w:t>本期计提坏账准备金额</w:t>
      </w:r>
      <w:r>
        <w:rPr>
          <w:spacing w:val="-48"/>
        </w:rPr>
        <w:t> </w:t>
      </w:r>
      <w:r>
        <w:rPr>
          <w:rFonts w:ascii="Times New Roman" w:hAnsi="Times New Roman" w:cs="Times New Roman" w:eastAsia="Times New Roman" w:hint="default"/>
        </w:rPr>
        <w:t>211,535.27</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其中本期坏账准备收回或转回金额重要的：无</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本期实际核销的应收账款情况" w:id="191"/>
      <w:bookmarkEnd w:id="19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吊的应收账款情况" w:id="192"/>
      <w:bookmarkEnd w:id="19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0" w:firstLine="360"/>
        <w:jc w:val="left"/>
      </w:pPr>
      <w:r>
        <w:rPr>
          <w:spacing w:val="7"/>
        </w:rPr>
        <w:t>本报告期按欠款方归集的期末余额前五名应收账款汇总金额</w:t>
      </w:r>
      <w:r>
        <w:rPr>
          <w:rFonts w:ascii="Times New Roman" w:hAnsi="Times New Roman" w:cs="Times New Roman" w:eastAsia="Times New Roman" w:hint="default"/>
          <w:spacing w:val="7"/>
        </w:rPr>
        <w:t>3,950,432.48</w:t>
      </w:r>
      <w:r>
        <w:rPr>
          <w:spacing w:val="7"/>
        </w:rPr>
        <w:t>元，占应收账款期末余额合计数的比例为</w:t>
      </w:r>
      <w:r>
        <w:rPr/>
        <w:t> </w:t>
      </w:r>
      <w:r>
        <w:rPr>
          <w:rFonts w:ascii="Times New Roman" w:hAnsi="Times New Roman" w:cs="Times New Roman" w:eastAsia="Times New Roman" w:hint="default"/>
        </w:rPr>
        <w:t>87.27%</w:t>
      </w:r>
      <w:r>
        <w:rPr/>
        <w:t>，相应计提的坏账准备期末余额汇总金额</w:t>
      </w:r>
      <w:r>
        <w:rPr>
          <w:rFonts w:ascii="Times New Roman" w:hAnsi="Times New Roman" w:cs="Times New Roman" w:eastAsia="Times New Roman" w:hint="default"/>
        </w:rPr>
        <w:t>571,894.95</w:t>
      </w:r>
      <w:r>
        <w:rPr/>
        <w:t>元。</w:t>
      </w:r>
    </w:p>
    <w:p>
      <w:pPr>
        <w:spacing w:line="240" w:lineRule="auto" w:before="11"/>
        <w:rPr>
          <w:rFonts w:ascii="宋体" w:hAnsi="宋体" w:cs="宋体" w:eastAsia="宋体" w:hint="default"/>
          <w:sz w:val="21"/>
          <w:szCs w:val="21"/>
        </w:rPr>
      </w:pPr>
    </w:p>
    <w:p>
      <w:pPr>
        <w:pStyle w:val="Heading3"/>
        <w:spacing w:line="240" w:lineRule="auto"/>
        <w:ind w:left="153" w:right="0"/>
        <w:jc w:val="left"/>
        <w:rPr>
          <w:b w:val="0"/>
          <w:bCs w:val="0"/>
        </w:rPr>
      </w:pPr>
      <w:bookmarkStart w:name="（5）因金融资产转移而终止确认的应收账款" w:id="193"/>
      <w:bookmarkEnd w:id="19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194"/>
      <w:bookmarkEnd w:id="19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预付款项" w:id="195"/>
      <w:bookmarkEnd w:id="19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96"/>
      <w:bookmarkEnd w:id="19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2,968,805.38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5,555,214.08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72,197.75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3,045,383.13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10,529,594.08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吊的预付款情况" w:id="197"/>
      <w:bookmarkEnd w:id="19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224" w:type="dxa"/>
        <w:tblLayout w:type="fixed"/>
        <w:tblCellMar>
          <w:top w:w="0" w:type="dxa"/>
          <w:left w:w="0" w:type="dxa"/>
          <w:bottom w:w="0" w:type="dxa"/>
          <w:right w:w="0" w:type="dxa"/>
        </w:tblCellMar>
        <w:tblLook w:val="01E0"/>
      </w:tblPr>
      <w:tblGrid>
        <w:gridCol w:w="3249"/>
        <w:gridCol w:w="1134"/>
        <w:gridCol w:w="1468"/>
        <w:gridCol w:w="1248"/>
        <w:gridCol w:w="828"/>
        <w:gridCol w:w="1560"/>
      </w:tblGrid>
      <w:tr>
        <w:trPr>
          <w:trHeight w:val="1338" w:hRule="exact"/>
        </w:trPr>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1" w:right="109" w:hanging="362"/>
              <w:jc w:val="left"/>
              <w:rPr>
                <w:rFonts w:ascii="宋体" w:hAnsi="宋体" w:cs="宋体" w:eastAsia="宋体" w:hint="default"/>
                <w:sz w:val="18"/>
                <w:szCs w:val="18"/>
              </w:rPr>
            </w:pPr>
            <w:r>
              <w:rPr>
                <w:rFonts w:ascii="宋体" w:hAnsi="宋体" w:cs="宋体" w:eastAsia="宋体" w:hint="default"/>
                <w:b/>
                <w:bCs/>
                <w:sz w:val="18"/>
                <w:szCs w:val="18"/>
              </w:rPr>
              <w:t>与本公司关</w:t>
            </w:r>
            <w:r>
              <w:rPr>
                <w:rFonts w:ascii="宋体" w:hAnsi="宋体" w:cs="宋体" w:eastAsia="宋体" w:hint="default"/>
                <w:b/>
                <w:bCs/>
                <w:w w:val="99"/>
                <w:sz w:val="18"/>
                <w:szCs w:val="18"/>
              </w:rPr>
              <w:t> </w:t>
            </w:r>
            <w:r>
              <w:rPr>
                <w:rFonts w:ascii="宋体" w:hAnsi="宋体" w:cs="宋体" w:eastAsia="宋体" w:hint="default"/>
                <w:b/>
                <w:bCs/>
                <w:sz w:val="18"/>
                <w:szCs w:val="18"/>
              </w:rPr>
              <w:t>系</w:t>
            </w:r>
            <w:r>
              <w:rPr>
                <w:rFonts w:ascii="宋体" w:hAnsi="宋体" w:cs="宋体" w:eastAsia="宋体" w:hint="default"/>
                <w:sz w:val="18"/>
                <w:szCs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6" w:right="166"/>
              <w:jc w:val="both"/>
              <w:rPr>
                <w:rFonts w:ascii="宋体" w:hAnsi="宋体" w:cs="宋体" w:eastAsia="宋体" w:hint="default"/>
                <w:sz w:val="18"/>
                <w:szCs w:val="18"/>
              </w:rPr>
            </w:pPr>
            <w:r>
              <w:rPr>
                <w:rFonts w:ascii="宋体" w:hAnsi="宋体" w:cs="宋体" w:eastAsia="宋体" w:hint="default"/>
                <w:b/>
                <w:bCs/>
                <w:sz w:val="18"/>
                <w:szCs w:val="18"/>
              </w:rPr>
              <w:t>占预付款项</w:t>
            </w:r>
            <w:r>
              <w:rPr>
                <w:rFonts w:ascii="宋体" w:hAnsi="宋体" w:cs="宋体" w:eastAsia="宋体" w:hint="default"/>
                <w:b/>
                <w:bCs/>
                <w:w w:val="99"/>
                <w:sz w:val="18"/>
                <w:szCs w:val="18"/>
              </w:rPr>
              <w:t> </w:t>
            </w:r>
            <w:r>
              <w:rPr>
                <w:rFonts w:ascii="宋体" w:hAnsi="宋体" w:cs="宋体" w:eastAsia="宋体" w:hint="default"/>
                <w:b/>
                <w:bCs/>
                <w:sz w:val="18"/>
                <w:szCs w:val="18"/>
              </w:rPr>
              <w:t>期末余额合</w:t>
            </w:r>
            <w:r>
              <w:rPr>
                <w:rFonts w:ascii="宋体" w:hAnsi="宋体" w:cs="宋体" w:eastAsia="宋体" w:hint="default"/>
                <w:b/>
                <w:bCs/>
                <w:w w:val="99"/>
                <w:sz w:val="18"/>
                <w:szCs w:val="18"/>
              </w:rPr>
              <w:t> </w:t>
            </w:r>
            <w:r>
              <w:rPr>
                <w:rFonts w:ascii="宋体" w:hAnsi="宋体" w:cs="宋体" w:eastAsia="宋体" w:hint="default"/>
                <w:b/>
                <w:bCs/>
                <w:sz w:val="18"/>
                <w:szCs w:val="18"/>
              </w:rPr>
              <w:t>计数的比例</w:t>
            </w:r>
            <w:r>
              <w:rPr>
                <w:rFonts w:ascii="宋体" w:hAnsi="宋体" w:cs="宋体" w:eastAsia="宋体" w:hint="default"/>
                <w:sz w:val="18"/>
                <w:szCs w:val="18"/>
              </w:rPr>
            </w:r>
          </w:p>
          <w:p>
            <w:pPr>
              <w:pStyle w:val="TableParagraph"/>
              <w:spacing w:line="240" w:lineRule="auto" w:before="20"/>
              <w:ind w:left="34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7" w:right="137" w:hanging="92"/>
              <w:jc w:val="left"/>
              <w:rPr>
                <w:rFonts w:ascii="宋体" w:hAnsi="宋体" w:cs="宋体" w:eastAsia="宋体" w:hint="default"/>
                <w:sz w:val="18"/>
                <w:szCs w:val="18"/>
              </w:rPr>
            </w:pPr>
            <w:r>
              <w:rPr>
                <w:rFonts w:ascii="宋体" w:hAnsi="宋体" w:cs="宋体" w:eastAsia="宋体" w:hint="default"/>
                <w:b/>
                <w:bCs/>
                <w:sz w:val="18"/>
                <w:szCs w:val="18"/>
              </w:rPr>
              <w:t>预付款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时间</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02" w:hRule="exact"/>
        </w:trPr>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台湾积体电路制造股份有限公司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3"/>
              <w:jc w:val="right"/>
              <w:rPr>
                <w:rFonts w:ascii="Times New Roman" w:hAnsi="Times New Roman" w:cs="Times New Roman" w:eastAsia="Times New Roman" w:hint="default"/>
                <w:sz w:val="18"/>
                <w:szCs w:val="18"/>
              </w:rPr>
            </w:pPr>
            <w:r>
              <w:rPr>
                <w:rFonts w:ascii="Times New Roman"/>
                <w:spacing w:val="-1"/>
                <w:sz w:val="18"/>
              </w:rPr>
              <w:t>1,025,638.32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33.68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预付生产加工费</w:t>
            </w:r>
          </w:p>
        </w:tc>
      </w:tr>
      <w:tr>
        <w:trPr>
          <w:trHeight w:val="402" w:hRule="exact"/>
        </w:trPr>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中国海关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1"/>
              <w:jc w:val="right"/>
              <w:rPr>
                <w:rFonts w:ascii="Times New Roman" w:hAnsi="Times New Roman" w:cs="Times New Roman" w:eastAsia="Times New Roman" w:hint="default"/>
                <w:sz w:val="18"/>
                <w:szCs w:val="18"/>
              </w:rPr>
            </w:pPr>
            <w:r>
              <w:rPr>
                <w:rFonts w:ascii="Times New Roman"/>
                <w:sz w:val="18"/>
              </w:rPr>
              <w:t>966,737.69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预付进口增值税</w:t>
            </w:r>
          </w:p>
        </w:tc>
      </w:tr>
      <w:tr>
        <w:trPr>
          <w:trHeight w:val="402" w:hRule="exact"/>
        </w:trPr>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合肥高新建设投资集团公司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1"/>
              <w:jc w:val="right"/>
              <w:rPr>
                <w:rFonts w:ascii="Times New Roman" w:hAnsi="Times New Roman" w:cs="Times New Roman" w:eastAsia="Times New Roman" w:hint="default"/>
                <w:sz w:val="18"/>
                <w:szCs w:val="18"/>
              </w:rPr>
            </w:pPr>
            <w:r>
              <w:rPr>
                <w:rFonts w:ascii="Times New Roman"/>
                <w:sz w:val="18"/>
              </w:rPr>
              <w:t>216,641.94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7.11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预付租金</w:t>
            </w:r>
          </w:p>
        </w:tc>
      </w:tr>
      <w:tr>
        <w:trPr>
          <w:trHeight w:val="402" w:hRule="exact"/>
        </w:trPr>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北京中关村海外科技园有限责任公司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1"/>
              <w:jc w:val="right"/>
              <w:rPr>
                <w:rFonts w:ascii="Times New Roman" w:hAnsi="Times New Roman" w:cs="Times New Roman" w:eastAsia="Times New Roman" w:hint="default"/>
                <w:sz w:val="18"/>
                <w:szCs w:val="18"/>
              </w:rPr>
            </w:pPr>
            <w:r>
              <w:rPr>
                <w:rFonts w:ascii="Times New Roman"/>
                <w:sz w:val="18"/>
              </w:rPr>
              <w:t>141,496.00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预付参展费用</w:t>
            </w:r>
          </w:p>
        </w:tc>
      </w:tr>
      <w:tr>
        <w:trPr>
          <w:trHeight w:val="402" w:hRule="exact"/>
        </w:trPr>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深圳高新区信息网有限公司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pacing w:val="-1"/>
                <w:sz w:val="18"/>
              </w:rPr>
              <w:t>112,500.00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预付宽带费用</w:t>
            </w:r>
          </w:p>
        </w:tc>
      </w:tr>
      <w:tr>
        <w:trPr>
          <w:trHeight w:val="402" w:hRule="exact"/>
        </w:trPr>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4"/>
              <w:jc w:val="right"/>
              <w:rPr>
                <w:rFonts w:ascii="Times New Roman" w:hAnsi="Times New Roman" w:cs="Times New Roman" w:eastAsia="Times New Roman" w:hint="default"/>
                <w:sz w:val="18"/>
                <w:szCs w:val="18"/>
              </w:rPr>
            </w:pPr>
            <w:r>
              <w:rPr>
                <w:rFonts w:ascii="Times New Roman"/>
                <w:b/>
                <w:spacing w:val="-1"/>
                <w:sz w:val="18"/>
              </w:rPr>
              <w:t>2,463,013.95</w:t>
            </w:r>
            <w:r>
              <w:rPr>
                <w:rFonts w:ascii="Times New Roman"/>
                <w:spacing w:val="-1"/>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b/>
                <w:sz w:val="18"/>
              </w:rPr>
              <w:t>80.87</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7、应收利息" w:id="198"/>
      <w:bookmarkEnd w:id="19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199"/>
      <w:bookmarkEnd w:id="19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10,644,819.15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2,040,942.20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10,644,819.15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2,040,942.20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200"/>
      <w:bookmarkEnd w:id="200"/>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应收股利" w:id="201"/>
      <w:bookmarkEnd w:id="201"/>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02"/>
      <w:bookmarkEnd w:id="202"/>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重要的账龄超过1年的应收股利" w:id="203"/>
      <w:bookmarkEnd w:id="203"/>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其他应收款" w:id="204"/>
      <w:bookmarkEnd w:id="20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05"/>
      <w:bookmarkEnd w:id="20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775,688.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40,731.9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734,956.3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611,692</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446,133.5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72.93%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165,558.96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40,731.9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734,956.3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611,692</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446,133.5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72.93%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165,558.96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773,638.23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38,681.91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775,688.23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40,731.91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r>
    </w:tbl>
    <w:p>
      <w:pPr>
        <w:pStyle w:val="BodyText"/>
        <w:spacing w:line="360" w:lineRule="auto" w:before="51"/>
        <w:ind w:left="154" w:right="5272"/>
        <w:jc w:val="left"/>
      </w:pPr>
      <w:r>
        <w:rPr/>
        <w:t>确定该组合依据的说明： 组合中，采用余额百分比法计提坏账准备的其他应收款：</w:t>
      </w:r>
    </w:p>
    <w:p>
      <w:pPr>
        <w:pStyle w:val="BodyText"/>
        <w:spacing w:line="340" w:lineRule="auto" w:before="26"/>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06"/>
      <w:bookmarkEnd w:id="20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5,508.70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410,910.38</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293" w:right="0"/>
        <w:jc w:val="left"/>
      </w:pPr>
      <w:r>
        <w:rPr/>
        <w:t>其中本期坏账准备转回或收回金额重要的：</w:t>
      </w:r>
    </w:p>
    <w:p>
      <w:pPr>
        <w:pStyle w:val="BodyText"/>
        <w:spacing w:line="240" w:lineRule="auto" w:before="116"/>
        <w:ind w:left="0" w:right="290"/>
        <w:jc w:val="right"/>
      </w:pPr>
      <w:r>
        <w:rPr/>
        <w:t>单位： 元</w:t>
      </w:r>
    </w:p>
    <w:p>
      <w:pPr>
        <w:spacing w:line="240" w:lineRule="auto" w:before="1"/>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北京中关村软件园发展有限公司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343,930.96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343,930.96</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294" w:right="0"/>
        <w:jc w:val="left"/>
        <w:rPr>
          <w:b w:val="0"/>
          <w:bCs w:val="0"/>
        </w:rPr>
      </w:pPr>
      <w:bookmarkStart w:name="（3）本期实际核销的其他应收款情况" w:id="207"/>
      <w:bookmarkEnd w:id="20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294" w:right="0"/>
        <w:jc w:val="left"/>
        <w:rPr>
          <w:b w:val="0"/>
          <w:bCs w:val="0"/>
        </w:rPr>
      </w:pPr>
      <w:bookmarkStart w:name="（4）其他应收款按款项性质分类情况" w:id="208"/>
      <w:bookmarkEnd w:id="20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90"/>
        <w:jc w:val="right"/>
      </w:pPr>
      <w:r>
        <w:rPr/>
        <w:t>单位： 元</w:t>
      </w:r>
    </w:p>
    <w:p>
      <w:pPr>
        <w:spacing w:line="240" w:lineRule="auto" w:before="0"/>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7,165.12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6,321.12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731,561.90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600,249.22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36,961.21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5,122.21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775,688.23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611,692.55</w:t>
            </w:r>
          </w:p>
        </w:tc>
      </w:tr>
    </w:tbl>
    <w:p>
      <w:pPr>
        <w:spacing w:line="240" w:lineRule="auto" w:before="2"/>
        <w:rPr>
          <w:rFonts w:ascii="宋体" w:hAnsi="宋体" w:cs="宋体" w:eastAsia="宋体" w:hint="default"/>
          <w:sz w:val="19"/>
          <w:szCs w:val="19"/>
        </w:rPr>
      </w:pPr>
    </w:p>
    <w:p>
      <w:pPr>
        <w:pStyle w:val="Heading3"/>
        <w:spacing w:line="240" w:lineRule="auto" w:before="35"/>
        <w:ind w:left="294" w:right="0"/>
        <w:jc w:val="left"/>
        <w:rPr>
          <w:b w:val="0"/>
          <w:bCs w:val="0"/>
        </w:rPr>
      </w:pPr>
      <w:bookmarkStart w:name="（5）按欠款方归集的期末余额前五吊的其他应收款情况" w:id="209"/>
      <w:bookmarkEnd w:id="20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90"/>
        <w:jc w:val="right"/>
      </w:pPr>
      <w:r>
        <w:rPr/>
        <w:t>单位： 元</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3369"/>
        <w:gridCol w:w="1985"/>
        <w:gridCol w:w="1134"/>
        <w:gridCol w:w="992"/>
        <w:gridCol w:w="1418"/>
        <w:gridCol w:w="1099"/>
      </w:tblGrid>
      <w:tr>
        <w:trPr>
          <w:trHeight w:val="1026"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4" w:right="162"/>
              <w:jc w:val="center"/>
              <w:rPr>
                <w:rFonts w:ascii="宋体" w:hAnsi="宋体" w:cs="宋体" w:eastAsia="宋体" w:hint="default"/>
                <w:sz w:val="18"/>
                <w:szCs w:val="18"/>
              </w:rPr>
            </w:pPr>
            <w:r>
              <w:rPr>
                <w:rFonts w:ascii="宋体" w:hAnsi="宋体" w:cs="宋体" w:eastAsia="宋体" w:hint="default"/>
                <w:sz w:val="18"/>
                <w:szCs w:val="18"/>
              </w:rPr>
              <w:t>占其他应收款 期末余额合计 数的比例</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4" w:right="182"/>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北京中关村软件园发展有限公司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64.46%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深圳市创维物业发展有限公司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158,341.90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20.41%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7,917.10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合肥高新物业管理有限公司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71,220.00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9.18%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3,561.00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655.00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聂珅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400.00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750,661.90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96.77%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37,533.10</w:t>
            </w:r>
          </w:p>
        </w:tc>
      </w:tr>
    </w:tbl>
    <w:p>
      <w:pPr>
        <w:spacing w:line="240" w:lineRule="auto" w:before="2"/>
        <w:rPr>
          <w:rFonts w:ascii="宋体" w:hAnsi="宋体" w:cs="宋体" w:eastAsia="宋体" w:hint="default"/>
          <w:sz w:val="19"/>
          <w:szCs w:val="19"/>
        </w:rPr>
      </w:pPr>
    </w:p>
    <w:p>
      <w:pPr>
        <w:pStyle w:val="Heading3"/>
        <w:spacing w:line="240" w:lineRule="auto" w:before="35"/>
        <w:ind w:left="294" w:right="0"/>
        <w:jc w:val="left"/>
        <w:rPr>
          <w:b w:val="0"/>
          <w:bCs w:val="0"/>
        </w:rPr>
      </w:pPr>
      <w:bookmarkStart w:name="（6）涉及政府补助的应收款项" w:id="210"/>
      <w:bookmarkEnd w:id="21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4" w:right="0"/>
        <w:jc w:val="left"/>
      </w:pPr>
      <w:r>
        <w:rPr/>
        <w:t>无</w:t>
      </w:r>
    </w:p>
    <w:p>
      <w:pPr>
        <w:spacing w:after="0" w:line="240" w:lineRule="auto"/>
        <w:jc w:val="left"/>
        <w:sectPr>
          <w:pgSz w:w="11910" w:h="16840"/>
          <w:pgMar w:header="747" w:footer="979" w:top="1060" w:bottom="1160" w:left="840" w:right="84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7）因金融资产转移而终止确认的其他应收款" w:id="211"/>
      <w:bookmarkEnd w:id="21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8）转移其他应收款且继续涉入形成的资产、负债金额" w:id="212"/>
      <w:bookmarkEnd w:id="21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0、存货" w:id="213"/>
      <w:bookmarkEnd w:id="213"/>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14"/>
      <w:bookmarkEnd w:id="21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875,730.80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875,730.80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2,422,034.76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2,422,034.76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36,729,280.54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36,729,280.54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27,571,232.15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27,571,232.15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21,619,077.91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7,301,634.52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14,317,443.39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25,062,101.69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25,062,101.69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59,224,089.25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7,301,634.52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51,922,454.73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55,055,368.60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55,055,368.60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15"/>
      <w:bookmarkEnd w:id="21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7,301,634.52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7,301,634.52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7,301,634.52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7,301,634.52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16"/>
      <w:bookmarkEnd w:id="21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17"/>
      <w:bookmarkEnd w:id="21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划分为持有待售的资产" w:id="218"/>
      <w:bookmarkEnd w:id="218"/>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19"/>
      <w:bookmarkEnd w:id="21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1,502,421.69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1,502,421.69</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3、其他流动资产" w:id="220"/>
      <w:bookmarkEnd w:id="22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可供出售金融资产" w:id="221"/>
      <w:bookmarkEnd w:id="22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22"/>
      <w:bookmarkEnd w:id="22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23"/>
      <w:bookmarkEnd w:id="22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期末按成本计量的可供出售金融资产" w:id="224"/>
      <w:bookmarkEnd w:id="22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深圳市明 道汇智投 资基金合 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北京柘益 投资中心</w:t>
            </w:r>
          </w:p>
          <w:p>
            <w:pPr>
              <w:pStyle w:val="TableParagraph"/>
              <w:spacing w:line="319" w:lineRule="auto" w:before="19"/>
              <w:ind w:left="22" w:right="10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报告期内可供出售金融资产减值的变动情况" w:id="225"/>
      <w:bookmarkEnd w:id="22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可供出售权益工具期末公允价值严重下跌或非暂时性下跌但未计提减值准备的相关说" w:id="226"/>
      <w:bookmarkEnd w:id="22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5、持有至到期投资" w:id="227"/>
      <w:bookmarkEnd w:id="22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持有至到期投资情况" w:id="228"/>
      <w:bookmarkEnd w:id="22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期末重要的持有至到期投资" w:id="229"/>
      <w:bookmarkEnd w:id="22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重分类的持有至到期投资" w:id="230"/>
      <w:bookmarkEnd w:id="23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长期应收款" w:id="231"/>
      <w:bookmarkEnd w:id="23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32"/>
      <w:bookmarkEnd w:id="23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因金融资产转移而终止确认的长期应收款" w:id="233"/>
      <w:bookmarkEnd w:id="23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34"/>
      <w:bookmarkEnd w:id="23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7、长期股权投资" w:id="235"/>
      <w:bookmarkEnd w:id="23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36"/>
      <w:bookmarkEnd w:id="23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37"/>
      <w:bookmarkEnd w:id="23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投资性房地产" w:id="238"/>
      <w:bookmarkEnd w:id="23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未办妥产权证书的投资性房地产情况" w:id="239"/>
      <w:bookmarkEnd w:id="23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固定资产" w:id="240"/>
      <w:bookmarkEnd w:id="240"/>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41"/>
      <w:bookmarkEnd w:id="24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49,603,217.62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15,122,284.19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1,273,762.62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65,999,264.43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13,567,854.36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1,124,858.07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14,692,712.43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13,567,854.36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1,124,858.07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14,692,712.43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202,225.61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202,225.61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202,225.61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202,225.61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63,171,071.98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16,044,916.65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1,273,762.62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80,489,751.25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261,794.75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4,864,641.54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668,386.61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5,794,822.90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1,405,219.65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2,659,720.70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128,758.44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4,193,698.79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1,405,219.65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2,659,720.70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128,758.44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4,193,698.79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149,056.71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149,056.71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149,056.71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149,056.71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1,667,014.40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7,375,305.53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797,145.05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9,839,464.98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61,504,057.58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8,669,611.12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476,617.57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70,650,286.27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49,341,422.87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10,257,642.65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605,376.01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60,204,441.53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42"/>
      <w:bookmarkEnd w:id="24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通过融资租赁租入的固定资产情况" w:id="243"/>
      <w:bookmarkEnd w:id="24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通过经营租赁租出的固定资产" w:id="244"/>
      <w:bookmarkEnd w:id="24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未办妥产权证书的固定资产情况" w:id="245"/>
      <w:bookmarkEnd w:id="24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0、在建工程" w:id="246"/>
      <w:bookmarkEnd w:id="24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47"/>
      <w:bookmarkEnd w:id="24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重要在建工程项目本期变动情况" w:id="248"/>
      <w:bookmarkEnd w:id="24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计提在建工程减值准备情况" w:id="249"/>
      <w:bookmarkEnd w:id="24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工程物资" w:id="250"/>
      <w:bookmarkEnd w:id="25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51"/>
      <w:bookmarkEnd w:id="25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52"/>
      <w:bookmarkEnd w:id="25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采用成本计量模式的生产性生物资产" w:id="253"/>
      <w:bookmarkEnd w:id="25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生产性生物资产" w:id="254"/>
      <w:bookmarkEnd w:id="25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4、油气资产" w:id="255"/>
      <w:bookmarkEnd w:id="25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5、无形资产" w:id="256"/>
      <w:bookmarkEnd w:id="25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57"/>
      <w:bookmarkEnd w:id="25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32,880,197.10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2,009,349.01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34,889,546.11</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4,748.30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4,748.30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4,748.30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4,748.30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32,884,945.40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2,009,349.01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34,894,294.41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1,534,409.24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431,856.24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1,966,265.48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657,920.51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631,285.32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1,289,205.83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657,920.51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631,285.32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1,289,205.83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2,192,329.75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1,063,141.56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3,255,471.31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30,692,615.65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946,207.45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31,638,823.10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31,345,787.86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1,577,492.77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32,923,280.63</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未办妥产权证书的土地使用权情况" w:id="258"/>
      <w:bookmarkEnd w:id="25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6、开发支出" w:id="259"/>
      <w:bookmarkEnd w:id="259"/>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商誉" w:id="260"/>
      <w:bookmarkEnd w:id="260"/>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1"/>
      <w:bookmarkEnd w:id="26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商誉减值准备" w:id="262"/>
      <w:bookmarkEnd w:id="26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长期待摊费用" w:id="263"/>
      <w:bookmarkEnd w:id="263"/>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3,004,843.29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1,502,421.60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1,502,421.69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3,004,843.29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1,502,421.60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1,502,421.69</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递延所得税资产/递延所得税负债" w:id="264"/>
      <w:bookmarkEnd w:id="26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65"/>
      <w:bookmarkEnd w:id="26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2,446,562.39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366,984.35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729,546.75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72,954.68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421,314.11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42,131.41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16,494,330.93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2,474,149.64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309,501.00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549,900.00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3,140,930.00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471,139.50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1,973,025.00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197,302.50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24,145,163.32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3,621,774.49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8,622,885.86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862,288.59</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2）未经抵销的递延所得税负债" w:id="266"/>
      <w:bookmarkEnd w:id="26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214" w:right="0"/>
        <w:jc w:val="left"/>
        <w:rPr>
          <w:b w:val="0"/>
          <w:bCs w:val="0"/>
        </w:rPr>
      </w:pPr>
      <w:bookmarkStart w:name="（3）以抵销后净额列示的递延所得税资产或负债" w:id="267"/>
      <w:bookmarkEnd w:id="26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3,621,774.49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862,288.59</w:t>
            </w:r>
          </w:p>
        </w:tc>
      </w:tr>
    </w:tbl>
    <w:p>
      <w:pPr>
        <w:spacing w:line="240" w:lineRule="auto" w:before="3"/>
        <w:rPr>
          <w:rFonts w:ascii="宋体" w:hAnsi="宋体" w:cs="宋体" w:eastAsia="宋体" w:hint="default"/>
          <w:sz w:val="19"/>
          <w:szCs w:val="19"/>
        </w:rPr>
      </w:pPr>
    </w:p>
    <w:p>
      <w:pPr>
        <w:pStyle w:val="Heading3"/>
        <w:spacing w:line="240" w:lineRule="auto" w:before="35"/>
        <w:ind w:left="214" w:right="0"/>
        <w:jc w:val="left"/>
        <w:rPr>
          <w:b w:val="0"/>
          <w:bCs w:val="0"/>
        </w:rPr>
      </w:pPr>
      <w:bookmarkStart w:name="（4）未确认递延所得税资产明细" w:id="268"/>
      <w:bookmarkEnd w:id="26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25,128,604.13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24,825,121.57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5,467,698.99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76,946.52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1,088,050.00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31,684,353.12</w:t>
            </w:r>
            <w:r>
              <w:rPr>
                <w:rFonts w:ascii="Times New Roman"/>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25,602,068.09</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5）未确认递延所得税资产的可抵扣亏损将于以下年度到期" w:id="269"/>
      <w:bookmarkEnd w:id="26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390"/>
        <w:gridCol w:w="2540"/>
        <w:gridCol w:w="2554"/>
        <w:gridCol w:w="2266"/>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2014</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2,556,586.86</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2015</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4,158,345.93</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4,158,345.93</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5,870,911.56</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5,870,911.56</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2017</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6,638,454.58</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6,638,454.58</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2018</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5,429,542.14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5,600,822.64</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2019</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3,031,349.92</w:t>
            </w:r>
          </w:p>
        </w:tc>
        <w:tc>
          <w:tcPr>
            <w:tcW w:w="255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20" w:right="98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390"/>
        <w:gridCol w:w="2540"/>
        <w:gridCol w:w="2554"/>
        <w:gridCol w:w="2266"/>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92" w:right="0"/>
              <w:jc w:val="left"/>
              <w:rPr>
                <w:rFonts w:ascii="Times New Roman" w:hAnsi="Times New Roman" w:cs="Times New Roman" w:eastAsia="Times New Roman" w:hint="default"/>
                <w:sz w:val="18"/>
                <w:szCs w:val="18"/>
              </w:rPr>
            </w:pPr>
            <w:r>
              <w:rPr>
                <w:rFonts w:ascii="Times New Roman"/>
                <w:b/>
                <w:sz w:val="18"/>
              </w:rPr>
              <w:t>25,128,604.13</w:t>
            </w:r>
            <w:r>
              <w:rPr>
                <w:rFonts w:ascii="Times New Roman"/>
                <w:sz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6" w:right="0"/>
              <w:jc w:val="left"/>
              <w:rPr>
                <w:rFonts w:ascii="Times New Roman" w:hAnsi="Times New Roman" w:cs="Times New Roman" w:eastAsia="Times New Roman" w:hint="default"/>
                <w:sz w:val="18"/>
                <w:szCs w:val="18"/>
              </w:rPr>
            </w:pPr>
            <w:r>
              <w:rPr>
                <w:rFonts w:ascii="Times New Roman"/>
                <w:sz w:val="18"/>
              </w:rPr>
              <w:t>24,825,121.57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30、其他非流动资产" w:id="270"/>
      <w:bookmarkEnd w:id="270"/>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3"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214" w:right="0"/>
        <w:jc w:val="left"/>
        <w:rPr>
          <w:b w:val="0"/>
          <w:bCs w:val="0"/>
        </w:rPr>
      </w:pPr>
      <w:bookmarkStart w:name="31、短期借款" w:id="271"/>
      <w:bookmarkEnd w:id="271"/>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0"/>
        <w:jc w:val="left"/>
        <w:rPr>
          <w:b w:val="0"/>
          <w:bCs w:val="0"/>
        </w:rPr>
      </w:pPr>
      <w:bookmarkStart w:name="（1）短期借款分类" w:id="272"/>
      <w:bookmarkEnd w:id="27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2）已逾期未偿还的短期借款情况" w:id="273"/>
      <w:bookmarkEnd w:id="27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32、以公允价值计量且其变动计入当期损益的金融负债" w:id="274"/>
      <w:bookmarkEnd w:id="274"/>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3"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33、衍生金融负债" w:id="275"/>
      <w:bookmarkEnd w:id="275"/>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line="547" w:lineRule="auto" w:before="0"/>
        <w:ind w:left="213" w:right="836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4、应付票据" w:id="276"/>
      <w:bookmarkEnd w:id="276"/>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19"/>
        <w:ind w:left="214" w:right="0"/>
        <w:jc w:val="left"/>
        <w:rPr>
          <w:b w:val="0"/>
          <w:bCs w:val="0"/>
        </w:rPr>
      </w:pPr>
      <w:bookmarkStart w:name="35、应付账款" w:id="277"/>
      <w:bookmarkEnd w:id="277"/>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4" w:right="0"/>
        <w:jc w:val="left"/>
        <w:rPr>
          <w:b w:val="0"/>
          <w:bCs w:val="0"/>
        </w:rPr>
      </w:pPr>
      <w:bookmarkStart w:name="（1）应付账款列示" w:id="278"/>
      <w:bookmarkEnd w:id="27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5,388,760.76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4,473,433.53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10,506.63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5,399,267.39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4,473,433.53</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2）账龄超过1年的重要应付账款" w:id="279"/>
      <w:bookmarkEnd w:id="27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0"/>
        <w:jc w:val="left"/>
      </w:pPr>
      <w:r>
        <w:rPr/>
        <w:t>无</w:t>
      </w:r>
    </w:p>
    <w:p>
      <w:pPr>
        <w:spacing w:after="0" w:line="240" w:lineRule="auto"/>
        <w:jc w:val="left"/>
        <w:sectPr>
          <w:pgSz w:w="11910" w:h="16840"/>
          <w:pgMar w:header="747" w:footer="979" w:top="1060" w:bottom="1160" w:left="92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6、预收款项" w:id="280"/>
      <w:bookmarkEnd w:id="280"/>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81"/>
      <w:bookmarkEnd w:id="28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1,867,980.12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399,598.00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166,666.69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33,333.36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10,322.10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10,322.10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2,105,135.58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576,586.79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2"/>
      <w:bookmarkEnd w:id="28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期末建造合同形成的已结算未完工项目情况" w:id="283"/>
      <w:bookmarkEnd w:id="28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284"/>
      <w:bookmarkEnd w:id="284"/>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5"/>
      <w:bookmarkEnd w:id="28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2,956,163.26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38,935,837.14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38,442,364.21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3,449,636.19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317,560.74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4,298,076.27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4,328,523.54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287,113.47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3,273,724.00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43,233,913.41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42,770,887.75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3,736,749.66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86"/>
      <w:bookmarkEnd w:id="28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2,673,025.00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31,813,548.24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31,335,183.24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3,151,390.00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1,304,465.42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1,304,465.42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175,646.34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2,330,558.68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2,347,427.68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158,777.34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151,419.40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2,017,152.78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2,031,690.18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136,882.00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149,264.99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150,478.04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10,900.42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164,140.91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165,259.46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10,994.92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2,761,133.40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2,720,909.40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42,864.00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104,851.92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726,131.40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734,378.47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96,604.85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2,956,163.26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38,935,837.14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38,442,364.21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3,449,636.19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87"/>
      <w:bookmarkEnd w:id="28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302,438.80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4,093,641.52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4,122,638.92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273,441.40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204,434.75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205,884.62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13,672.07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317,560.74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4,298,076.27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4,328,523.54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287,113.47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应交税费" w:id="288"/>
      <w:bookmarkEnd w:id="288"/>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13,872.62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306,362.78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64,242.06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22,131.46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-1,372,794.32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-3,635,280.61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132,022.46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114,293.15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15,495.04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30,733.60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6,640.84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13,171.60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4,427.11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8,781.00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-1,136,094.19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-3,139,807.02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应付利息" w:id="289"/>
      <w:bookmarkEnd w:id="289"/>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应付股利" w:id="290"/>
      <w:bookmarkEnd w:id="290"/>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1、其他应付款" w:id="291"/>
      <w:bookmarkEnd w:id="291"/>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92"/>
      <w:bookmarkEnd w:id="29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2,838.30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1,369,003.65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184,943.93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159,207.52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210,980.48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1,100,459.62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1,767,766.36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1,372,602.14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93"/>
      <w:bookmarkEnd w:id="29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划分为持有待售的负债" w:id="294"/>
      <w:bookmarkEnd w:id="294"/>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295"/>
      <w:bookmarkEnd w:id="29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296"/>
      <w:bookmarkEnd w:id="29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长期借款" w:id="297"/>
      <w:bookmarkEnd w:id="29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298"/>
      <w:bookmarkEnd w:id="29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6、应付债券" w:id="299"/>
      <w:bookmarkEnd w:id="29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00"/>
      <w:bookmarkEnd w:id="30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债券的增减变动（上包括划分为金融负债的优先股、永续债等其他金融工具）" w:id="301"/>
      <w:bookmarkEnd w:id="30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16"/>
          <w:pgSz w:w="11910" w:h="16840"/>
          <w:pgMar w:footer="979" w:header="747" w:top="1060" w:bottom="1160" w:left="980" w:right="980"/>
          <w:pgNumType w:start="10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可转换公司债券的转股条件、转股时间说明" w:id="302"/>
      <w:bookmarkEnd w:id="30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划分为金融负债的其他金融工具说明" w:id="303"/>
      <w:bookmarkEnd w:id="30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7、长期应付款" w:id="304"/>
      <w:bookmarkEnd w:id="30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05"/>
      <w:bookmarkEnd w:id="30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06"/>
      <w:bookmarkEnd w:id="306"/>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长期应付职工薪酬表" w:id="307"/>
      <w:bookmarkEnd w:id="30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设定受益计划变动情况" w:id="308"/>
      <w:bookmarkEnd w:id="30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9、专项应付款" w:id="309"/>
      <w:bookmarkEnd w:id="309"/>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0、预计负债" w:id="310"/>
      <w:bookmarkEnd w:id="31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1、递延收益" w:id="311"/>
      <w:bookmarkEnd w:id="31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5,691,370.00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3,140,930.00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5,691,370.00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3,140,930.00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集成电路设计企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1" w:right="0"/>
              <w:jc w:val="left"/>
              <w:rPr>
                <w:rFonts w:ascii="Times New Roman" w:hAnsi="Times New Roman" w:cs="Times New Roman" w:eastAsia="Times New Roman" w:hint="default"/>
                <w:sz w:val="18"/>
                <w:szCs w:val="18"/>
              </w:rPr>
            </w:pPr>
            <w:r>
              <w:rPr>
                <w:rFonts w:ascii="Times New Roman"/>
                <w:sz w:val="18"/>
              </w:rPr>
              <w:t>5,143,000.00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5,143,000.00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业研发能力项目 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领军人才专项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高密度三维系统 集成技术开发与 产业化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3,333,300.00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370,370.00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2,962,930.00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5,691,370.00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3,140,930.00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43"/>
        <w:jc w:val="left"/>
      </w:pPr>
      <w:r>
        <w:rPr/>
        <w:t>其他说明：</w:t>
      </w:r>
    </w:p>
    <w:p>
      <w:pPr>
        <w:pStyle w:val="BodyText"/>
        <w:spacing w:line="300" w:lineRule="auto" w:before="116"/>
        <w:ind w:left="295" w:right="190" w:firstLine="283"/>
        <w:jc w:val="both"/>
      </w:pPr>
      <w:r>
        <w:rPr>
          <w:spacing w:val="-5"/>
        </w:rPr>
        <w:t>注（</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12</w:t>
      </w:r>
      <w:r>
        <w:rPr>
          <w:spacing w:val="-5"/>
        </w:rPr>
        <w:t>月，财政部下发文件《财政部关于下达</w:t>
      </w:r>
      <w:r>
        <w:rPr>
          <w:rFonts w:ascii="Times New Roman" w:hAnsi="Times New Roman" w:cs="Times New Roman" w:eastAsia="Times New Roman" w:hint="default"/>
          <w:spacing w:val="-5"/>
        </w:rPr>
        <w:t>2011</w:t>
      </w:r>
      <w:r>
        <w:rPr>
          <w:spacing w:val="-5"/>
        </w:rPr>
        <w:t>年集成电路设计企业研发能力专项补助资金的通知》（财</w:t>
      </w:r>
      <w:r>
        <w:rPr/>
        <w:t> </w:t>
      </w:r>
      <w:r>
        <w:rPr>
          <w:spacing w:val="-1"/>
        </w:rPr>
        <w:t>建【</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1058</w:t>
      </w:r>
      <w:r>
        <w:rPr>
          <w:spacing w:val="-1"/>
        </w:rPr>
        <w:t>号），文件中声明：北京市发展和改革委员会为本公司承担的</w:t>
      </w:r>
      <w:r>
        <w:rPr>
          <w:rFonts w:ascii="Times New Roman" w:hAnsi="Times New Roman" w:cs="Times New Roman" w:eastAsia="Times New Roman" w:hint="default"/>
          <w:spacing w:val="-1"/>
        </w:rPr>
        <w:t>“</w:t>
      </w:r>
      <w:r>
        <w:rPr>
          <w:spacing w:val="-1"/>
        </w:rPr>
        <w:t>集成电路设计企业研发能力</w:t>
      </w:r>
      <w:r>
        <w:rPr>
          <w:rFonts w:ascii="Times New Roman" w:hAnsi="Times New Roman" w:cs="Times New Roman" w:eastAsia="Times New Roman" w:hint="default"/>
          <w:spacing w:val="-1"/>
        </w:rPr>
        <w:t>”</w:t>
      </w:r>
      <w:r>
        <w:rPr>
          <w:spacing w:val="-1"/>
        </w:rPr>
        <w:t>项目提供经费</w:t>
      </w:r>
      <w:r>
        <w:rPr>
          <w:spacing w:val="-57"/>
        </w:rPr>
        <w:t> </w:t>
      </w:r>
      <w:r>
        <w:rPr/>
        <w:t>资助</w:t>
      </w:r>
      <w:r>
        <w:rPr>
          <w:rFonts w:ascii="Times New Roman" w:hAnsi="Times New Roman" w:cs="Times New Roman" w:eastAsia="Times New Roman" w:hint="default"/>
        </w:rPr>
        <w:t>15,000,000.00</w:t>
      </w:r>
      <w:r>
        <w:rPr/>
        <w:t>元，项目研发期为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日收到北京市发展和改革委员会拨款</w:t>
      </w:r>
      <w:r>
        <w:rPr>
          <w:spacing w:val="10"/>
        </w:rPr>
        <w:t> </w:t>
      </w:r>
      <w:r>
        <w:rPr>
          <w:spacing w:val="10"/>
        </w:rPr>
      </w:r>
      <w:r>
        <w:rPr>
          <w:rFonts w:ascii="Times New Roman" w:hAnsi="Times New Roman" w:cs="Times New Roman" w:eastAsia="Times New Roman" w:hint="default"/>
          <w:spacing w:val="4"/>
        </w:rPr>
        <w:t>15,000,000.00</w:t>
      </w:r>
      <w:r>
        <w:rPr>
          <w:spacing w:val="4"/>
        </w:rPr>
        <w:t>元，按照收款日至研发结束的期间，本公司</w:t>
      </w:r>
      <w:r>
        <w:rPr>
          <w:rFonts w:ascii="Times New Roman" w:hAnsi="Times New Roman" w:cs="Times New Roman" w:eastAsia="Times New Roman" w:hint="default"/>
          <w:spacing w:val="4"/>
        </w:rPr>
        <w:t>2014</w:t>
      </w:r>
      <w:r>
        <w:rPr>
          <w:spacing w:val="4"/>
        </w:rPr>
        <w:t>年结转营业外收入</w:t>
      </w:r>
      <w:r>
        <w:rPr>
          <w:rFonts w:ascii="Times New Roman" w:hAnsi="Times New Roman" w:cs="Times New Roman" w:eastAsia="Times New Roman" w:hint="default"/>
          <w:spacing w:val="4"/>
        </w:rPr>
        <w:t>5,143,000.00</w:t>
      </w:r>
      <w:r>
        <w:rPr>
          <w:spacing w:val="4"/>
        </w:rPr>
        <w:t>元，累计结转营业外收入</w:t>
      </w:r>
    </w:p>
    <w:p>
      <w:pPr>
        <w:pStyle w:val="BodyText"/>
        <w:spacing w:line="300" w:lineRule="auto" w:before="13"/>
        <w:ind w:left="578" w:right="43" w:hanging="284"/>
        <w:jc w:val="left"/>
      </w:pPr>
      <w:r>
        <w:rPr>
          <w:rFonts w:ascii="Times New Roman" w:hAnsi="Times New Roman" w:cs="Times New Roman" w:eastAsia="Times New Roman" w:hint="default"/>
        </w:rPr>
        <w:t>15,000,000.00</w:t>
      </w:r>
      <w:r>
        <w:rPr/>
        <w:t>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w:t>
      </w:r>
      <w:r>
        <w:rPr/>
        <w:t>元； </w:t>
      </w: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月，本公司与北京市科学技术委员会签订《北京市科技专项工作任务书》，协议约定：北京市科学</w:t>
      </w:r>
    </w:p>
    <w:p>
      <w:pPr>
        <w:pStyle w:val="BodyText"/>
        <w:spacing w:line="300" w:lineRule="auto" w:before="13"/>
        <w:ind w:left="295" w:right="192"/>
        <w:jc w:val="both"/>
      </w:pPr>
      <w:r>
        <w:rPr/>
        <w:t>技术委员会为本公司承担的</w:t>
      </w:r>
      <w:r>
        <w:rPr>
          <w:rFonts w:ascii="Times New Roman" w:hAnsi="Times New Roman" w:cs="Times New Roman" w:eastAsia="Times New Roman" w:hint="default"/>
        </w:rPr>
        <w:t>“</w:t>
      </w:r>
      <w:r>
        <w:rPr/>
        <w:t>科技北京百名领军人才培养工程</w:t>
      </w:r>
      <w:r>
        <w:rPr>
          <w:rFonts w:ascii="Times New Roman" w:hAnsi="Times New Roman" w:cs="Times New Roman" w:eastAsia="Times New Roman" w:hint="default"/>
        </w:rPr>
        <w:t>-</w:t>
      </w:r>
      <w:r>
        <w:rPr/>
        <w:t>领军人才</w:t>
      </w:r>
      <w:r>
        <w:rPr>
          <w:rFonts w:ascii="Times New Roman" w:hAnsi="Times New Roman" w:cs="Times New Roman" w:eastAsia="Times New Roman" w:hint="default"/>
        </w:rPr>
        <w:t>-</w:t>
      </w:r>
      <w:r>
        <w:rPr/>
        <w:t>刘强</w:t>
      </w:r>
      <w:r>
        <w:rPr>
          <w:rFonts w:ascii="Times New Roman" w:hAnsi="Times New Roman" w:cs="Times New Roman" w:eastAsia="Times New Roman" w:hint="default"/>
        </w:rPr>
        <w:t>-</w:t>
      </w:r>
      <w:r>
        <w:rPr>
          <w:rFonts w:ascii="Times New Roman" w:hAnsi="Times New Roman" w:cs="Times New Roman" w:eastAsia="Times New Roman" w:hint="default"/>
        </w:rPr>
        <w:t>201206”</w:t>
      </w:r>
      <w:r>
        <w:rPr/>
        <w:t>项目提供经费资助</w:t>
      </w:r>
      <w:r>
        <w:rPr>
          <w:rFonts w:ascii="Times New Roman" w:hAnsi="Times New Roman" w:cs="Times New Roman" w:eastAsia="Times New Roman" w:hint="default"/>
        </w:rPr>
        <w:t>550,000.00</w:t>
      </w:r>
      <w:r>
        <w:rPr/>
        <w:t>元，项</w:t>
      </w:r>
      <w:r>
        <w:rPr>
          <w:spacing w:val="-33"/>
        </w:rPr>
        <w:t> </w:t>
      </w:r>
      <w:r>
        <w:rPr>
          <w:spacing w:val="-33"/>
        </w:rPr>
      </w:r>
      <w:r>
        <w:rPr>
          <w:spacing w:val="-1"/>
        </w:rPr>
        <w:t>目研发期为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月，本公司于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月收到北京市科学技术委员会拨款</w:t>
      </w:r>
      <w:r>
        <w:rPr>
          <w:rFonts w:ascii="Times New Roman" w:hAnsi="Times New Roman" w:cs="Times New Roman" w:eastAsia="Times New Roman" w:hint="default"/>
          <w:spacing w:val="-1"/>
        </w:rPr>
        <w:t>550,000.00</w:t>
      </w:r>
      <w:r>
        <w:rPr>
          <w:spacing w:val="-1"/>
        </w:rPr>
        <w:t>元，按照收款日至研</w:t>
      </w:r>
      <w:r>
        <w:rPr>
          <w:spacing w:val="-39"/>
        </w:rPr>
        <w:t> </w:t>
      </w:r>
      <w:r>
        <w:rPr>
          <w:spacing w:val="-39"/>
        </w:rPr>
      </w:r>
      <w:r>
        <w:rPr>
          <w:spacing w:val="-1"/>
        </w:rPr>
        <w:t>发结束的期间，本公司</w:t>
      </w:r>
      <w:r>
        <w:rPr>
          <w:rFonts w:ascii="Times New Roman" w:hAnsi="Times New Roman" w:cs="Times New Roman" w:eastAsia="Times New Roman" w:hint="default"/>
          <w:spacing w:val="-1"/>
        </w:rPr>
        <w:t>2014</w:t>
      </w:r>
      <w:r>
        <w:rPr>
          <w:spacing w:val="-1"/>
        </w:rPr>
        <w:t>年结转营业外收入</w:t>
      </w:r>
      <w:r>
        <w:rPr>
          <w:rFonts w:ascii="Times New Roman" w:hAnsi="Times New Roman" w:cs="Times New Roman" w:eastAsia="Times New Roman" w:hint="default"/>
          <w:spacing w:val="-1"/>
        </w:rPr>
        <w:t>178,000.00</w:t>
      </w:r>
      <w:r>
        <w:rPr>
          <w:spacing w:val="-1"/>
        </w:rPr>
        <w:t>元，累计结转营业外收入</w:t>
      </w:r>
      <w:r>
        <w:rPr>
          <w:rFonts w:ascii="Times New Roman" w:hAnsi="Times New Roman" w:cs="Times New Roman" w:eastAsia="Times New Roman" w:hint="default"/>
          <w:spacing w:val="-1"/>
        </w:rPr>
        <w:t>372,000.00</w:t>
      </w:r>
      <w:r>
        <w:rPr>
          <w:spacing w:val="-1"/>
        </w:rPr>
        <w:t>元，截至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日余额</w:t>
      </w:r>
      <w:r>
        <w:rPr>
          <w:spacing w:val="-69"/>
        </w:rPr>
        <w:t> </w:t>
      </w:r>
      <w:r>
        <w:rPr/>
        <w:t>为</w:t>
      </w:r>
      <w:r>
        <w:rPr>
          <w:rFonts w:ascii="Times New Roman" w:hAnsi="Times New Roman" w:cs="Times New Roman" w:eastAsia="Times New Roman" w:hint="default"/>
        </w:rPr>
        <w:t>178,000.00</w:t>
      </w:r>
      <w:r>
        <w:rPr/>
        <w:t>元；</w:t>
      </w:r>
    </w:p>
    <w:p>
      <w:pPr>
        <w:pStyle w:val="BodyText"/>
        <w:spacing w:line="300" w:lineRule="auto" w:before="13"/>
        <w:ind w:right="100" w:firstLine="360"/>
        <w:jc w:val="left"/>
      </w:pPr>
      <w:r>
        <w:rPr>
          <w:spacing w:val="-13"/>
        </w:rPr>
        <w:t>注（</w:t>
      </w:r>
      <w:r>
        <w:rPr>
          <w:rFonts w:ascii="Times New Roman" w:hAnsi="Times New Roman" w:cs="Times New Roman" w:eastAsia="Times New Roman" w:hint="default"/>
          <w:spacing w:val="-13"/>
        </w:rPr>
        <w:t>3</w:t>
      </w:r>
      <w:r>
        <w:rPr>
          <w:spacing w:val="-13"/>
        </w:rPr>
        <w:t>）：</w:t>
      </w:r>
      <w:r>
        <w:rPr>
          <w:spacing w:val="-16"/>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月，根据《财政部关于下达极大规模集成电路制造装备及成套工艺科技重大专项</w:t>
      </w:r>
      <w:r>
        <w:rPr>
          <w:rFonts w:ascii="Times New Roman" w:hAnsi="Times New Roman" w:cs="Times New Roman" w:eastAsia="Times New Roman" w:hint="default"/>
          <w:spacing w:val="-2"/>
        </w:rPr>
        <w:t>2014</w:t>
      </w:r>
      <w:r>
        <w:rPr>
          <w:spacing w:val="-2"/>
        </w:rPr>
        <w:t>年预算的通知》</w:t>
      </w:r>
      <w:r>
        <w:rPr/>
        <w:t> </w:t>
      </w:r>
      <w:r>
        <w:rPr>
          <w:spacing w:val="15"/>
        </w:rPr>
        <w:t>本公司收到江苏省科学技术厅为本公司承担的</w:t>
      </w:r>
      <w:r>
        <w:rPr>
          <w:rFonts w:ascii="Times New Roman" w:hAnsi="Times New Roman" w:cs="Times New Roman" w:eastAsia="Times New Roman" w:hint="default"/>
          <w:spacing w:val="15"/>
        </w:rPr>
        <w:t>“</w:t>
      </w:r>
      <w:r>
        <w:rPr>
          <w:rFonts w:ascii="Times New Roman" w:hAnsi="Times New Roman" w:cs="Times New Roman" w:eastAsia="Times New Roman" w:hint="default"/>
          <w:spacing w:val="-25"/>
        </w:rPr>
        <w:t> </w:t>
      </w:r>
      <w:r>
        <w:rPr>
          <w:spacing w:val="15"/>
        </w:rPr>
        <w:t>智能终端处理器芯片研发及先进封装技术导入</w:t>
      </w:r>
      <w:r>
        <w:rPr>
          <w:rFonts w:ascii="Times New Roman" w:hAnsi="Times New Roman" w:cs="Times New Roman" w:eastAsia="Times New Roman" w:hint="default"/>
          <w:spacing w:val="15"/>
        </w:rPr>
        <w:t>”</w:t>
      </w:r>
      <w:r>
        <w:rPr>
          <w:rFonts w:ascii="Times New Roman" w:hAnsi="Times New Roman" w:cs="Times New Roman" w:eastAsia="Times New Roman" w:hint="default"/>
          <w:spacing w:val="-24"/>
        </w:rPr>
        <w:t> </w:t>
      </w:r>
      <w:r>
        <w:rPr>
          <w:spacing w:val="14"/>
        </w:rPr>
        <w:t>项目提供经费资助</w:t>
      </w:r>
      <w:r>
        <w:rPr>
          <w:spacing w:val="-67"/>
        </w:rPr>
        <w:t> </w:t>
      </w:r>
      <w:r>
        <w:rPr>
          <w:spacing w:val="-67"/>
        </w:rPr>
      </w:r>
      <w:r>
        <w:rPr>
          <w:rFonts w:ascii="Times New Roman" w:hAnsi="Times New Roman" w:cs="Times New Roman" w:eastAsia="Times New Roman" w:hint="default"/>
          <w:spacing w:val="-2"/>
        </w:rPr>
        <w:t>3,333,300.00</w:t>
      </w:r>
      <w:r>
        <w:rPr>
          <w:spacing w:val="-2"/>
        </w:rPr>
        <w:t>元，项目研发期为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月收到江苏省科学技术厅为本公司拨款</w:t>
      </w:r>
      <w:r>
        <w:rPr>
          <w:rFonts w:ascii="Times New Roman" w:hAnsi="Times New Roman" w:cs="Times New Roman" w:eastAsia="Times New Roman" w:hint="default"/>
          <w:spacing w:val="-2"/>
        </w:rPr>
        <w:t>3,333,300.00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4"/>
        </w:rPr>
        <w:t>元，按照收款日至研发结束的期间，本公司</w:t>
      </w:r>
      <w:r>
        <w:rPr>
          <w:rFonts w:ascii="Times New Roman" w:hAnsi="Times New Roman" w:cs="Times New Roman" w:eastAsia="Times New Roman" w:hint="default"/>
          <w:spacing w:val="-4"/>
        </w:rPr>
        <w:t>2014</w:t>
      </w:r>
      <w:r>
        <w:rPr>
          <w:spacing w:val="-4"/>
        </w:rPr>
        <w:t>年结转营业外收入</w:t>
      </w:r>
      <w:r>
        <w:rPr>
          <w:rFonts w:ascii="Times New Roman" w:hAnsi="Times New Roman" w:cs="Times New Roman" w:eastAsia="Times New Roman" w:hint="default"/>
          <w:spacing w:val="-4"/>
        </w:rPr>
        <w:t>370,370.00</w:t>
      </w:r>
      <w:r>
        <w:rPr>
          <w:spacing w:val="-4"/>
        </w:rPr>
        <w:t>元，累计结转营业外收入</w:t>
      </w:r>
      <w:r>
        <w:rPr>
          <w:rFonts w:ascii="Times New Roman" w:hAnsi="Times New Roman" w:cs="Times New Roman" w:eastAsia="Times New Roman" w:hint="default"/>
          <w:spacing w:val="-4"/>
        </w:rPr>
        <w:t>370,370.00</w:t>
      </w:r>
      <w:r>
        <w:rPr>
          <w:spacing w:val="-4"/>
        </w:rPr>
        <w:t>元，截至</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2,962,930.00</w:t>
      </w:r>
      <w:r>
        <w:rPr/>
        <w:t>元。</w:t>
      </w:r>
    </w:p>
    <w:p>
      <w:pPr>
        <w:spacing w:line="240" w:lineRule="auto" w:before="1"/>
        <w:rPr>
          <w:rFonts w:ascii="宋体" w:hAnsi="宋体" w:cs="宋体" w:eastAsia="宋体" w:hint="default"/>
          <w:sz w:val="22"/>
          <w:szCs w:val="22"/>
        </w:rPr>
      </w:pPr>
    </w:p>
    <w:p>
      <w:pPr>
        <w:pStyle w:val="Heading3"/>
        <w:spacing w:line="240" w:lineRule="auto"/>
        <w:ind w:left="153" w:right="43"/>
        <w:jc w:val="left"/>
        <w:rPr>
          <w:b w:val="0"/>
          <w:bCs w:val="0"/>
        </w:rPr>
      </w:pPr>
      <w:bookmarkStart w:name="52、其他非流动负债" w:id="312"/>
      <w:bookmarkEnd w:id="31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43"/>
        <w:jc w:val="left"/>
      </w:pPr>
      <w:r>
        <w:rPr/>
        <w:t>无</w:t>
      </w:r>
    </w:p>
    <w:p>
      <w:pPr>
        <w:spacing w:line="240" w:lineRule="auto" w:before="10"/>
        <w:rPr>
          <w:rFonts w:ascii="宋体" w:hAnsi="宋体" w:cs="宋体" w:eastAsia="宋体" w:hint="default"/>
          <w:sz w:val="26"/>
          <w:szCs w:val="26"/>
        </w:rPr>
      </w:pPr>
    </w:p>
    <w:p>
      <w:pPr>
        <w:pStyle w:val="Heading3"/>
        <w:spacing w:line="240" w:lineRule="auto"/>
        <w:ind w:right="43"/>
        <w:jc w:val="left"/>
        <w:rPr>
          <w:b w:val="0"/>
          <w:bCs w:val="0"/>
        </w:rPr>
      </w:pPr>
      <w:bookmarkStart w:name="53、股本" w:id="313"/>
      <w:bookmarkEnd w:id="313"/>
      <w:r>
        <w:rPr>
          <w:b w:val="0"/>
          <w:bCs w:val="0"/>
        </w:rPr>
      </w:r>
      <w:r>
        <w:rPr>
          <w:rFonts w:ascii="Times New Roman" w:hAnsi="Times New Roman" w:cs="Times New Roman" w:eastAsia="Times New Roman" w:hint="default"/>
        </w:rPr>
        <w:t>53</w:t>
      </w:r>
      <w:r>
        <w:rPr/>
        <w:t>、股本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104,000,000.00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104,000,000.00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4、其他权益工具" w:id="314"/>
      <w:bookmarkEnd w:id="31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15"/>
      <w:bookmarkEnd w:id="31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16"/>
      <w:bookmarkEnd w:id="31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5、资本公积" w:id="317"/>
      <w:bookmarkEnd w:id="31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795,817,178.85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795,817,178.85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795,817,178.85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795,817,178.85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6、库存股" w:id="318"/>
      <w:bookmarkEnd w:id="31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7、其他综合收益" w:id="319"/>
      <w:bookmarkEnd w:id="31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87"/>
        <w:gridCol w:w="1082"/>
        <w:gridCol w:w="935"/>
        <w:gridCol w:w="1151"/>
        <w:gridCol w:w="839"/>
        <w:gridCol w:w="994"/>
        <w:gridCol w:w="850"/>
        <w:gridCol w:w="1019"/>
      </w:tblGrid>
      <w:tr>
        <w:trPr>
          <w:trHeight w:val="403"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47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19"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8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0"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019"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83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43" w:right="5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21" w:right="41" w:hanging="181"/>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850" w:type="dxa"/>
            <w:vMerge/>
            <w:tcBorders>
              <w:left w:val="single" w:sz="4" w:space="0" w:color="000000"/>
              <w:right w:val="single" w:sz="4" w:space="0" w:color="000000"/>
            </w:tcBorders>
            <w:shd w:val="clear" w:color="auto" w:fill="D2D2D2"/>
          </w:tcPr>
          <w:p>
            <w:pPr/>
          </w:p>
        </w:tc>
        <w:tc>
          <w:tcPr>
            <w:tcW w:w="10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87" w:type="dxa"/>
            <w:vMerge w:val="restart"/>
            <w:tcBorders>
              <w:top w:val="nil" w:sz="6" w:space="0" w:color="auto"/>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839"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-895,479.02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1,122.14</w:t>
            </w:r>
          </w:p>
        </w:tc>
        <w:tc>
          <w:tcPr>
            <w:tcW w:w="115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1,122.14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-894,356.88</w:t>
            </w: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5" w:right="0"/>
              <w:jc w:val="left"/>
              <w:rPr>
                <w:rFonts w:ascii="Times New Roman" w:hAnsi="Times New Roman" w:cs="Times New Roman" w:eastAsia="Times New Roman" w:hint="default"/>
                <w:sz w:val="18"/>
                <w:szCs w:val="18"/>
              </w:rPr>
            </w:pPr>
            <w:r>
              <w:rPr>
                <w:rFonts w:ascii="Times New Roman"/>
                <w:sz w:val="18"/>
              </w:rPr>
              <w:t>-895,479.02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1,122.14</w:t>
            </w:r>
          </w:p>
        </w:tc>
        <w:tc>
          <w:tcPr>
            <w:tcW w:w="115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1,122.14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-894,356.88</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5" w:right="0"/>
              <w:jc w:val="left"/>
              <w:rPr>
                <w:rFonts w:ascii="Times New Roman" w:hAnsi="Times New Roman" w:cs="Times New Roman" w:eastAsia="Times New Roman" w:hint="default"/>
                <w:sz w:val="18"/>
                <w:szCs w:val="18"/>
              </w:rPr>
            </w:pPr>
            <w:r>
              <w:rPr>
                <w:rFonts w:ascii="Times New Roman"/>
                <w:sz w:val="18"/>
              </w:rPr>
              <w:t>-895,479.02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1,122.14</w:t>
            </w:r>
          </w:p>
        </w:tc>
        <w:tc>
          <w:tcPr>
            <w:tcW w:w="115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1,122.14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-894,356.88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8、专项储备" w:id="320"/>
      <w:bookmarkEnd w:id="32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9、盈余公积" w:id="321"/>
      <w:bookmarkEnd w:id="32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26,231,189.77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26,231,189.77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26,231,189.77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26,231,189.77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0、未分配利润" w:id="322"/>
      <w:bookmarkEnd w:id="32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152,717,694.29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161,203,577.58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-10,029,719.23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25,569,724.44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2,772,283.10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10,421,347.74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31,283,324.63</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132,266,627.32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152,717,694.29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1、营业收入和营业成本" w:id="323"/>
      <w:bookmarkEnd w:id="32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55,912,644.05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25,382,860.66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94,425,888.99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48,689,480.94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3,119,013.22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912,723.71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406,196.00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59,031,657.27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26,295,584.37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94,832,084.99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48,689,480.94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2、营业税金及附加" w:id="324"/>
      <w:bookmarkEnd w:id="324"/>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215,750.78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37,131.42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421,578.57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326,938.80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178,964.27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140,116.67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119,309.49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93,411.06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935,603.11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597,597.95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销售费用" w:id="325"/>
      <w:bookmarkEnd w:id="32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299,628.84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319,150.06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1,595,490.05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1,304,056.53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118,877.86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106,525.96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127,358.64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143,661.16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25,643.35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2,200,050.19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1,899,037.06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管理费用" w:id="326"/>
      <w:bookmarkEnd w:id="32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429,053.71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235,642.36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1,114,602.01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564,211.88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1,129,062.16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896,925.24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9,783,818.87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7,940,251.85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1,203,128.40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1,010,451.59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5,558,375.03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2,994,881.72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877,253.71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377,437.48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1,857,942.46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1,884,345.99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42,835,126.30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42,715,383.38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540,507.97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472,961.69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335,447.11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1,023,295.42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65,664,317.73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60,115,788.60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5、财务费用" w:id="327"/>
      <w:bookmarkEnd w:id="327"/>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-23,638,610.36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-27,786,211.67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-14,690.61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-59,704.43</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35,655.57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54,799.78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7,856.80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5,410.21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-23,609,788.60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-27,785,706.11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6、资产减值损失" w:id="328"/>
      <w:bookmarkEnd w:id="328"/>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-193,866.41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16,276.33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7,301,634.52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7,107,768.11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16,276.33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7、公允价值变动收益" w:id="329"/>
      <w:bookmarkEnd w:id="329"/>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8、投资收益" w:id="330"/>
      <w:bookmarkEnd w:id="33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1,074,657.39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233,455.59</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1,074,657.39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233,455.59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9、营业外收入" w:id="331"/>
      <w:bookmarkEnd w:id="331"/>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6,218,911.00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15,464,698.00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6,218,911.00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1,365,391.80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1,359,053.39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160,647.72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39,495.54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160,647.72</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7,744,950.52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16,863,246.93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6,379,558.72</w:t>
            </w:r>
          </w:p>
        </w:tc>
      </w:tr>
    </w:tbl>
    <w:p>
      <w:pPr>
        <w:pStyle w:val="BodyText"/>
        <w:spacing w:line="240" w:lineRule="auto" w:before="51"/>
        <w:ind w:left="154" w:right="0"/>
        <w:jc w:val="left"/>
      </w:pPr>
      <w:r>
        <w:rPr/>
        <w:t>计入当期损益的政府补助：</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集成电路设计企业研发能力 项目补助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领军人才专项项目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高密度三维系统集成技术开 发与产业化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370,370.00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国家知识产权局专利资助金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中关村企业信用促进会信用 评级补贴款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中关村科技园管委会党建工 作和活动经费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贴息款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495,546.00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499,403.00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面向电子书市场的高性能嵌 入式处理器芯片研发及产业 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面向电子书市场的高性能嵌 入式处理器芯片研发及产业 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双核移动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芯片研发及产 业化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高性能移动处理器芯片研究 及产业化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高性能多媒体处理芯片研究 和产业化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纳米工艺的移动处理 器芯片研发及产业化项目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国家知识产权局专利资助金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年中关村专利促进资金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中关村科技园管委会党建工 作和活动经费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3" w:right="0"/>
              <w:jc w:val="left"/>
              <w:rPr>
                <w:rFonts w:ascii="Times New Roman" w:hAnsi="Times New Roman" w:cs="Times New Roman" w:eastAsia="Times New Roman" w:hint="default"/>
                <w:sz w:val="18"/>
                <w:szCs w:val="18"/>
              </w:rPr>
            </w:pPr>
            <w:r>
              <w:rPr>
                <w:rFonts w:ascii="Times New Roman"/>
                <w:sz w:val="18"/>
              </w:rPr>
              <w:t>6,218,911.00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15,464,698.00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0、营业外支出" w:id="332"/>
      <w:bookmarkEnd w:id="332"/>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43,745.83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43,745.83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43,745.83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43,745.83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1,963,834.22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1,963,834.22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17,938.50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2,010,780.05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62,528.15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2,010,780.05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所得税费用" w:id="333"/>
      <w:bookmarkEnd w:id="333"/>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34"/>
      <w:bookmarkEnd w:id="33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832,974.62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-2,759,485.90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2,220,331.44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-2,759,485.90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3,053,306.06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会计利润与所得税费用调整过程" w:id="335"/>
      <w:bookmarkEnd w:id="33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-12,753,049.78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-1,842,230.53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184,027.64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-401,888.94</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2,202,538.10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-1,198,666.02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-1,703,266.15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-2,759,485.90</w:t>
            </w:r>
          </w:p>
        </w:tc>
      </w:tr>
    </w:tbl>
    <w:p>
      <w:pPr>
        <w:pStyle w:val="BodyText"/>
        <w:spacing w:line="300" w:lineRule="auto" w:before="51"/>
        <w:ind w:left="154" w:right="190"/>
        <w:jc w:val="both"/>
      </w:pPr>
      <w:r>
        <w:rPr/>
        <w:t>其他说明：其他项为本公司报告期内仍享受国家规划布局内重点集成电路设计企业所得税税率</w:t>
      </w:r>
      <w:r>
        <w:rPr>
          <w:spacing w:val="-45"/>
        </w:rPr>
        <w:t> </w:t>
      </w:r>
      <w:r>
        <w:rPr>
          <w:rFonts w:ascii="Times New Roman" w:hAnsi="Times New Roman" w:cs="Times New Roman" w:eastAsia="Times New Roman" w:hint="default"/>
        </w:rPr>
        <w:t>10%</w:t>
      </w:r>
      <w:r>
        <w:rPr/>
        <w:t>的税收优惠政策（详见 本附注五、</w:t>
      </w:r>
      <w:r>
        <w:rPr>
          <w:rFonts w:ascii="Times New Roman" w:hAnsi="Times New Roman" w:cs="Times New Roman" w:eastAsia="Times New Roman" w:hint="default"/>
        </w:rPr>
        <w:t>2 </w:t>
      </w:r>
      <w:r>
        <w:rPr>
          <w:spacing w:val="-4"/>
        </w:rPr>
        <w:t>注（</w:t>
      </w:r>
      <w:r>
        <w:rPr>
          <w:rFonts w:ascii="Times New Roman" w:hAnsi="Times New Roman" w:cs="Times New Roman" w:eastAsia="Times New Roman" w:hint="default"/>
          <w:spacing w:val="-4"/>
        </w:rPr>
        <w:t>3</w:t>
      </w:r>
      <w:r>
        <w:rPr>
          <w:spacing w:val="-4"/>
        </w:rPr>
        <w:t>）），但下一年度的认定尚未完成，考虑谨慎性原则，对未来可抵扣暂时性差异和可抵扣亏损金额按</w:t>
      </w:r>
      <w:r>
        <w:rPr>
          <w:spacing w:val="-39"/>
        </w:rPr>
        <w:t> </w:t>
      </w:r>
      <w:r>
        <w:rPr>
          <w:rFonts w:ascii="Times New Roman" w:hAnsi="Times New Roman" w:cs="Times New Roman" w:eastAsia="Times New Roman" w:hint="default"/>
        </w:rPr>
        <w:t>15% </w:t>
      </w:r>
      <w:r>
        <w:rPr/>
        <w:t>的比例确认了递延所得税资产影响所致。</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bookmarkStart w:name="72、其他综合收益" w:id="336"/>
      <w:bookmarkEnd w:id="336"/>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详见附注。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73、现金流量表项目" w:id="337"/>
      <w:bookmarkEnd w:id="337"/>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both"/>
        <w:rPr>
          <w:b w:val="0"/>
          <w:bCs w:val="0"/>
        </w:rPr>
      </w:pPr>
      <w:bookmarkStart w:name="（1）收到的其他与经营活动有关的现金" w:id="338"/>
      <w:bookmarkEnd w:id="33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1,473,180.47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1,733,699.98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648,746.40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636,929.53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8,129,419.41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11,217,700.55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6,905,314.00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36,045,403.70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20,489,960.28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55,483,733.76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39"/>
      <w:bookmarkEnd w:id="33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2,131,779.19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1,691,294.12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14,261,088.13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12,719,233.02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42,949.56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89,231.05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1,684,510.20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152,654.38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18,123,527.08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14,654,382.56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40"/>
      <w:bookmarkEnd w:id="34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41"/>
      <w:bookmarkEnd w:id="34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42"/>
      <w:bookmarkEnd w:id="34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投资款孳息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2,683.74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2,683.74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43"/>
      <w:bookmarkEnd w:id="34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4、现金流量表补充资料" w:id="344"/>
      <w:bookmarkEnd w:id="344"/>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45"/>
      <w:bookmarkEnd w:id="34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-9,993,563.88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25,280,478.53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7,107,768.11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16,276.33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4,193,698.79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2,618,493.43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1,289,205.83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1,083,960.52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1,502,421.60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1,502,421.60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132.209976pt;width:151.25pt;height:20.8pt;mso-position-horizontal-relative:page;mso-position-vertical-relative:page;z-index:-671224" coordorigin="4467,2644" coordsize="3025,416">
            <v:group style="position:absolute;left:4478;top:2656;width:2;height:393" coordorigin="4478,2656" coordsize="2,393">
              <v:shape style="position:absolute;left:4478;top:2656;width:2;height:393" coordorigin="4478,2656" coordsize="0,393" path="m4478,2656l4478,3048e" filled="false" stroked="true" strokeweight="1.140pt" strokecolor="#ffffff">
                <v:path arrowok="t"/>
              </v:shape>
            </v:group>
            <v:group style="position:absolute;left:4490;top:2656;width:3002;height:393" coordorigin="4490,2656" coordsize="3002,393">
              <v:shape style="position:absolute;left:4490;top:2656;width:3002;height:393" coordorigin="4490,2656" coordsize="3002,393" path="m4490,3048l7491,3048,7491,2656,4490,2656,4490,304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43,745.83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44,219.66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-2,683.74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-1,074,657.39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-233,455.59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-2,759,485.90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2,220,331.44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-4,168,720.65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-4,893,025.03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-118,754.78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21,966,618.22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2,898,730.93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-13,658,011.12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-989.62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-1,080,681.02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35,945,624.25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835,965,400.44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847,827,125.03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847,827,125.03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929,782,178.74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35" w:right="0"/>
              <w:jc w:val="left"/>
              <w:rPr>
                <w:rFonts w:ascii="Times New Roman" w:hAnsi="Times New Roman" w:cs="Times New Roman" w:eastAsia="Times New Roman" w:hint="default"/>
                <w:sz w:val="18"/>
                <w:szCs w:val="18"/>
              </w:rPr>
            </w:pPr>
            <w:r>
              <w:rPr>
                <w:rFonts w:ascii="Times New Roman"/>
                <w:sz w:val="18"/>
              </w:rPr>
              <w:t>-11,861,724.59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-81,955,053.71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46"/>
      <w:bookmarkEnd w:id="34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47"/>
      <w:bookmarkEnd w:id="34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48"/>
      <w:bookmarkEnd w:id="34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835,965,400.44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847,827,125.03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194,943.93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145,069.94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835,770,456.51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847,682,055.09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835,965,400.44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847,827,125.03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5、所有者权益变动表项目注释" w:id="349"/>
      <w:bookmarkEnd w:id="349"/>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项目名称及调整金额等事项：无</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6、所有权或使用权受到限制的资产" w:id="350"/>
      <w:bookmarkEnd w:id="350"/>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7、外币货币性项目" w:id="351"/>
      <w:bookmarkEnd w:id="351"/>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52"/>
      <w:bookmarkEnd w:id="35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48,410.16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7,911.45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48,410.16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-5,842.17</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-35,748.24</w:t>
            </w:r>
            <w:r>
              <w:rPr>
                <w:rFonts w:ascii="Times New Roman"/>
                <w:sz w:val="18"/>
              </w:rPr>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-5,842.17</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-35,748.24</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境外经营实体说明，包括对于重要的境外经营实体，应披露其境外主要经营地、记账" w:id="353"/>
      <w:bookmarkEnd w:id="35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本公司全资子公司北京君正集成电路（香港）集团有限公司经营地在香港，因其设立目的主要为办理出口业务，故选取</w:t>
      </w:r>
    </w:p>
    <w:p>
      <w:pPr>
        <w:pStyle w:val="BodyText"/>
        <w:spacing w:line="240" w:lineRule="auto" w:before="4"/>
        <w:ind w:right="0"/>
        <w:jc w:val="left"/>
      </w:pPr>
      <w:r>
        <w:rPr/>
        <w:t>美金作为本位币。</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8、套期" w:id="354"/>
      <w:bookmarkEnd w:id="354"/>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spacing w:line="487" w:lineRule="auto" w:before="0"/>
        <w:ind w:left="153" w:right="7349" w:firstLine="0"/>
        <w:jc w:val="left"/>
        <w:rPr>
          <w:rFonts w:ascii="宋体" w:hAnsi="宋体" w:cs="宋体" w:eastAsia="宋体" w:hint="default"/>
          <w:sz w:val="21"/>
          <w:szCs w:val="21"/>
        </w:rPr>
      </w:pPr>
      <w:bookmarkStart w:name="79、其他" w:id="355"/>
      <w:bookmarkEnd w:id="355"/>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56"/>
      <w:bookmarkEnd w:id="35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7"/>
      <w:bookmarkEnd w:id="3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本期发生的非同一控制下企业合并" w:id="358"/>
      <w:bookmarkEnd w:id="35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合并成本及商誉" w:id="359"/>
      <w:bookmarkEnd w:id="35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被购买方于购买日可辨认资产、负债" w:id="360"/>
      <w:bookmarkEnd w:id="36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购买日之前持有的股权按照公允价值重新计量产生的利得或损失" w:id="361"/>
      <w:bookmarkEnd w:id="36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是否存在通过多次交易分步实现企业合并且在报告期内取得控制权的交易</w:t>
      </w:r>
    </w:p>
    <w:p>
      <w:pPr>
        <w:pStyle w:val="BodyText"/>
        <w:spacing w:line="240" w:lineRule="auto" w:before="11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43"/>
        <w:jc w:val="left"/>
        <w:rPr>
          <w:b w:val="0"/>
          <w:bCs w:val="0"/>
        </w:rPr>
      </w:pPr>
      <w:bookmarkStart w:name="（5）购买日或合并当期期末无法合理确定合并对价或被购买方可辨认资产、负债公允价值" w:id="362"/>
      <w:bookmarkEnd w:id="36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43"/>
        <w:jc w:val="left"/>
        <w:rPr>
          <w:b w:val="0"/>
          <w:bCs w:val="0"/>
        </w:rPr>
      </w:pPr>
      <w:bookmarkStart w:name="（6）其他说明" w:id="363"/>
      <w:bookmarkEnd w:id="36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43"/>
        <w:jc w:val="left"/>
        <w:rPr>
          <w:b w:val="0"/>
          <w:bCs w:val="0"/>
        </w:rPr>
      </w:pPr>
      <w:bookmarkStart w:name="2、同一控制下企业合并" w:id="364"/>
      <w:bookmarkEnd w:id="36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43"/>
        <w:jc w:val="left"/>
        <w:rPr>
          <w:b w:val="0"/>
          <w:bCs w:val="0"/>
        </w:rPr>
      </w:pPr>
      <w:bookmarkStart w:name="（1）本期发生的同一控制下企业合并" w:id="365"/>
      <w:bookmarkEnd w:id="36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43"/>
        <w:jc w:val="left"/>
        <w:rPr>
          <w:b w:val="0"/>
          <w:bCs w:val="0"/>
        </w:rPr>
      </w:pPr>
      <w:bookmarkStart w:name="（2）合并成本" w:id="366"/>
      <w:bookmarkEnd w:id="36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43"/>
        <w:jc w:val="left"/>
        <w:rPr>
          <w:b w:val="0"/>
          <w:bCs w:val="0"/>
        </w:rPr>
      </w:pPr>
      <w:bookmarkStart w:name="（3）合并日被合并方资产、负债的账面价值" w:id="367"/>
      <w:bookmarkEnd w:id="36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43"/>
        <w:jc w:val="left"/>
        <w:rPr>
          <w:b w:val="0"/>
          <w:bCs w:val="0"/>
        </w:rPr>
      </w:pPr>
      <w:bookmarkStart w:name="3、反向购买" w:id="368"/>
      <w:bookmarkEnd w:id="36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43"/>
        <w:jc w:val="left"/>
        <w:rPr>
          <w:b w:val="0"/>
          <w:bCs w:val="0"/>
        </w:rPr>
      </w:pPr>
      <w:bookmarkStart w:name="4、处置子公司" w:id="369"/>
      <w:bookmarkEnd w:id="36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43"/>
        <w:jc w:val="left"/>
      </w:pPr>
      <w:r>
        <w:rPr/>
        <w:t>是否存在单次处置对子公司投资即丧失控制权的情形</w:t>
      </w:r>
    </w:p>
    <w:p>
      <w:pPr>
        <w:pStyle w:val="BodyText"/>
        <w:spacing w:line="338" w:lineRule="auto" w:before="116"/>
        <w:ind w:right="4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4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43"/>
        <w:jc w:val="left"/>
        <w:rPr>
          <w:b w:val="0"/>
          <w:bCs w:val="0"/>
        </w:rPr>
      </w:pPr>
      <w:bookmarkStart w:name="5、其他原因的合并范围变动" w:id="370"/>
      <w:bookmarkEnd w:id="37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43"/>
        <w:jc w:val="left"/>
      </w:pPr>
      <w:r>
        <w:rPr/>
        <w:t>说明其他原因导致的合并范围变动（如，新设子公司、清算子公司等）及其相关情况：</w:t>
      </w:r>
    </w:p>
    <w:p>
      <w:pPr>
        <w:pStyle w:val="BodyText"/>
        <w:spacing w:line="307" w:lineRule="auto" w:before="115"/>
        <w:ind w:right="10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日，根据股东大会决议，本公司新设成立全资子公司合肥君正科技有限公司，注册资本：</w:t>
      </w:r>
      <w:r>
        <w:rPr>
          <w:rFonts w:ascii="Times New Roman" w:hAnsi="Times New Roman" w:cs="Times New Roman" w:eastAsia="Times New Roman" w:hint="default"/>
        </w:rPr>
        <w:t>14,000</w:t>
      </w:r>
      <w:r>
        <w:rPr/>
        <w:t>万元；注 </w:t>
      </w:r>
      <w:r>
        <w:rPr>
          <w:spacing w:val="-4"/>
        </w:rPr>
        <w:t>册地：合肥；经营范围：半导体集成电路芯片的研发、设计、委托加工、销售；计算机软、硬件及其辅助设备、电子元器件、</w:t>
      </w:r>
      <w:r>
        <w:rPr>
          <w:spacing w:val="-50"/>
        </w:rPr>
        <w:t> </w:t>
      </w:r>
      <w:r>
        <w:rPr>
          <w:spacing w:val="-50"/>
        </w:rPr>
      </w:r>
      <w:r>
        <w:rPr>
          <w:spacing w:val="-2"/>
        </w:rPr>
        <w:t>通讯设备的设计、开发、销售；技术开发、技术转让、技术咨询、技术服务。截止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日，合肥君正科技有限公司</w:t>
      </w:r>
      <w:r>
        <w:rPr>
          <w:spacing w:val="-59"/>
        </w:rPr>
        <w:t> </w:t>
      </w:r>
      <w:r>
        <w:rPr>
          <w:spacing w:val="-59"/>
        </w:rPr>
      </w:r>
      <w:r>
        <w:rPr/>
        <w:t>期末净资产</w:t>
      </w:r>
      <w:r>
        <w:rPr>
          <w:rFonts w:ascii="Times New Roman" w:hAnsi="Times New Roman" w:cs="Times New Roman" w:eastAsia="Times New Roman" w:hint="default"/>
        </w:rPr>
        <w:t>13,635.21</w:t>
      </w:r>
      <w:r>
        <w:rPr/>
        <w:t>万元，本期净利润</w:t>
      </w:r>
      <w:r>
        <w:rPr>
          <w:rFonts w:ascii="Times New Roman" w:hAnsi="Times New Roman" w:cs="Times New Roman" w:eastAsia="Times New Roman" w:hint="default"/>
        </w:rPr>
        <w:t>-364.79</w:t>
      </w:r>
      <w:r>
        <w:rPr/>
        <w:t>万元。</w:t>
      </w:r>
    </w:p>
    <w:p>
      <w:pPr>
        <w:spacing w:line="240" w:lineRule="auto" w:before="6"/>
        <w:rPr>
          <w:rFonts w:ascii="宋体" w:hAnsi="宋体" w:cs="宋体" w:eastAsia="宋体" w:hint="default"/>
          <w:sz w:val="21"/>
          <w:szCs w:val="21"/>
        </w:rPr>
      </w:pPr>
    </w:p>
    <w:p>
      <w:pPr>
        <w:spacing w:line="487" w:lineRule="auto" w:before="0"/>
        <w:ind w:left="153" w:right="6598" w:firstLine="0"/>
        <w:jc w:val="left"/>
        <w:rPr>
          <w:rFonts w:ascii="宋体" w:hAnsi="宋体" w:cs="宋体" w:eastAsia="宋体" w:hint="default"/>
          <w:sz w:val="21"/>
          <w:szCs w:val="21"/>
        </w:rPr>
      </w:pPr>
      <w:bookmarkStart w:name="6、其他" w:id="371"/>
      <w:bookmarkEnd w:id="37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72"/>
      <w:bookmarkEnd w:id="37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73"/>
      <w:bookmarkEnd w:id="37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3" w:right="43"/>
        <w:jc w:val="left"/>
        <w:rPr>
          <w:b w:val="0"/>
          <w:bCs w:val="0"/>
        </w:rPr>
      </w:pPr>
      <w:bookmarkStart w:name="（1）企业集团的构成" w:id="374"/>
      <w:bookmarkEnd w:id="37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both"/>
              <w:rPr>
                <w:rFonts w:ascii="宋体" w:hAnsi="宋体" w:cs="宋体" w:eastAsia="宋体" w:hint="default"/>
                <w:sz w:val="18"/>
                <w:szCs w:val="18"/>
              </w:rPr>
            </w:pPr>
            <w:r>
              <w:rPr>
                <w:rFonts w:ascii="宋体" w:hAnsi="宋体" w:cs="宋体" w:eastAsia="宋体" w:hint="default"/>
                <w:sz w:val="18"/>
                <w:szCs w:val="18"/>
              </w:rPr>
              <w:t>北京君正集成电 路（香港）集团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集成电路开发、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深圳君正时代集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集成电路开发、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成电路有限公司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北京君诚易恒科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合肥君正科技有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375"/>
      <w:bookmarkEnd w:id="37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重要非全资子公司的主要财务信息" w:id="376"/>
      <w:bookmarkEnd w:id="37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使用企业集团资产和清偿企业集团债务的重大限制" w:id="377"/>
      <w:bookmarkEnd w:id="37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向纳入合并财务报表范围的结构化主体提供的财务支持或其他支持" w:id="378"/>
      <w:bookmarkEnd w:id="37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在子公司的所有者权益份额发生变化且仍控制子公司的交易" w:id="379"/>
      <w:bookmarkEnd w:id="37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80"/>
      <w:bookmarkEnd w:id="38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381"/>
      <w:bookmarkEnd w:id="38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在合营安排或联营企业中的权益" w:id="382"/>
      <w:bookmarkEnd w:id="38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83"/>
      <w:bookmarkEnd w:id="38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重要合营企业的主要财务信息" w:id="384"/>
      <w:bookmarkEnd w:id="38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重要联营企业的主要财务信息" w:id="385"/>
      <w:bookmarkEnd w:id="38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上重要的合营企业和联营企业的汇总财务信息" w:id="386"/>
      <w:bookmarkEnd w:id="38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合营企业或联营企业向本公司转移资金的能力存在重大限制的说明" w:id="387"/>
      <w:bookmarkEnd w:id="38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388"/>
      <w:bookmarkEnd w:id="38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389"/>
      <w:bookmarkEnd w:id="38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390"/>
      <w:bookmarkEnd w:id="39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391"/>
      <w:bookmarkEnd w:id="39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both"/>
        <w:rPr>
          <w:b w:val="0"/>
          <w:bCs w:val="0"/>
        </w:rPr>
      </w:pPr>
      <w:bookmarkStart w:name="5、在未纳入合并财务报表范围的结构化主体中的权益" w:id="392"/>
      <w:bookmarkEnd w:id="39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both"/>
        <w:rPr>
          <w:b w:val="0"/>
          <w:bCs w:val="0"/>
        </w:rPr>
      </w:pPr>
      <w:bookmarkStart w:name="6、其他" w:id="393"/>
      <w:bookmarkEnd w:id="39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394"/>
      <w:bookmarkEnd w:id="39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3" w:firstLine="360"/>
        <w:jc w:val="left"/>
      </w:pPr>
      <w:r>
        <w:rPr>
          <w:spacing w:val="-2"/>
        </w:rPr>
        <w:t>本公司从事风险管理的目标是在风险和收益之间取得平衡，将风险对本公司经营业绩的负面影响降至最低水平，使股东</w:t>
      </w:r>
      <w:r>
        <w:rPr/>
        <w:t>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BodyText"/>
        <w:spacing w:line="319" w:lineRule="auto" w:before="56"/>
        <w:ind w:right="43" w:firstLine="360"/>
        <w:jc w:val="left"/>
      </w:pPr>
      <w:r>
        <w:rPr>
          <w:spacing w:val="-2"/>
        </w:rPr>
        <w:t>本公司的金融工具面临的主要风险是信用风险、流动风险及市场风险。管理层已审议并批准管理这些风险的政策，概括</w:t>
      </w:r>
      <w:r>
        <w:rPr/>
        <w:t> 如下：</w:t>
      </w:r>
    </w:p>
    <w:p>
      <w:pPr>
        <w:pStyle w:val="BodyText"/>
        <w:spacing w:line="338" w:lineRule="auto" w:before="56"/>
        <w:ind w:left="513" w:right="2973"/>
        <w:jc w:val="left"/>
      </w:pPr>
      <w:r>
        <w:rPr>
          <w:rFonts w:ascii="Times New Roman" w:hAnsi="Times New Roman" w:cs="Times New Roman" w:eastAsia="Times New Roman" w:hint="default"/>
        </w:rPr>
        <w:t>1</w:t>
      </w:r>
      <w:r>
        <w:rPr/>
        <w:t>、信用风险 信用风险，是指金融工具的一方不能履行义务，造成另一方发生财务损失的风险。</w:t>
      </w:r>
    </w:p>
    <w:p>
      <w:pPr>
        <w:pStyle w:val="BodyText"/>
        <w:spacing w:line="240" w:lineRule="auto" w:before="43"/>
        <w:ind w:left="513" w:right="43"/>
        <w:jc w:val="left"/>
      </w:pPr>
      <w:r>
        <w:rPr/>
        <w:t>本公司的信用风险主要来自银行存款和应收款项。为控制上述相关风险，本公司分别采取了以下措施：</w:t>
      </w:r>
    </w:p>
    <w:p>
      <w:pPr>
        <w:pStyle w:val="BodyText"/>
        <w:spacing w:line="338" w:lineRule="auto" w:before="116"/>
        <w:ind w:left="513" w:right="3693"/>
        <w:jc w:val="left"/>
      </w:pPr>
      <w:r>
        <w:rPr/>
        <w:t>（</w:t>
      </w:r>
      <w:r>
        <w:rPr>
          <w:rFonts w:ascii="Times New Roman" w:hAnsi="Times New Roman" w:cs="Times New Roman" w:eastAsia="Times New Roman" w:hint="default"/>
        </w:rPr>
        <w:t>1</w:t>
      </w:r>
      <w:r>
        <w:rPr/>
        <w:t>）银行存款 本公司将银行存款存放于信用评级较高的金融机构，故其信用风险较低。</w:t>
      </w:r>
    </w:p>
    <w:p>
      <w:pPr>
        <w:pStyle w:val="BodyText"/>
        <w:spacing w:line="338" w:lineRule="auto" w:before="43"/>
        <w:ind w:left="514" w:right="43"/>
        <w:jc w:val="left"/>
      </w:pPr>
      <w:r>
        <w:rPr/>
        <w:t>（</w:t>
      </w:r>
      <w:r>
        <w:rPr>
          <w:rFonts w:ascii="Times New Roman" w:hAnsi="Times New Roman" w:cs="Times New Roman" w:eastAsia="Times New Roman" w:hint="default"/>
        </w:rPr>
        <w:t>2</w:t>
      </w:r>
      <w:r>
        <w:rPr/>
        <w:t>）应收账款、应收票据 </w:t>
      </w:r>
      <w:r>
        <w:rPr>
          <w:spacing w:val="-2"/>
        </w:rPr>
        <w:t>本公司仅与经认可的、信誉良好的第三方进行交易。由于业务的特殊性，公司的销售渠道较为固定，与主要客户的关系</w:t>
      </w:r>
    </w:p>
    <w:p>
      <w:pPr>
        <w:pStyle w:val="BodyText"/>
        <w:spacing w:line="309" w:lineRule="auto" w:before="2"/>
        <w:ind w:right="191"/>
        <w:jc w:val="both"/>
      </w:pPr>
      <w:r>
        <w:rPr/>
        <w:t>长期且稳定，截至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日，本公司应收账款 </w:t>
      </w:r>
      <w:r>
        <w:rPr>
          <w:rFonts w:ascii="Times New Roman" w:hAnsi="Times New Roman" w:cs="Times New Roman" w:eastAsia="Times New Roman" w:hint="default"/>
        </w:rPr>
        <w:t>87.27%</w:t>
      </w:r>
      <w:r>
        <w:rPr/>
        <w:t>源于前五大客户（</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日应收账款</w:t>
      </w:r>
      <w:r>
        <w:rPr>
          <w:spacing w:val="-71"/>
        </w:rPr>
        <w:t> </w:t>
      </w:r>
      <w:r>
        <w:rPr>
          <w:rFonts w:ascii="Times New Roman" w:hAnsi="Times New Roman" w:cs="Times New Roman" w:eastAsia="Times New Roman" w:hint="default"/>
        </w:rPr>
        <w:t>99.78% </w:t>
      </w:r>
      <w:r>
        <w:rPr>
          <w:spacing w:val="-2"/>
        </w:rPr>
        <w:t>源于前五大客户）。另外，本公司对应收账款余额进行持续监控，以确保本公司不致面临重大坏账风险。除应收账款前五名</w:t>
      </w:r>
      <w:r>
        <w:rPr>
          <w:spacing w:val="-65"/>
        </w:rPr>
        <w:t> </w:t>
      </w:r>
      <w:r>
        <w:rPr>
          <w:spacing w:val="-65"/>
        </w:rPr>
      </w:r>
      <w:r>
        <w:rPr/>
        <w:t>外，本公司无其他重大信用集中风险。</w:t>
      </w:r>
    </w:p>
    <w:p>
      <w:pPr>
        <w:pStyle w:val="BodyText"/>
        <w:spacing w:line="338" w:lineRule="auto" w:before="64"/>
        <w:ind w:left="514" w:right="92"/>
        <w:jc w:val="left"/>
      </w:pPr>
      <w:r>
        <w:rPr/>
        <w:t>（</w:t>
      </w:r>
      <w:r>
        <w:rPr>
          <w:rFonts w:ascii="Times New Roman" w:hAnsi="Times New Roman" w:cs="Times New Roman" w:eastAsia="Times New Roman" w:hint="default"/>
        </w:rPr>
        <w:t>3</w:t>
      </w:r>
      <w:r>
        <w:rPr/>
        <w:t>）其他应收款 本公司的其他应收款主要系应收押金、保证金及部门备用金等，公司对此等款项与相关经济业务一并管理并持续监控，</w:t>
      </w:r>
    </w:p>
    <w:p>
      <w:pPr>
        <w:pStyle w:val="BodyText"/>
        <w:spacing w:line="240" w:lineRule="auto" w:before="4"/>
        <w:ind w:left="154" w:right="0"/>
        <w:jc w:val="both"/>
      </w:pPr>
      <w:r>
        <w:rPr/>
        <w:t>以确保本公司不致面临重大坏账风险。</w:t>
      </w:r>
    </w:p>
    <w:p>
      <w:pPr>
        <w:pStyle w:val="BodyText"/>
        <w:spacing w:line="338" w:lineRule="auto" w:before="116"/>
        <w:ind w:left="513" w:right="43"/>
        <w:jc w:val="left"/>
      </w:pPr>
      <w:r>
        <w:rPr>
          <w:rFonts w:ascii="Times New Roman" w:hAnsi="Times New Roman" w:cs="Times New Roman" w:eastAsia="Times New Roman" w:hint="default"/>
        </w:rPr>
        <w:t>2</w:t>
      </w:r>
      <w:r>
        <w:rPr/>
        <w:t>、流动风险 </w:t>
      </w:r>
      <w:r>
        <w:rPr>
          <w:spacing w:val="-2"/>
        </w:rPr>
        <w:t>流动性风险是指企业在履行以交付现金或其他金融资产的方式结算的义务时发生资金短缺的风险。本公司的政策是确保</w:t>
      </w:r>
    </w:p>
    <w:p>
      <w:pPr>
        <w:pStyle w:val="BodyText"/>
        <w:spacing w:line="302" w:lineRule="auto" w:before="2"/>
        <w:ind w:right="93"/>
        <w:jc w:val="left"/>
      </w:pPr>
      <w:r>
        <w:rPr/>
        <w:t>拥有充足的现金以偿还到期债务。本公司通过监控现金余额、可随时变现的有价证券以及对未来</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个月现金流量的滚动预 测，确保公司在所有合理预测的情况下拥有充足的资金偿还债务。本公司定期分析负债结构和期限，以确保有充裕的资金。</w:t>
      </w:r>
    </w:p>
    <w:p>
      <w:pPr>
        <w:pStyle w:val="BodyText"/>
        <w:spacing w:line="338" w:lineRule="auto" w:before="70"/>
        <w:ind w:left="513" w:right="43"/>
        <w:jc w:val="left"/>
      </w:pPr>
      <w:r>
        <w:rPr>
          <w:rFonts w:ascii="Times New Roman" w:hAnsi="Times New Roman" w:cs="Times New Roman" w:eastAsia="Times New Roman" w:hint="default"/>
        </w:rPr>
        <w:t>3</w:t>
      </w:r>
      <w:r>
        <w:rPr/>
        <w:t>、市场风险 </w:t>
      </w:r>
      <w:r>
        <w:rPr>
          <w:spacing w:val="-2"/>
        </w:rPr>
        <w:t>市场风险，是指金融工具的公允价值或未来现金流量因市场价格变动而发生波动的风险。市场风险主要包括利率风险和</w:t>
      </w:r>
    </w:p>
    <w:p>
      <w:pPr>
        <w:pStyle w:val="BodyText"/>
        <w:spacing w:line="240" w:lineRule="auto" w:before="4"/>
        <w:ind w:right="0"/>
        <w:jc w:val="both"/>
      </w:pPr>
      <w:r>
        <w:rPr/>
        <w:t>外汇风险。</w:t>
      </w:r>
    </w:p>
    <w:p>
      <w:pPr>
        <w:pStyle w:val="BodyText"/>
        <w:spacing w:line="338" w:lineRule="auto" w:before="116"/>
        <w:ind w:left="513" w:right="43"/>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利率风险，是指金融工具的公允价值或未来现金流量因市场利率变动而发生波动的风险。本公司借款均为固定利率，将</w:t>
      </w:r>
    </w:p>
    <w:p>
      <w:pPr>
        <w:pStyle w:val="BodyText"/>
        <w:spacing w:line="240" w:lineRule="auto" w:before="4"/>
        <w:ind w:right="0"/>
        <w:jc w:val="both"/>
      </w:pPr>
      <w:r>
        <w:rPr/>
        <w:t>不会对本公司的利润总额和股东权益产生重大的影响。</w:t>
      </w:r>
    </w:p>
    <w:p>
      <w:pPr>
        <w:pStyle w:val="BodyText"/>
        <w:spacing w:line="338" w:lineRule="auto" w:before="116"/>
        <w:ind w:left="513" w:right="43"/>
        <w:jc w:val="left"/>
      </w:pPr>
      <w:r>
        <w:rPr/>
        <w:t>（</w:t>
      </w:r>
      <w:r>
        <w:rPr>
          <w:rFonts w:ascii="Times New Roman" w:hAnsi="Times New Roman" w:cs="Times New Roman" w:eastAsia="Times New Roman" w:hint="default"/>
        </w:rPr>
        <w:t>2</w:t>
      </w:r>
      <w:r>
        <w:rPr/>
        <w:t>）外汇风险 </w:t>
      </w:r>
      <w:r>
        <w:rPr>
          <w:spacing w:val="-2"/>
        </w:rPr>
        <w:t>外汇风险是因汇率变动产生的风险。本公司面临的汇率变动的风险主要与本公司外币货币性资产和负债有关。本公司于</w:t>
      </w:r>
    </w:p>
    <w:p>
      <w:pPr>
        <w:pStyle w:val="BodyText"/>
        <w:spacing w:line="357" w:lineRule="auto" w:before="4"/>
        <w:ind w:left="513" w:right="2073" w:hanging="360"/>
        <w:jc w:val="left"/>
      </w:pPr>
      <w:r>
        <w:rPr/>
        <w:t>中国内地经营，且其主要活动以人民币计价。因此，本公司所承担的外汇变动市场风险不重大。 本公司期末外币金融资产和外币金融负债列示见本附注项目注释其他之外币货币性项目说明。</w:t>
      </w:r>
    </w:p>
    <w:p>
      <w:pPr>
        <w:spacing w:after="0" w:line="357"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公允价值的披露" w:id="395"/>
      <w:bookmarkEnd w:id="39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以公允价值计量的资产和负债的期末公允价值" w:id="396"/>
      <w:bookmarkEnd w:id="39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2、持续和非持续第一层次公允价值计量项目市价的确定依据" w:id="397"/>
      <w:bookmarkEnd w:id="39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持续和非持续第二层次公允价值计量项目，采用的估值技术和重要参数的定性及定量信" w:id="398"/>
      <w:bookmarkEnd w:id="39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399"/>
      <w:bookmarkEnd w:id="39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上可观察参数" w:id="400"/>
      <w:bookmarkEnd w:id="40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01"/>
      <w:bookmarkEnd w:id="40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02"/>
      <w:bookmarkEnd w:id="40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上以公允价值计量的金融资产和金融负债的公允价值情况" w:id="403"/>
      <w:bookmarkEnd w:id="40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893" w:firstLine="0"/>
        <w:jc w:val="left"/>
        <w:rPr>
          <w:rFonts w:ascii="宋体" w:hAnsi="宋体" w:cs="宋体" w:eastAsia="宋体" w:hint="default"/>
          <w:sz w:val="21"/>
          <w:szCs w:val="21"/>
        </w:rPr>
      </w:pPr>
      <w:bookmarkStart w:name="9、其他" w:id="404"/>
      <w:bookmarkEnd w:id="40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05"/>
      <w:bookmarkEnd w:id="40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06"/>
      <w:bookmarkEnd w:id="40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21.17%</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w:t>
            </w:r>
          </w:p>
        </w:tc>
      </w:tr>
    </w:tbl>
    <w:p>
      <w:pPr>
        <w:pStyle w:val="BodyText"/>
        <w:spacing w:line="240" w:lineRule="auto" w:before="51"/>
        <w:ind w:left="154" w:right="0"/>
        <w:jc w:val="left"/>
      </w:pPr>
      <w:r>
        <w:rPr/>
        <w:t>本企业的母公司情况的说明</w:t>
      </w:r>
    </w:p>
    <w:p>
      <w:pPr>
        <w:pStyle w:val="BodyText"/>
        <w:spacing w:line="302" w:lineRule="auto" w:before="116"/>
        <w:ind w:right="143" w:firstLine="360"/>
        <w:jc w:val="left"/>
      </w:pPr>
      <w:r>
        <w:rPr>
          <w:spacing w:val="-4"/>
        </w:rPr>
        <w:t>刘强与李杰是本公司最大股东，且已签署《一致行动人协议》，二人控股比例合计</w:t>
      </w:r>
      <w:r>
        <w:rPr>
          <w:spacing w:val="-32"/>
        </w:rPr>
        <w:t> </w:t>
      </w:r>
      <w:r>
        <w:rPr>
          <w:rFonts w:ascii="Times New Roman" w:hAnsi="Times New Roman" w:cs="Times New Roman" w:eastAsia="Times New Roman" w:hint="default"/>
          <w:spacing w:val="-1"/>
        </w:rPr>
        <w:t>34.73%</w:t>
      </w:r>
      <w:r>
        <w:rPr>
          <w:spacing w:val="-1"/>
        </w:rPr>
        <w:t>，故可认定二人是本公司实际</w:t>
      </w:r>
      <w:r>
        <w:rPr/>
        <w:t> 控制人。</w:t>
      </w:r>
    </w:p>
    <w:p>
      <w:pPr>
        <w:pStyle w:val="BodyText"/>
        <w:spacing w:line="240" w:lineRule="auto" w:before="69"/>
        <w:ind w:right="0"/>
        <w:jc w:val="left"/>
      </w:pPr>
      <w:r>
        <w:rPr/>
        <w:t>本企业最终控制方是刘强、李杰。</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本企业的子公司情况" w:id="407"/>
      <w:bookmarkEnd w:id="40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本企业合营和联营企业情况" w:id="408"/>
      <w:bookmarkEnd w:id="40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本企业重要的合营或联营企业详见附注。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其他关联方情况" w:id="409"/>
      <w:bookmarkEnd w:id="40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北京南山高科技有限公司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本公司实际控制人李杰控制的公司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本公司实际控制人李杰控制的公司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北京西邦信息技术有限公司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本公司实际控制人李杰控制的公司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深圳市明道汇智投资基金合伙企业（有限合伙）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本公司为该关联方的有限合伙人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北京柘益投资中心（有限合伙）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本公司为该关联方的有限合伙人</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410"/>
      <w:bookmarkEnd w:id="41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11"/>
      <w:bookmarkEnd w:id="41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12"/>
      <w:bookmarkEnd w:id="41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413"/>
      <w:bookmarkEnd w:id="41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5" w:right="0"/>
              <w:jc w:val="left"/>
              <w:rPr>
                <w:rFonts w:ascii="Times New Roman" w:hAnsi="Times New Roman" w:cs="Times New Roman" w:eastAsia="Times New Roman" w:hint="default"/>
                <w:sz w:val="18"/>
                <w:szCs w:val="18"/>
              </w:rPr>
            </w:pPr>
            <w:r>
              <w:rPr>
                <w:rFonts w:ascii="Times New Roman"/>
                <w:sz w:val="18"/>
              </w:rPr>
              <w:t>1,931,809.57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关联担保情况" w:id="414"/>
      <w:bookmarkEnd w:id="41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15"/>
      <w:bookmarkEnd w:id="41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关联方资产转让、债务重组情况" w:id="416"/>
      <w:bookmarkEnd w:id="41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关键管理人员报酬" w:id="417"/>
      <w:bookmarkEnd w:id="41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18"/>
      <w:bookmarkEnd w:id="41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419"/>
      <w:bookmarkEnd w:id="41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20"/>
      <w:bookmarkEnd w:id="42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付项目" w:id="421"/>
      <w:bookmarkEnd w:id="42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762,863.00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519,975.37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22"/>
      <w:bookmarkEnd w:id="42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53" w:right="7771" w:firstLine="0"/>
        <w:jc w:val="left"/>
        <w:rPr>
          <w:rFonts w:ascii="宋体" w:hAnsi="宋体" w:cs="宋体" w:eastAsia="宋体" w:hint="default"/>
          <w:sz w:val="21"/>
          <w:szCs w:val="21"/>
        </w:rPr>
      </w:pPr>
      <w:bookmarkStart w:name="8、其他" w:id="423"/>
      <w:bookmarkEnd w:id="42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24"/>
      <w:bookmarkEnd w:id="42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25"/>
      <w:bookmarkEnd w:id="42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以权益结算的股份支付情况" w:id="426"/>
      <w:bookmarkEnd w:id="42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以现金结算的股份支付情况" w:id="427"/>
      <w:bookmarkEnd w:id="42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股份支付的修改、终止情况" w:id="428"/>
      <w:bookmarkEnd w:id="42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7364" w:firstLine="0"/>
        <w:jc w:val="left"/>
        <w:rPr>
          <w:rFonts w:ascii="宋体" w:hAnsi="宋体" w:cs="宋体" w:eastAsia="宋体" w:hint="default"/>
          <w:sz w:val="21"/>
          <w:szCs w:val="21"/>
        </w:rPr>
      </w:pPr>
      <w:bookmarkStart w:name="5、其他" w:id="429"/>
      <w:bookmarkEnd w:id="42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30"/>
      <w:bookmarkEnd w:id="430"/>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31"/>
      <w:bookmarkEnd w:id="43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或有事项" w:id="432"/>
      <w:bookmarkEnd w:id="43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负债表日存在的重要或有事项" w:id="433"/>
      <w:bookmarkEnd w:id="43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公司没有需要披露的重要或有事项，也应予以说明" w:id="434"/>
      <w:bookmarkEnd w:id="43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6353" w:firstLine="0"/>
        <w:jc w:val="left"/>
        <w:rPr>
          <w:rFonts w:ascii="宋体" w:hAnsi="宋体" w:cs="宋体" w:eastAsia="宋体" w:hint="default"/>
          <w:sz w:val="21"/>
          <w:szCs w:val="21"/>
        </w:rPr>
      </w:pPr>
      <w:bookmarkStart w:name="3、其他" w:id="435"/>
      <w:bookmarkEnd w:id="4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36"/>
      <w:bookmarkEnd w:id="43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37"/>
      <w:bookmarkEnd w:id="43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38"/>
      <w:bookmarkEnd w:id="43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销售退回" w:id="439"/>
      <w:bookmarkEnd w:id="43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15" w:firstLine="0"/>
        <w:jc w:val="left"/>
        <w:rPr>
          <w:rFonts w:ascii="宋体" w:hAnsi="宋体" w:cs="宋体" w:eastAsia="宋体" w:hint="default"/>
          <w:sz w:val="21"/>
          <w:szCs w:val="21"/>
        </w:rPr>
      </w:pPr>
      <w:bookmarkStart w:name="4、其他资产负债表日后事项说明" w:id="440"/>
      <w:bookmarkEnd w:id="44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41"/>
      <w:bookmarkEnd w:id="441"/>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42"/>
      <w:bookmarkEnd w:id="44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right="0"/>
        <w:jc w:val="left"/>
        <w:rPr>
          <w:b w:val="0"/>
          <w:bCs w:val="0"/>
        </w:rPr>
      </w:pPr>
      <w:bookmarkStart w:name="（1）追溯重述法" w:id="443"/>
      <w:bookmarkEnd w:id="44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未来适用法" w:id="444"/>
      <w:bookmarkEnd w:id="44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债务重组" w:id="445"/>
      <w:bookmarkEnd w:id="44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3、资产置换" w:id="446"/>
      <w:bookmarkEnd w:id="44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非货币性资产交换" w:id="447"/>
      <w:bookmarkEnd w:id="44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其他资产置换" w:id="448"/>
      <w:bookmarkEnd w:id="44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年金计划" w:id="449"/>
      <w:bookmarkEnd w:id="44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终止经营" w:id="450"/>
      <w:bookmarkEnd w:id="45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6、分部信息" w:id="451"/>
      <w:bookmarkEnd w:id="45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分部的确定依据与会计政策" w:id="452"/>
      <w:bookmarkEnd w:id="45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报告分部的财务信息" w:id="453"/>
      <w:bookmarkEnd w:id="45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公司无报告分部的，或者上能披露各报告分部的资产总额和负债总额的，应说明原因" w:id="454"/>
      <w:bookmarkEnd w:id="45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其他说明" w:id="455"/>
      <w:bookmarkEnd w:id="45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7、其他对投资者决策有影响的重要交易和事项" w:id="456"/>
      <w:bookmarkEnd w:id="45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93" w:firstLine="0"/>
        <w:jc w:val="left"/>
        <w:rPr>
          <w:rFonts w:ascii="宋体" w:hAnsi="宋体" w:cs="宋体" w:eastAsia="宋体" w:hint="default"/>
          <w:sz w:val="21"/>
          <w:szCs w:val="21"/>
        </w:rPr>
      </w:pPr>
      <w:bookmarkStart w:name="8、其他" w:id="457"/>
      <w:bookmarkEnd w:id="45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58"/>
      <w:bookmarkEnd w:id="45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59"/>
      <w:bookmarkEnd w:id="45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460"/>
      <w:bookmarkEnd w:id="46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1,951,13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571,894.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29.31%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1,379,242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11,403,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913.24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360,359.6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11,043,553.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1,951,13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7.68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571,894.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29.31%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1,379,242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11,403,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913.24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360,359.6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11,043,553.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期末单项金额重大并单项计提坏账准备的应收账款：</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8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160" w:left="980" w:right="980"/>
          <w:cols w:num="2" w:equalWidth="0">
            <w:col w:w="4115" w:space="471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835,165.00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835,165.00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641,766.40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192,529.93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474,206.28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379,365.02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474,206.28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379,365.02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1,951,137.68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571,894.95</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5452"/>
        <w:jc w:val="left"/>
      </w:pPr>
      <w:r>
        <w:rPr/>
        <w:t>确定该组合依据的说明： 组合中，采用余额百分比法计提坏账准备的应收账款：</w:t>
      </w:r>
    </w:p>
    <w:p>
      <w:pPr>
        <w:pStyle w:val="BodyText"/>
        <w:spacing w:line="338" w:lineRule="auto" w:before="2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461"/>
      <w:bookmarkEnd w:id="46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8"/>
        </w:rPr>
        <w:t> </w:t>
      </w:r>
      <w:r>
        <w:rPr>
          <w:rFonts w:ascii="Times New Roman" w:hAnsi="Times New Roman" w:cs="Times New Roman" w:eastAsia="Times New Roman" w:hint="default"/>
        </w:rPr>
        <w:t>211,535.27</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应收账款情况" w:id="462"/>
      <w:bookmarkEnd w:id="46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吊的应收账款情况" w:id="463"/>
      <w:bookmarkEnd w:id="46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0" w:firstLine="315"/>
        <w:jc w:val="left"/>
      </w:pPr>
      <w:r>
        <w:rPr>
          <w:spacing w:val="13"/>
        </w:rPr>
        <w:t>本报告期按欠款方归集的期末余额前五名应收账款汇总金额</w:t>
      </w:r>
      <w:r>
        <w:rPr>
          <w:spacing w:val="-58"/>
        </w:rPr>
        <w:t> </w:t>
      </w:r>
      <w:r>
        <w:rPr>
          <w:rFonts w:ascii="Times New Roman" w:hAnsi="Times New Roman" w:cs="Times New Roman" w:eastAsia="Times New Roman" w:hint="default"/>
          <w:spacing w:val="8"/>
        </w:rPr>
        <w:t>1,951,137.68</w:t>
      </w:r>
      <w:r>
        <w:rPr>
          <w:spacing w:val="8"/>
        </w:rPr>
        <w:t>元，占应收账款期末余额合计数的比例</w:t>
      </w:r>
      <w:r>
        <w:rPr/>
        <w:t> </w:t>
      </w:r>
      <w:r>
        <w:rPr>
          <w:rFonts w:ascii="Times New Roman" w:hAnsi="Times New Roman" w:cs="Times New Roman" w:eastAsia="Times New Roman" w:hint="default"/>
        </w:rPr>
        <w:t>100.00%</w:t>
      </w:r>
      <w:r>
        <w:rPr/>
        <w:t>，相应计提的坏账准备期末余额汇总金额</w:t>
      </w:r>
      <w:r>
        <w:rPr>
          <w:rFonts w:ascii="Times New Roman" w:hAnsi="Times New Roman" w:cs="Times New Roman" w:eastAsia="Times New Roman" w:hint="default"/>
        </w:rPr>
        <w:t>571,894.95</w:t>
      </w:r>
      <w:r>
        <w:rPr/>
        <w:t>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5）因金融资产转移而终止确认的应收账款" w:id="464"/>
      <w:bookmarkEnd w:id="46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465"/>
      <w:bookmarkEnd w:id="46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其他应收款" w:id="466"/>
      <w:bookmarkEnd w:id="46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67"/>
      <w:bookmarkEnd w:id="46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22,065,2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76.33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9,947,16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45.08%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12,118,11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23,032,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353.43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4,326,747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18,705,606.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22,065,2</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76.33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9,947,16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45.08%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12,118,11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2.52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23,032,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353.43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4,326,747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18.79%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18,705,606.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540,076.33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540,076.33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8,525,200.00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6,820,160.00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8,525,200.00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6,820,160.00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22,065,276.33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9,947,163.81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5272"/>
        <w:jc w:val="left"/>
      </w:pPr>
      <w:r>
        <w:rPr/>
        <w:t>确定该组合依据的说明：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468"/>
      <w:bookmarkEnd w:id="46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pStyle w:val="BodyText"/>
        <w:spacing w:line="340" w:lineRule="auto" w:before="44"/>
        <w:ind w:left="154" w:right="-12"/>
        <w:jc w:val="left"/>
      </w:pPr>
      <w:r>
        <w:rPr/>
        <w:t>本期计提坏账准备金额</w:t>
      </w:r>
      <w:r>
        <w:rPr>
          <w:spacing w:val="-47"/>
        </w:rPr>
        <w:t> </w:t>
      </w:r>
      <w:r>
        <w:rPr>
          <w:rFonts w:ascii="Times New Roman" w:hAnsi="Times New Roman" w:cs="Times New Roman" w:eastAsia="Times New Roman" w:hint="default"/>
        </w:rPr>
        <w:t>5,964,347.70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343,930.96</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980"/>
          <w:cols w:num="2" w:equalWidth="0">
            <w:col w:w="6950" w:space="1880"/>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北京中关村软件园发展有限公司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343,930.96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收款</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71"/>
        <w:gridCol w:w="3101"/>
        <w:gridCol w:w="3100"/>
      </w:tblGrid>
      <w:tr>
        <w:trPr>
          <w:trHeight w:val="402"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343,930.96</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469"/>
      <w:bookmarkEnd w:id="46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470"/>
      <w:bookmarkEnd w:id="47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21,530,315.12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22,525,200.00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502,031.22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34,961.21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5,122.21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22,065,276.33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23,032,353.43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471"/>
      <w:bookmarkEnd w:id="47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深圳君正时代集成电 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21,525,200.00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9,920,160.00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北京中关村软件园发 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收取的押金、保证 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655.00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聂珅</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许婧</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22,048,800.00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9,946,340.00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72"/>
      <w:bookmarkEnd w:id="47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预计收取的时间、金额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36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及依据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473"/>
      <w:bookmarkEnd w:id="47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474"/>
      <w:bookmarkEnd w:id="47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长期股权投资" w:id="475"/>
      <w:bookmarkEnd w:id="47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158,700,871.41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158,700,871.41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18,700,871.41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18,700,871.41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158,700,871.41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158,700,871.41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18,700,871.41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18,700,871.41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76"/>
      <w:bookmarkEnd w:id="47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北京君正集成电 </w:t>
            </w:r>
            <w:r>
              <w:rPr>
                <w:rFonts w:ascii="宋体" w:hAnsi="宋体" w:cs="宋体" w:eastAsia="宋体" w:hint="default"/>
                <w:spacing w:val="-7"/>
                <w:sz w:val="18"/>
                <w:szCs w:val="18"/>
              </w:rPr>
              <w:t>路（香港）集团有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5,700,871.41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5,700,871.41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深圳君正时代集 成电路有限公司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北京君诚易恒科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合肥君正科技有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61" w:right="0"/>
              <w:jc w:val="left"/>
              <w:rPr>
                <w:rFonts w:ascii="Times New Roman" w:hAnsi="Times New Roman" w:cs="Times New Roman" w:eastAsia="Times New Roman" w:hint="default"/>
                <w:sz w:val="18"/>
                <w:szCs w:val="18"/>
              </w:rPr>
            </w:pPr>
            <w:r>
              <w:rPr>
                <w:rFonts w:ascii="Times New Roman"/>
                <w:sz w:val="18"/>
              </w:rPr>
              <w:t>18,700,871.41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158,700,871.41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77"/>
      <w:bookmarkEnd w:id="47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说明" w:id="478"/>
      <w:bookmarkEnd w:id="47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79"/>
      <w:bookmarkEnd w:id="47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51,433,212.11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26,351,077.23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91,577,213.81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49,632,331.97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3,119,013.22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912,723.71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406,196.00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54,552,225.33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27,263,800.94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91,983,409.81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49,632,331.97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投资收益" w:id="480"/>
      <w:bookmarkEnd w:id="48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1,074,657.39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229,263.81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1,074,657.39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229,263.81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81"/>
      <w:bookmarkEnd w:id="48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82"/>
      <w:bookmarkEnd w:id="482"/>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483"/>
      <w:bookmarkEnd w:id="48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-43,745.83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6,218,911.00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1,074,657.39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-1,806,386.50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1,097,223.38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4,346,212.68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净资产收益率及每股收益" w:id="484"/>
      <w:bookmarkEnd w:id="48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-0.0964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-0.1382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85"/>
      <w:bookmarkEnd w:id="48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86"/>
      <w:bookmarkEnd w:id="48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487"/>
      <w:bookmarkEnd w:id="48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153" w:right="0"/>
        <w:jc w:val="left"/>
        <w:rPr>
          <w:b w:val="0"/>
          <w:bCs w:val="0"/>
        </w:rPr>
      </w:pPr>
      <w:bookmarkStart w:name="（3）境内外会计准则下会计数据差异原因说明，对已经境外审计机构审计的数据进行差异" w:id="488"/>
      <w:bookmarkEnd w:id="48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会计政策变更相关补充资料" w:id="489"/>
      <w:bookmarkEnd w:id="489"/>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929,782,178.74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847,827,125.03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835,965,400.44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16,509,595.68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13,523,434.51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3,954,983.98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17,313,859.02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10,529,594.08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3,045,383.13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21,520,518.52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2,040,942.20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10,644,819.15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688,135.47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165,558.96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734,956.32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50,162,343.57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55,055,368.60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51,922,454.73</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1,502,421.69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1,035,976,631.00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944,142,023.38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907,770,419.44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4,579,145.59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60,204,441.53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70,650,286.27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31,075,806.64</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32,162,882.14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32,923,280.63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31,638,823.10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4,507,264.89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3,004,843.29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3,082,620.03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862,288.59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3,621,774.49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75,407,719.29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146,494,854.04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165,410,883.86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1,111,384,350.29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1,090,636,877.42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1,073,181,303.30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7,125,535.29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4,473,433.53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5,399,267.39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312,322.11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576,586.79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2,105,135.58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4,859,610.98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3,273,724.00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3,736,749.66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545,312.92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-3,139,807.02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-1,136,094.19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355,095.71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1,372,602.14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1,767,766.36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13,197,877.01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6,556,539.44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11,872,824.80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14,596,000.00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3,140,930.00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14,596,000.00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3,140,930.00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27,793,877.01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12,055,539.44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15,013,754.80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795,817,178.85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795,817,178.85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795,817,178.85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-889,189.82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-895,479.02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-894,356.88</w:t>
            </w:r>
            <w:r>
              <w:rPr>
                <w:rFonts w:ascii="Times New Roman"/>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23,458,906.67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26,231,189.77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26,231,189.77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161,203,577.58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152,717,694.29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132,266,627.32</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1,083,590,473.28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1,077,870,583.89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1,057,420,639.06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710,754.09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746,909.44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1,083,590,473.28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1,078,581,337.98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1,058,167,548.50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1,111,384,350.29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1,090,636,877.42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1,073,181,303.30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其他" w:id="490"/>
      <w:bookmarkEnd w:id="490"/>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2423"/>
        <w:jc w:val="center"/>
        <w:rPr>
          <w:b w:val="0"/>
          <w:bCs w:val="0"/>
        </w:rPr>
      </w:pPr>
      <w:bookmarkStart w:name="第十节 备查文件目录" w:id="491"/>
      <w:bookmarkEnd w:id="491"/>
      <w:r>
        <w:rPr>
          <w:b w:val="0"/>
          <w:bCs w:val="0"/>
        </w:rPr>
      </w:r>
      <w:bookmarkStart w:name="_bookmark9" w:id="492"/>
      <w:bookmarkEnd w:id="492"/>
      <w:r>
        <w:rPr>
          <w:b w:val="0"/>
          <w:bCs w:val="0"/>
        </w:rPr>
      </w:r>
      <w:r>
        <w:rPr/>
        <w:t>第十节</w:t>
      </w:r>
      <w:r>
        <w:rPr>
          <w:spacing w:val="-7"/>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0"/>
        <w:jc w:val="left"/>
      </w:pPr>
      <w:r>
        <w:rPr/>
        <w:t>（一）载有法定代表人、主管会计工作负责人、会计机构负责人（会计主管人员）签名并盖章的财务报表。</w:t>
      </w:r>
    </w:p>
    <w:p>
      <w:pPr>
        <w:pStyle w:val="BodyText"/>
        <w:spacing w:line="240" w:lineRule="auto" w:before="117"/>
        <w:ind w:right="0"/>
        <w:jc w:val="left"/>
      </w:pPr>
      <w:r>
        <w:rPr/>
        <w:t>（二）载有会计师事务所盖章、注册会计师签名并盖章的审计报告原件。</w:t>
      </w:r>
    </w:p>
    <w:p>
      <w:pPr>
        <w:pStyle w:val="BodyText"/>
        <w:spacing w:line="240" w:lineRule="auto" w:before="116"/>
        <w:ind w:right="0"/>
        <w:jc w:val="left"/>
      </w:pPr>
      <w:r>
        <w:rPr/>
        <w:t>（三）报告期内在中国证监会指定网站上公开披露过的所有公司文件的正本及公告的原稿。</w:t>
      </w:r>
    </w:p>
    <w:p>
      <w:pPr>
        <w:pStyle w:val="BodyText"/>
        <w:spacing w:line="240" w:lineRule="auto" w:before="116"/>
        <w:ind w:right="0"/>
        <w:jc w:val="left"/>
      </w:pPr>
      <w:r>
        <w:rPr/>
        <w:t>（四）在其它证券市场公布的年度报告。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BodyText"/>
        <w:spacing w:line="240" w:lineRule="auto"/>
        <w:ind w:left="6463" w:right="0" w:firstLine="810"/>
        <w:jc w:val="left"/>
      </w:pPr>
      <w:r>
        <w:rPr/>
        <w:t>北京君正集成电路股份有限公司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BodyText"/>
        <w:tabs>
          <w:tab w:pos="9833" w:val="left" w:leader="none"/>
        </w:tabs>
        <w:spacing w:line="240" w:lineRule="auto"/>
        <w:ind w:left="6463" w:right="0"/>
        <w:jc w:val="left"/>
        <w:rPr>
          <w:rFonts w:ascii="Times New Roman" w:hAnsi="Times New Roman" w:cs="Times New Roman" w:eastAsia="Times New Roman" w:hint="default"/>
        </w:rPr>
      </w:pPr>
      <w:r>
        <w:rPr/>
        <w:t>法定代表人：刘强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BodyText"/>
        <w:spacing w:line="240" w:lineRule="auto" w:before="44"/>
        <w:ind w:left="0" w:right="150"/>
        <w:jc w:val="right"/>
      </w:pPr>
      <w:r>
        <w:rPr/>
        <w:t>二○一五年三月二十六日</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6715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71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71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71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71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671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671608" type="#_x0000_t202" filled="false" stroked="false">
          <v:textbox inset="0,0,0,0">
            <w:txbxContent>
              <w:p>
                <w:pPr>
                  <w:pStyle w:val="BodyText"/>
                  <w:spacing w:line="214" w:lineRule="exact"/>
                  <w:ind w:left="20" w:right="0"/>
                  <w:jc w:val="left"/>
                </w:pPr>
                <w:r>
                  <w:rPr/>
                  <w:t>北京君正集成电路股份有限公司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ingenic.com/" TargetMode="External"/><Relationship Id="rId10" Type="http://schemas.openxmlformats.org/officeDocument/2006/relationships/hyperlink" Target="mailto:investors@ingenic.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footer" Target="footer5.xml"/><Relationship Id="rId16"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2020-05-06T19:12:00Z</dcterms:created>
  <dcterms:modified xsi:type="dcterms:W3CDTF">2020-05-06T19:12:00Z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Office Word 2007</vt:lpwstr>
  </property>
  <property fmtid="{D5CDD505-2E9C-101B-9397-08002B2CF9AE}" pid="4" name="LastSaved">
    <vt:filetime>2020-05-06T00:00:00Z</vt:filetime>
  </property>
</Properties>
</file>