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94" w:lineRule="exact"/>
        <w:ind w:left="36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1630005" cy="6949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30005" cy="694944"/>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494" w:right="496"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4"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94"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21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21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3" w:right="21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公司负责人刘强、主管会计工作负责人叶飞及会计机构负责人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李莉声明：保证年度报告中财务报告的真实、准确、完整。</w:t>
      </w:r>
      <w:r>
        <w:rPr>
          <w:rFonts w:ascii="宋体" w:hAnsi="宋体" w:cs="宋体" w:eastAsia="宋体" w:hint="default"/>
          <w:sz w:val="28"/>
          <w:szCs w:val="28"/>
        </w:rPr>
      </w:r>
    </w:p>
    <w:p>
      <w:pPr>
        <w:spacing w:line="472" w:lineRule="auto" w:before="148"/>
        <w:ind w:left="714" w:right="21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3" w:right="217" w:firstLine="0"/>
        <w:jc w:val="both"/>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before="162"/>
        <w:ind w:left="714" w:right="213"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sz w:val="28"/>
          <w:szCs w:val="28"/>
        </w:rPr>
      </w:r>
    </w:p>
    <w:p>
      <w:pPr>
        <w:spacing w:line="240" w:lineRule="auto" w:before="12"/>
        <w:rPr>
          <w:rFonts w:ascii="宋体" w:hAnsi="宋体" w:cs="宋体" w:eastAsia="宋体" w:hint="default"/>
          <w:b/>
          <w:bCs/>
          <w:sz w:val="19"/>
          <w:szCs w:val="19"/>
        </w:rPr>
      </w:pPr>
    </w:p>
    <w:p>
      <w:pPr>
        <w:spacing w:line="338" w:lineRule="auto" w:before="0"/>
        <w:ind w:left="573" w:right="2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、产品开发风险</w:t>
      </w:r>
      <w:r>
        <w:rPr>
          <w:rFonts w:ascii="宋体" w:hAnsi="宋体" w:cs="宋体" w:eastAsia="宋体" w:hint="default"/>
          <w:w w:val="100"/>
          <w:sz w:val="21"/>
          <w:szCs w:val="21"/>
        </w:rPr>
        <w:t> </w:t>
      </w:r>
      <w:r>
        <w:rPr>
          <w:rFonts w:ascii="宋体" w:hAnsi="宋体" w:cs="宋体" w:eastAsia="宋体" w:hint="default"/>
          <w:spacing w:val="-2"/>
          <w:sz w:val="21"/>
          <w:szCs w:val="21"/>
        </w:rPr>
        <w:t>集成电路行业技术更新快、市场竞争激烈，需要公司不断推出新产品，同时集成电路生产工艺不断发</w:t>
      </w:r>
    </w:p>
    <w:p>
      <w:pPr>
        <w:spacing w:line="226"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展，新工艺产品需要的资金投入不断提高，产品研发难度也不断增大，如公司开发的产品不能很好地吻合</w:t>
      </w:r>
    </w:p>
    <w:p>
      <w:pPr>
        <w:spacing w:line="273" w:lineRule="auto" w:before="37"/>
        <w:ind w:left="153" w:right="208" w:firstLine="0"/>
        <w:jc w:val="both"/>
        <w:rPr>
          <w:rFonts w:ascii="宋体" w:hAnsi="宋体" w:cs="宋体" w:eastAsia="宋体" w:hint="default"/>
          <w:sz w:val="21"/>
          <w:szCs w:val="21"/>
        </w:rPr>
      </w:pPr>
      <w:r>
        <w:rPr>
          <w:rFonts w:ascii="宋体" w:hAnsi="宋体" w:cs="宋体" w:eastAsia="宋体" w:hint="default"/>
          <w:spacing w:val="-2"/>
          <w:sz w:val="21"/>
          <w:szCs w:val="21"/>
        </w:rPr>
        <w:t>市场需求，则可能会对公司的市场销售带来不利影响，使经营风险随之加大。公司将加强市场调研，加强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产品立项评估管理，慎重进行产品开发的决策；产品研发上加强研发管理，优化产品开发流程，努力保障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产品研发的成功率，同时加强自主核心技术的研发，控制新产品开发过程中的资金投入。</w:t>
      </w:r>
    </w:p>
    <w:p>
      <w:pPr>
        <w:spacing w:line="340" w:lineRule="auto" w:before="108"/>
        <w:ind w:left="573"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、新市场拓展风险</w:t>
      </w:r>
      <w:r>
        <w:rPr>
          <w:rFonts w:ascii="宋体" w:hAnsi="宋体" w:cs="宋体" w:eastAsia="宋体" w:hint="default"/>
          <w:w w:val="100"/>
          <w:sz w:val="21"/>
          <w:szCs w:val="21"/>
        </w:rPr>
        <w:t> </w:t>
      </w:r>
      <w:r>
        <w:rPr>
          <w:rFonts w:ascii="宋体" w:hAnsi="宋体" w:cs="宋体" w:eastAsia="宋体" w:hint="default"/>
          <w:sz w:val="21"/>
          <w:szCs w:val="21"/>
        </w:rPr>
        <w:t>近年来，公司一直积极寻找新的市场机会，及时布局智能穿戴设备市场，努力拓展物联网、</w:t>
      </w:r>
      <w:r>
        <w:rPr>
          <w:rFonts w:ascii="Times New Roman" w:hAnsi="Times New Roman" w:cs="Times New Roman" w:eastAsia="Times New Roman" w:hint="default"/>
          <w:sz w:val="21"/>
          <w:szCs w:val="21"/>
        </w:rPr>
        <w:t>WIFI </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音</w:t>
      </w:r>
    </w:p>
    <w:p>
      <w:pPr>
        <w:spacing w:line="198" w:lineRule="exact" w:before="0"/>
        <w:ind w:left="153" w:right="0" w:firstLine="0"/>
        <w:jc w:val="both"/>
        <w:rPr>
          <w:rFonts w:ascii="宋体" w:hAnsi="宋体" w:cs="宋体" w:eastAsia="宋体" w:hint="default"/>
          <w:sz w:val="21"/>
          <w:szCs w:val="21"/>
        </w:rPr>
      </w:pPr>
      <w:r>
        <w:rPr>
          <w:rFonts w:ascii="宋体" w:hAnsi="宋体" w:cs="宋体" w:eastAsia="宋体" w:hint="default"/>
          <w:spacing w:val="-5"/>
          <w:sz w:val="21"/>
          <w:szCs w:val="21"/>
        </w:rPr>
        <w:t>箱、智能视频等应用领域，能否成功拓展新的市场领域对公司未来发展至关重要。如不能顺利打开新市场，</w:t>
      </w:r>
    </w:p>
    <w:p>
      <w:pPr>
        <w:spacing w:line="273" w:lineRule="auto" w:before="37"/>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将会对公司发展产生不利影响。公司将不断加强市场销售力量，密切把握市场发展动向，根据市场变化及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时调整市场策略，充分发挥公司的技术优势和产品优势，加快产品在新市场的推广。</w:t>
      </w:r>
    </w:p>
    <w:p>
      <w:pPr>
        <w:spacing w:line="340" w:lineRule="auto" w:before="106"/>
        <w:ind w:left="573" w:right="2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、毛利率下降的风险</w:t>
      </w:r>
      <w:r>
        <w:rPr>
          <w:rFonts w:ascii="宋体" w:hAnsi="宋体" w:cs="宋体" w:eastAsia="宋体" w:hint="default"/>
          <w:w w:val="100"/>
          <w:sz w:val="21"/>
          <w:szCs w:val="21"/>
        </w:rPr>
        <w:t> </w:t>
      </w:r>
      <w:r>
        <w:rPr>
          <w:rFonts w:ascii="宋体" w:hAnsi="宋体" w:cs="宋体" w:eastAsia="宋体" w:hint="default"/>
          <w:spacing w:val="-3"/>
          <w:sz w:val="21"/>
          <w:szCs w:val="21"/>
        </w:rPr>
        <w:t>近几年来，电子行业竞争不断加剧，导致电子产品生命周期缩短，产品价格不断下滑，芯片产品的价</w:t>
      </w:r>
    </w:p>
    <w:p>
      <w:pPr>
        <w:spacing w:line="224"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格也呈下降趋势，产品销售价格的下降将可能导致产品毛利率下降。公司将加强成本费用的管理，加大市</w:t>
      </w:r>
    </w:p>
    <w:p>
      <w:pPr>
        <w:spacing w:line="273" w:lineRule="auto" w:before="37"/>
        <w:ind w:left="153" w:right="206" w:firstLine="0"/>
        <w:jc w:val="both"/>
        <w:rPr>
          <w:rFonts w:ascii="宋体" w:hAnsi="宋体" w:cs="宋体" w:eastAsia="宋体" w:hint="default"/>
          <w:sz w:val="21"/>
          <w:szCs w:val="21"/>
        </w:rPr>
      </w:pPr>
      <w:r>
        <w:rPr>
          <w:rFonts w:ascii="宋体" w:hAnsi="宋体" w:cs="宋体" w:eastAsia="宋体" w:hint="default"/>
          <w:spacing w:val="-2"/>
          <w:sz w:val="21"/>
          <w:szCs w:val="21"/>
        </w:rPr>
        <w:t>场推广力度，努力提高产品销量，以保持良好的盈利水平，同时不断开发新产品，开拓新的应用领域，提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高公司产品整体的毛利率水平。</w:t>
      </w:r>
    </w:p>
    <w:p>
      <w:pPr>
        <w:spacing w:after="0" w:line="273" w:lineRule="auto"/>
        <w:jc w:val="both"/>
        <w:rPr>
          <w:rFonts w:ascii="宋体" w:hAnsi="宋体" w:cs="宋体" w:eastAsia="宋体" w:hint="default"/>
          <w:sz w:val="21"/>
          <w:szCs w:val="21"/>
        </w:rPr>
        <w:sectPr>
          <w:footerReference w:type="default" r:id="rId8"/>
          <w:pgSz w:w="11910" w:h="16840"/>
          <w:pgMar w:footer="980" w:header="745" w:top="1060" w:bottom="1160" w:left="980" w:right="920"/>
          <w:pgNumType w:start="2"/>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spacing w:line="340" w:lineRule="auto" w:before="36"/>
        <w:ind w:left="573"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、技术人员人力成本增加的风险</w:t>
      </w:r>
      <w:r>
        <w:rPr>
          <w:rFonts w:ascii="宋体" w:hAnsi="宋体" w:cs="宋体" w:eastAsia="宋体" w:hint="default"/>
          <w:w w:val="100"/>
          <w:sz w:val="21"/>
          <w:szCs w:val="21"/>
        </w:rPr>
        <w:t> </w:t>
      </w:r>
      <w:r>
        <w:rPr>
          <w:rFonts w:ascii="宋体" w:hAnsi="宋体" w:cs="宋体" w:eastAsia="宋体" w:hint="default"/>
          <w:sz w:val="21"/>
          <w:szCs w:val="21"/>
        </w:rPr>
        <w:t>公司研发投入中技术人员的薪酬和福利费支出所占比重较大。近几年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设计领域高技术人才的薪酬</w:t>
      </w:r>
    </w:p>
    <w:p>
      <w:pPr>
        <w:spacing w:line="198"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水平不断提高，公司技术人力成本可能会进一步增加，从而导致研发支出不断增长。公司将进一步完善薪</w:t>
      </w:r>
    </w:p>
    <w:p>
      <w:pPr>
        <w:spacing w:before="37"/>
        <w:ind w:left="153" w:right="0" w:firstLine="0"/>
        <w:jc w:val="both"/>
        <w:rPr>
          <w:rFonts w:ascii="宋体" w:hAnsi="宋体" w:cs="宋体" w:eastAsia="宋体" w:hint="default"/>
          <w:sz w:val="21"/>
          <w:szCs w:val="21"/>
        </w:rPr>
      </w:pPr>
      <w:r>
        <w:rPr>
          <w:rFonts w:ascii="宋体" w:hAnsi="宋体" w:cs="宋体" w:eastAsia="宋体" w:hint="default"/>
          <w:sz w:val="21"/>
          <w:szCs w:val="21"/>
        </w:rPr>
        <w:t>酬福利制度，对员工进行多种方式的激励，在寻求发展的同时合理控制费用的支出。</w:t>
      </w:r>
    </w:p>
    <w:p>
      <w:pPr>
        <w:spacing w:line="340" w:lineRule="auto" w:before="135"/>
        <w:ind w:left="573" w:right="2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、投资收购风险</w:t>
      </w:r>
      <w:r>
        <w:rPr>
          <w:rFonts w:ascii="宋体" w:hAnsi="宋体" w:cs="宋体" w:eastAsia="宋体" w:hint="default"/>
          <w:w w:val="100"/>
          <w:sz w:val="21"/>
          <w:szCs w:val="21"/>
        </w:rPr>
        <w:t> </w:t>
      </w:r>
      <w:r>
        <w:rPr>
          <w:rFonts w:ascii="宋体" w:hAnsi="宋体" w:cs="宋体" w:eastAsia="宋体" w:hint="default"/>
          <w:spacing w:val="-2"/>
          <w:sz w:val="21"/>
          <w:szCs w:val="21"/>
        </w:rPr>
        <w:t>公司将围绕产业链不断寻求产业并购和行业整合的机会，并加强对投资、收购标的的前期调研和后期</w:t>
      </w:r>
    </w:p>
    <w:p>
      <w:pPr>
        <w:spacing w:line="224"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培育，但由于产业发展、市场变化、企业经营等都可能存在一定的不确定性，仍可能会出现收购整合不成</w:t>
      </w:r>
    </w:p>
    <w:p>
      <w:pPr>
        <w:spacing w:line="273" w:lineRule="auto" w:before="37"/>
        <w:ind w:left="153" w:right="116" w:firstLine="0"/>
        <w:jc w:val="left"/>
        <w:rPr>
          <w:rFonts w:ascii="宋体" w:hAnsi="宋体" w:cs="宋体" w:eastAsia="宋体" w:hint="default"/>
          <w:sz w:val="21"/>
          <w:szCs w:val="21"/>
        </w:rPr>
      </w:pPr>
      <w:r>
        <w:rPr>
          <w:rFonts w:ascii="宋体" w:hAnsi="宋体" w:cs="宋体" w:eastAsia="宋体" w:hint="default"/>
          <w:spacing w:val="-5"/>
          <w:sz w:val="21"/>
          <w:szCs w:val="21"/>
        </w:rPr>
        <w:t>功、投资失败等风险，从而影响公司的经营业绩。公司将秉承谨慎的投资风格，对投资标的进行充分调研，</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加强投资方面的风险控制，以保障公司的健康发展。</w:t>
      </w:r>
    </w:p>
    <w:p>
      <w:pPr>
        <w:spacing w:line="338" w:lineRule="auto" w:before="108"/>
        <w:ind w:left="573" w:right="2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、募投项目实施的风险</w:t>
      </w:r>
      <w:r>
        <w:rPr>
          <w:rFonts w:ascii="宋体" w:hAnsi="宋体" w:cs="宋体" w:eastAsia="宋体" w:hint="default"/>
          <w:w w:val="100"/>
          <w:sz w:val="21"/>
          <w:szCs w:val="21"/>
        </w:rPr>
        <w:t> </w:t>
      </w:r>
      <w:r>
        <w:rPr>
          <w:rFonts w:ascii="宋体" w:hAnsi="宋体" w:cs="宋体" w:eastAsia="宋体" w:hint="default"/>
          <w:spacing w:val="-2"/>
          <w:sz w:val="21"/>
          <w:szCs w:val="21"/>
        </w:rPr>
        <w:t>公司募集资金投资项目是根据市场发展的需要，围绕公司的主营业务展开的，符合国家产业政策，并</w:t>
      </w:r>
    </w:p>
    <w:p>
      <w:pPr>
        <w:spacing w:line="227"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将进一步提高公司的研发实力和产品竞争力，有助于公司进一步拓宽发展空间。但由于在芯片的研发和市</w:t>
      </w:r>
    </w:p>
    <w:p>
      <w:pPr>
        <w:spacing w:line="273" w:lineRule="auto" w:before="37"/>
        <w:ind w:left="153" w:right="184" w:firstLine="0"/>
        <w:jc w:val="both"/>
        <w:rPr>
          <w:rFonts w:ascii="宋体" w:hAnsi="宋体" w:cs="宋体" w:eastAsia="宋体" w:hint="default"/>
          <w:sz w:val="21"/>
          <w:szCs w:val="21"/>
        </w:rPr>
      </w:pPr>
      <w:r>
        <w:rPr>
          <w:rFonts w:ascii="宋体" w:hAnsi="宋体" w:cs="宋体" w:eastAsia="宋体" w:hint="default"/>
          <w:spacing w:val="-2"/>
          <w:sz w:val="21"/>
          <w:szCs w:val="21"/>
        </w:rPr>
        <w:t>场推广过程中，面临着技术替代、政策环境变化、用户需求及市场供求关系改变、产业格局变化等不确定</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因素。如市场发生重大变化，或公司推出的新产品无法满足市场需求，将可能影响募投项目的效益实现。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公司将加强对募投项目的管理和监督，根据市场变化情况及时调整公司募投项目，从技术、市场和管理等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各个环节保障募投项目的顺利实施。</w:t>
      </w:r>
    </w:p>
    <w:p>
      <w:pPr>
        <w:spacing w:line="240" w:lineRule="auto" w:before="11"/>
        <w:rPr>
          <w:rFonts w:ascii="宋体" w:hAnsi="宋体" w:cs="宋体" w:eastAsia="宋体" w:hint="default"/>
          <w:sz w:val="15"/>
          <w:szCs w:val="15"/>
        </w:rPr>
      </w:pPr>
    </w:p>
    <w:p>
      <w:pPr>
        <w:spacing w:before="0"/>
        <w:ind w:left="714" w:right="11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166,400,000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股派发现金红利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0.3 </w:t>
      </w:r>
      <w:r>
        <w:rPr>
          <w:rFonts w:ascii="宋体" w:hAnsi="宋体" w:cs="宋体" w:eastAsia="宋体" w:hint="default"/>
          <w:b/>
          <w:bCs/>
          <w:sz w:val="28"/>
          <w:szCs w:val="28"/>
        </w:rPr>
        <w:t>元（含税），送红股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0 </w:t>
      </w:r>
      <w:r>
        <w:rPr>
          <w:rFonts w:ascii="宋体" w:hAnsi="宋体" w:cs="宋体" w:eastAsia="宋体" w:hint="default"/>
          <w:b/>
          <w:bCs/>
          <w:sz w:val="28"/>
          <w:szCs w:val="28"/>
        </w:rPr>
        <w:t>股（含税），以资</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94"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57"/>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 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 管理层讨论与分析</w:t>
            </w:r>
            <w:r>
              <w:rPr>
                <w:rFonts w:ascii="Times New Roman" w:hAnsi="Times New Roman" w:cs="Times New Roman" w:eastAsia="Times New Roman" w:hint="default"/>
              </w:rPr>
              <w:tab/>
              <w:t>11</w:t>
            </w:r>
            <w:r>
              <w:rPr>
                <w:rFonts w:ascii="Times New Roman" w:hAnsi="Times New Roman" w:cs="Times New Roman" w:eastAsia="Times New Roman" w:hint="default"/>
                <w:b w:val="0"/>
                <w:bCs w:val="0"/>
              </w:rPr>
            </w:r>
          </w:hyperlink>
        </w:p>
        <w:p>
          <w:pPr>
            <w:pStyle w:val="TOC1"/>
            <w:tabs>
              <w:tab w:pos="9783" w:val="right" w:leader="dot"/>
            </w:tabs>
            <w:spacing w:line="240" w:lineRule="auto" w:before="128"/>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 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 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128"/>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135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494"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君诚易恒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北京君诚易恒科技有限公司，本公司的子公司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合肥君正科技有限公司，本公司的全资子公司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盛耀微电子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深圳市盛耀微电子有限公司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普得技术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深圳普得技术有限公司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9"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024002pt;margin-top:114.675598pt;width:395.9pt;height:19.7pt;mso-position-horizontal-relative:page;mso-position-vertical-relative:paragraph;z-index:-812728"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2.369995pt;margin-top:114.675598pt;width:361.55pt;height:19.7pt;mso-position-horizontal-relative:page;mso-position-vertical-relative:paragraph;z-index:-812704" coordorigin="3447,2294" coordsize="7231,394">
            <v:shape style="position:absolute;left:3447;top:2294;width:7231;height:394" coordorigin="3447,2294" coordsize="7231,394" path="m3447,2687l10678,2687,10678,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300223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7"/>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Ingenic</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www.ingenic.com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010-56345005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010-56345005</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010-56345001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0"/>
        <w:gridCol w:w="5590"/>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6"/>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70,104,954.20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59,031,657.27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94,832,084.99</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32,048,918.72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-10,029,719.23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25,569,724.44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-22,293,078.86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-14,375,931.91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11,468,997.14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52,242,673.15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-1,080,681.02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4,934.24%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35,945,624.25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0.1537</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0.1537</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1,126,307,071.49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1,073,181,303.30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1,090,636,877.42</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1,089,475,807.26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1,057,420,639.06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1,077,870,583.89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13,578,848.25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17,320,587.81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17,746,593.77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21,458,924.37</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-2,394,329.43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2,822,462.64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38,292,600.61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-6,671,815.10</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-2,780,109.78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-329,886.57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-300,548.46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-18,882,534.05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1,164,939.99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1,962,960.75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35,614,640.78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13,500,131.63</w:t>
            </w:r>
          </w:p>
        </w:tc>
      </w:tr>
    </w:tbl>
    <w:p>
      <w:pPr>
        <w:pStyle w:val="BodyText"/>
        <w:spacing w:line="240" w:lineRule="auto" w:before="49"/>
        <w:ind w:right="0"/>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-1,752,527.49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-43,745.83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-44,219.66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48,713,825.08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6,218,911.00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15,464,698.00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17,199,586.34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1,074,657.39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233,455.59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-599,874.21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-1,806,386.50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21,187.05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9,218,969.02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1,097,223.38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1,573,345.73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1,047.95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54,341,997.58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4,346,212.68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14,100,727.30</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7"/>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95"/>
        <w:jc w:val="center"/>
        <w:rPr>
          <w:b w:val="0"/>
          <w:bCs w:val="0"/>
        </w:rPr>
      </w:pPr>
      <w:bookmarkStart w:name="_TOC_250008" w:id="3"/>
      <w:r>
        <w:rPr/>
        <w:t>第三节</w:t>
      </w:r>
      <w:r>
        <w:rPr>
          <w:spacing w:val="-5"/>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0" w:firstLine="360"/>
        <w:jc w:val="left"/>
      </w:pPr>
      <w:r>
        <w:rPr/>
        <w:t>公司主营业务为</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芯片及配套软件平台的研发和销售，拥有全球领先的</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技术和低功耗技 </w:t>
      </w:r>
      <w:r>
        <w:rPr>
          <w:spacing w:val="-2"/>
        </w:rPr>
        <w:t>术。公司自成立以来一直致力于国产创新</w:t>
      </w:r>
      <w:r>
        <w:rPr>
          <w:rFonts w:ascii="Times New Roman" w:hAnsi="Times New Roman" w:cs="Times New Roman" w:eastAsia="Times New Roman" w:hint="default"/>
          <w:spacing w:val="-2"/>
        </w:rPr>
        <w:t>CPU</w:t>
      </w:r>
      <w:r>
        <w:rPr>
          <w:spacing w:val="-2"/>
        </w:rPr>
        <w:t>技术和嵌入式处理器芯片的研制与产业化，目前已发展成为国内外领先的处理</w:t>
      </w:r>
      <w:r>
        <w:rPr>
          <w:spacing w:val="-55"/>
        </w:rPr>
        <w:t> </w:t>
      </w:r>
      <w:r>
        <w:rPr>
          <w:spacing w:val="-55"/>
        </w:rPr>
      </w:r>
      <w:r>
        <w:rPr>
          <w:spacing w:val="-2"/>
        </w:rPr>
        <w:t>器芯片及相关解决方案提供商，是国内最早实现国产</w:t>
      </w:r>
      <w:r>
        <w:rPr>
          <w:rFonts w:ascii="Times New Roman" w:hAnsi="Times New Roman" w:cs="Times New Roman" w:eastAsia="Times New Roman" w:hint="default"/>
          <w:spacing w:val="-2"/>
        </w:rPr>
        <w:t>CPU</w:t>
      </w:r>
      <w:r>
        <w:rPr>
          <w:spacing w:val="-2"/>
        </w:rPr>
        <w:t>产业化的本土芯片设计公司。公司拥有较强的自主创新能力，主营</w:t>
      </w:r>
      <w:r>
        <w:rPr>
          <w:spacing w:val="-53"/>
        </w:rPr>
        <w:t> </w:t>
      </w:r>
      <w:r>
        <w:rPr>
          <w:spacing w:val="-53"/>
        </w:rPr>
      </w:r>
      <w:r>
        <w:rPr>
          <w:spacing w:val="-2"/>
        </w:rPr>
        <w:t>业务和产品符合国家战略性新兴产业发展方向，涉及国民经济命脉和国家信息安全的关键领域。目前，公司已形成可持续发</w:t>
      </w:r>
      <w:r>
        <w:rPr>
          <w:spacing w:val="-66"/>
        </w:rPr>
        <w:t> </w:t>
      </w:r>
      <w:r>
        <w:rPr>
          <w:spacing w:val="-66"/>
        </w:rPr>
      </w:r>
      <w:r>
        <w:rPr/>
        <w:t>展的梯队化产品布局，基于自主创新的</w:t>
      </w:r>
      <w:r>
        <w:rPr>
          <w:rFonts w:ascii="Times New Roman" w:hAnsi="Times New Roman" w:cs="Times New Roman" w:eastAsia="Times New Roman" w:hint="default"/>
        </w:rPr>
        <w:t>XBurst</w:t>
      </w:r>
      <w:r>
        <w:rPr>
          <w:rFonts w:ascii="Times New Roman" w:hAnsi="Times New Roman" w:cs="Times New Roman" w:eastAsia="Times New Roman" w:hint="default"/>
          <w:spacing w:val="-3"/>
        </w:rPr>
        <w:t> </w:t>
      </w:r>
      <w:r>
        <w:rPr>
          <w:rFonts w:ascii="Times New Roman" w:hAnsi="Times New Roman" w:cs="Times New Roman" w:eastAsia="Times New Roman" w:hint="default"/>
        </w:rPr>
        <w:t>CPU</w:t>
      </w:r>
      <w:r>
        <w:rPr/>
        <w:t>核心技术，公司推出了一系列具有高性价比的处理器芯片产品，可广泛 应用于教育电子、消费电子、生物识别、智能穿戴设备、物联网、智能家居及智能视频等领域。</w:t>
      </w:r>
    </w:p>
    <w:p>
      <w:pPr>
        <w:pStyle w:val="BodyText"/>
        <w:spacing w:line="316" w:lineRule="auto" w:before="69"/>
        <w:ind w:right="153" w:firstLine="360"/>
        <w:jc w:val="both"/>
      </w:pPr>
      <w:r>
        <w:rPr>
          <w:spacing w:val="-2"/>
        </w:rPr>
        <w:t>电子市场发展变化较快，随着平板电脑市场日趋饱和，新兴的各类智能设备市场逐渐兴起。在新的应用领域，公司产品</w:t>
      </w:r>
      <w:r>
        <w:rPr/>
        <w:t> </w:t>
      </w:r>
      <w:r>
        <w:rPr>
          <w:spacing w:val="-2"/>
        </w:rPr>
        <w:t>的稳定性、低功耗等特点具有更为明显的优势。报告期内，公司积极拓展新兴的市场领域，针对智能穿戴、智能家居及物联</w:t>
      </w:r>
      <w:r>
        <w:rPr>
          <w:spacing w:val="-67"/>
        </w:rPr>
        <w:t> </w:t>
      </w:r>
      <w:r>
        <w:rPr>
          <w:spacing w:val="-67"/>
        </w:rPr>
      </w:r>
      <w:r>
        <w:rPr/>
        <w:t>网等市场，陆续推出相应的产品方案并持续优化，以促进公司业绩稳步回升。</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二、主要资产重大变化情况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报告期内，公司核心竞争能力未发生重大变化，无核心技术人员离职。公司核心竞争力具体情况如下：</w:t>
      </w:r>
    </w:p>
    <w:p>
      <w:pPr>
        <w:pStyle w:val="BodyText"/>
        <w:spacing w:line="338" w:lineRule="auto" w:before="117"/>
        <w:ind w:left="513" w:right="0"/>
        <w:jc w:val="left"/>
      </w:pPr>
      <w:r>
        <w:rPr>
          <w:rFonts w:ascii="Times New Roman" w:hAnsi="Times New Roman" w:cs="Times New Roman" w:eastAsia="Times New Roman" w:hint="default"/>
        </w:rPr>
        <w:t>1</w:t>
      </w:r>
      <w:r>
        <w:rPr/>
        <w:t>、技术优势 </w:t>
      </w:r>
      <w:r>
        <w:rPr>
          <w:spacing w:val="-2"/>
        </w:rPr>
        <w:t>公司坚持自主创新的研发策略，自成立以来一直专注于国产</w:t>
      </w:r>
      <w:r>
        <w:rPr>
          <w:rFonts w:ascii="Times New Roman" w:hAnsi="Times New Roman" w:cs="Times New Roman" w:eastAsia="Times New Roman" w:hint="default"/>
          <w:spacing w:val="-2"/>
        </w:rPr>
        <w:t>CPU</w:t>
      </w:r>
      <w:r>
        <w:rPr>
          <w:spacing w:val="-2"/>
        </w:rPr>
        <w:t>技术的研发，拥有全球领先的</w:t>
      </w:r>
      <w:r>
        <w:rPr>
          <w:rFonts w:ascii="Times New Roman" w:hAnsi="Times New Roman" w:cs="Times New Roman" w:eastAsia="Times New Roman" w:hint="default"/>
          <w:spacing w:val="-2"/>
        </w:rPr>
        <w:t>32</w:t>
      </w:r>
      <w:r>
        <w:rPr>
          <w:spacing w:val="-2"/>
        </w:rPr>
        <w:t>位嵌入式</w:t>
      </w:r>
      <w:r>
        <w:rPr>
          <w:rFonts w:ascii="Times New Roman" w:hAnsi="Times New Roman" w:cs="Times New Roman" w:eastAsia="Times New Roman" w:hint="default"/>
          <w:spacing w:val="-2"/>
        </w:rPr>
        <w:t>CPU</w:t>
      </w:r>
      <w:r>
        <w:rPr>
          <w:spacing w:val="-2"/>
        </w:rPr>
        <w:t>技术和低</w:t>
      </w:r>
    </w:p>
    <w:p>
      <w:pPr>
        <w:pStyle w:val="BodyText"/>
        <w:spacing w:line="230" w:lineRule="exact"/>
        <w:ind w:right="0"/>
        <w:jc w:val="both"/>
      </w:pPr>
      <w:r>
        <w:rPr/>
        <w:t>功耗技术，相继在自主嵌入式</w:t>
      </w:r>
      <w:r>
        <w:rPr>
          <w:rFonts w:ascii="Times New Roman" w:hAnsi="Times New Roman" w:cs="Times New Roman" w:eastAsia="Times New Roman" w:hint="default"/>
        </w:rPr>
        <w:t>CPU</w:t>
      </w:r>
      <w:r>
        <w:rPr/>
        <w:t>技术、安全技术、</w:t>
      </w:r>
      <w:r>
        <w:rPr>
          <w:rFonts w:ascii="Times New Roman" w:hAnsi="Times New Roman" w:cs="Times New Roman" w:eastAsia="Times New Roman" w:hint="default"/>
        </w:rPr>
        <w:t>SOC</w:t>
      </w:r>
      <w:r>
        <w:rPr/>
        <w:t>芯片技术、功耗和电源管理技术、软件平台技术、物联网开发平台</w:t>
      </w:r>
    </w:p>
    <w:p>
      <w:pPr>
        <w:pStyle w:val="BodyText"/>
        <w:spacing w:line="300" w:lineRule="auto" w:before="63"/>
        <w:ind w:right="150"/>
        <w:jc w:val="both"/>
      </w:pPr>
      <w:r>
        <w:rPr>
          <w:spacing w:val="-2"/>
        </w:rPr>
        <w:t>技术等领域形成了自主核心技术，并基于这些核心技术的突破，形成嵌入式</w:t>
      </w:r>
      <w:r>
        <w:rPr>
          <w:rFonts w:ascii="Times New Roman" w:hAnsi="Times New Roman" w:cs="Times New Roman" w:eastAsia="Times New Roman" w:hint="default"/>
          <w:spacing w:val="-2"/>
        </w:rPr>
        <w:t>CPU</w:t>
      </w:r>
      <w:r>
        <w:rPr>
          <w:spacing w:val="-2"/>
        </w:rPr>
        <w:t>＋</w:t>
      </w:r>
      <w:r>
        <w:rPr>
          <w:rFonts w:ascii="Times New Roman" w:hAnsi="Times New Roman" w:cs="Times New Roman" w:eastAsia="Times New Roman" w:hint="default"/>
          <w:spacing w:val="-2"/>
        </w:rPr>
        <w:t>SOC</w:t>
      </w:r>
      <w:r>
        <w:rPr>
          <w:spacing w:val="-2"/>
        </w:rPr>
        <w:t>芯片＋平台式解决方案的完整自主技</w:t>
      </w:r>
      <w:r>
        <w:rPr>
          <w:spacing w:val="-45"/>
        </w:rPr>
        <w:t> </w:t>
      </w:r>
      <w:r>
        <w:rPr>
          <w:spacing w:val="-45"/>
        </w:rPr>
      </w:r>
      <w:r>
        <w:rPr>
          <w:spacing w:val="-2"/>
        </w:rPr>
        <w:t>术体系和产业化体系，是在嵌入式</w:t>
      </w:r>
      <w:r>
        <w:rPr>
          <w:rFonts w:ascii="Times New Roman" w:hAnsi="Times New Roman" w:cs="Times New Roman" w:eastAsia="Times New Roman" w:hint="default"/>
          <w:spacing w:val="-2"/>
        </w:rPr>
        <w:t>CPU</w:t>
      </w:r>
      <w:r>
        <w:rPr>
          <w:spacing w:val="-2"/>
        </w:rPr>
        <w:t>、多媒体处理、前后端芯片设计、软硬件开发平台及整体解决方案等方面均掌握自主</w:t>
      </w:r>
      <w:r>
        <w:rPr>
          <w:spacing w:val="-56"/>
        </w:rPr>
        <w:t> </w:t>
      </w:r>
      <w:r>
        <w:rPr>
          <w:spacing w:val="-56"/>
        </w:rPr>
      </w:r>
      <w:r>
        <w:rPr/>
        <w:t>核心技术的本土芯片设计公司。</w:t>
      </w:r>
    </w:p>
    <w:p>
      <w:pPr>
        <w:pStyle w:val="BodyText"/>
        <w:spacing w:line="240" w:lineRule="auto" w:before="73"/>
        <w:ind w:left="513" w:right="0"/>
        <w:jc w:val="left"/>
      </w:pPr>
      <w:r>
        <w:rPr>
          <w:rFonts w:ascii="Times New Roman" w:hAnsi="Times New Roman" w:cs="Times New Roman" w:eastAsia="Times New Roman" w:hint="default"/>
        </w:rPr>
        <w:t>2</w:t>
      </w:r>
      <w:r>
        <w:rPr/>
        <w:t>、产品优势</w:t>
      </w:r>
    </w:p>
    <w:p>
      <w:pPr>
        <w:pStyle w:val="BodyText"/>
        <w:spacing w:line="300" w:lineRule="auto" w:before="103"/>
        <w:ind w:right="152" w:firstLine="360"/>
        <w:jc w:val="both"/>
      </w:pPr>
      <w:r>
        <w:rPr/>
        <w:t>公司创造性地推出独特的</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XBurst CPU</w:t>
      </w:r>
      <w:r>
        <w:rPr/>
        <w:t>核。</w:t>
      </w:r>
      <w:r>
        <w:rPr>
          <w:rFonts w:ascii="Times New Roman" w:hAnsi="Times New Roman" w:cs="Times New Roman" w:eastAsia="Times New Roman" w:hint="default"/>
        </w:rPr>
        <w:t>XBurst</w:t>
      </w:r>
      <w:r>
        <w:rPr>
          <w:rFonts w:ascii="Times New Roman" w:hAnsi="Times New Roman" w:cs="Times New Roman" w:eastAsia="Times New Roman" w:hint="default"/>
          <w:spacing w:val="9"/>
        </w:rPr>
        <w:t> </w:t>
      </w:r>
      <w:r>
        <w:rPr>
          <w:rFonts w:ascii="Times New Roman" w:hAnsi="Times New Roman" w:cs="Times New Roman" w:eastAsia="Times New Roman" w:hint="default"/>
        </w:rPr>
        <w:t>CPU</w:t>
      </w:r>
      <w:r>
        <w:rPr/>
        <w:t>核采用了创新的微体系结构，微处理器能够在极低的功耗下 高速发射指令。</w:t>
      </w:r>
      <w:r>
        <w:rPr>
          <w:rFonts w:ascii="Times New Roman" w:hAnsi="Times New Roman" w:cs="Times New Roman" w:eastAsia="Times New Roman" w:hint="default"/>
        </w:rPr>
        <w:t>Xburst CPU</w:t>
      </w:r>
      <w:r>
        <w:rPr/>
        <w:t>核的主频、多媒体性能、面积和功耗均领先于工业界现有的</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RISC</w:t>
      </w:r>
      <w:r>
        <w:rPr/>
        <w:t>微处理器内核。基于自主</w:t>
      </w:r>
      <w:r>
        <w:rPr>
          <w:spacing w:val="-71"/>
        </w:rPr>
        <w:t> </w:t>
      </w:r>
      <w:r>
        <w:rPr>
          <w:spacing w:val="-71"/>
        </w:rPr>
      </w:r>
      <w:r>
        <w:rPr/>
        <w:t>创新的</w:t>
      </w:r>
      <w:r>
        <w:rPr>
          <w:rFonts w:ascii="Times New Roman" w:hAnsi="Times New Roman" w:cs="Times New Roman" w:eastAsia="Times New Roman" w:hint="default"/>
        </w:rPr>
        <w:t>XBurst CPU</w:t>
      </w:r>
      <w:r>
        <w:rPr/>
        <w:t>核心技术，公司面向便携消费电子、教育电子、物联网、智能家居、智能视频等领域推出了一系列具有</w:t>
      </w:r>
      <w:r>
        <w:rPr>
          <w:spacing w:val="-67"/>
        </w:rPr>
        <w:t> </w:t>
      </w:r>
      <w:r>
        <w:rPr>
          <w:spacing w:val="-67"/>
        </w:rPr>
      </w:r>
      <w:r>
        <w:rPr/>
        <w:t>低功耗、高性价比的处理器芯片产品。</w:t>
      </w:r>
    </w:p>
    <w:p>
      <w:pPr>
        <w:pStyle w:val="BodyText"/>
        <w:spacing w:line="340" w:lineRule="auto" w:before="70"/>
        <w:ind w:left="513" w:right="0"/>
        <w:jc w:val="left"/>
      </w:pPr>
      <w:r>
        <w:rPr>
          <w:rFonts w:ascii="Times New Roman" w:hAnsi="Times New Roman" w:cs="Times New Roman" w:eastAsia="Times New Roman" w:hint="default"/>
        </w:rPr>
        <w:t>3</w:t>
      </w:r>
      <w:r>
        <w:rPr/>
        <w:t>、团队及人才优势 </w:t>
      </w:r>
      <w:r>
        <w:rPr>
          <w:spacing w:val="-2"/>
        </w:rPr>
        <w:t>公司持续加大内部培养和外部引进人才的力度，加强员工岗前培训和团队建设培训，建立了科学化、规范化、系统化的</w:t>
      </w:r>
    </w:p>
    <w:p>
      <w:pPr>
        <w:pStyle w:val="BodyText"/>
        <w:spacing w:line="240" w:lineRule="auto"/>
        <w:ind w:right="0"/>
        <w:jc w:val="both"/>
      </w:pPr>
      <w:r>
        <w:rPr/>
        <w:t>人力资源培训体系。同时，公司积极培养复合型人才，形成合理的人才梯队，不断加强团队凝聚力，全面提高员工的工作热</w:t>
      </w:r>
    </w:p>
    <w:p>
      <w:pPr>
        <w:spacing w:after="0" w:line="24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情。公司培养了一批具有领军精神的人才，带领团队勇于钻研、敢于创新、吃苦耐劳，为公司进一步的发展提供了有效的支</w:t>
      </w:r>
      <w:r>
        <w:rPr>
          <w:spacing w:val="-65"/>
        </w:rPr>
        <w:t> </w:t>
      </w:r>
      <w:r>
        <w:rPr>
          <w:spacing w:val="-65"/>
        </w:rPr>
      </w:r>
      <w:r>
        <w:rPr/>
        <w:t>持。截至本报告期末，公司核心技术人员未有离职情况。</w:t>
      </w:r>
    </w:p>
    <w:p>
      <w:pPr>
        <w:pStyle w:val="BodyText"/>
        <w:spacing w:line="338" w:lineRule="auto" w:before="58"/>
        <w:ind w:left="513" w:right="143"/>
        <w:jc w:val="left"/>
      </w:pPr>
      <w:r>
        <w:rPr>
          <w:rFonts w:ascii="Times New Roman" w:hAnsi="Times New Roman" w:cs="Times New Roman" w:eastAsia="Times New Roman" w:hint="default"/>
        </w:rPr>
        <w:t>4</w:t>
      </w:r>
      <w:r>
        <w:rPr/>
        <w:t>、专利情况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日，公司及全资子公司共获得授权的专利证书</w:t>
      </w:r>
      <w:r>
        <w:rPr>
          <w:rFonts w:ascii="Times New Roman" w:hAnsi="Times New Roman" w:cs="Times New Roman" w:eastAsia="Times New Roman" w:hint="default"/>
        </w:rPr>
        <w:t>19</w:t>
      </w:r>
      <w:r>
        <w:rPr/>
        <w:t>项，其中发明专利</w:t>
      </w:r>
      <w:r>
        <w:rPr>
          <w:rFonts w:ascii="Times New Roman" w:hAnsi="Times New Roman" w:cs="Times New Roman" w:eastAsia="Times New Roman" w:hint="default"/>
        </w:rPr>
        <w:t>8</w:t>
      </w:r>
      <w:r>
        <w:rPr/>
        <w:t>项，实用新型专利</w:t>
      </w:r>
      <w:r>
        <w:rPr>
          <w:rFonts w:ascii="Times New Roman" w:hAnsi="Times New Roman" w:cs="Times New Roman" w:eastAsia="Times New Roman" w:hint="default"/>
        </w:rPr>
        <w:t>11</w:t>
      </w:r>
      <w:r>
        <w:rPr/>
        <w:t>项；已申请</w:t>
      </w:r>
    </w:p>
    <w:p>
      <w:pPr>
        <w:pStyle w:val="BodyText"/>
        <w:spacing w:line="230" w:lineRule="exact"/>
        <w:ind w:right="0"/>
        <w:jc w:val="left"/>
      </w:pPr>
      <w:r>
        <w:rPr/>
        <w:t>并被受理的专利共</w:t>
      </w:r>
      <w:r>
        <w:rPr>
          <w:rFonts w:ascii="Times New Roman" w:hAnsi="Times New Roman" w:cs="Times New Roman" w:eastAsia="Times New Roman" w:hint="default"/>
        </w:rPr>
        <w:t>109</w:t>
      </w:r>
      <w:r>
        <w:rPr/>
        <w:t>项；获得计算机软件著作权登记证书共</w:t>
      </w:r>
      <w:r>
        <w:rPr>
          <w:rFonts w:ascii="Times New Roman" w:hAnsi="Times New Roman" w:cs="Times New Roman" w:eastAsia="Times New Roman" w:hint="default"/>
        </w:rPr>
        <w:t>49</w:t>
      </w:r>
      <w:r>
        <w:rPr/>
        <w:t>项。报告期内，公司及全资子公司取得专利</w:t>
      </w:r>
      <w:r>
        <w:rPr>
          <w:rFonts w:ascii="Times New Roman" w:hAnsi="Times New Roman" w:cs="Times New Roman" w:eastAsia="Times New Roman" w:hint="default"/>
        </w:rPr>
        <w:t>10</w:t>
      </w:r>
      <w:r>
        <w:rPr/>
        <w:t>项，其中获得</w:t>
      </w:r>
    </w:p>
    <w:p>
      <w:pPr>
        <w:pStyle w:val="BodyText"/>
        <w:spacing w:line="240" w:lineRule="auto" w:before="63"/>
        <w:ind w:right="0"/>
        <w:jc w:val="left"/>
      </w:pPr>
      <w:r>
        <w:rPr/>
        <w:t>的专利证书情况如下：</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51"/>
        <w:gridCol w:w="2168"/>
        <w:gridCol w:w="1719"/>
        <w:gridCol w:w="860"/>
        <w:gridCol w:w="1702"/>
        <w:gridCol w:w="1275"/>
      </w:tblGrid>
      <w:tr>
        <w:trPr>
          <w:trHeight w:val="34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9"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r>
      <w:tr>
        <w:trPr>
          <w:trHeight w:val="65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
              <w:jc w:val="left"/>
              <w:rPr>
                <w:rFonts w:ascii="宋体" w:hAnsi="宋体" w:cs="宋体" w:eastAsia="宋体" w:hint="default"/>
                <w:sz w:val="18"/>
                <w:szCs w:val="18"/>
              </w:rPr>
            </w:pPr>
            <w:r>
              <w:rPr>
                <w:rFonts w:ascii="宋体" w:hAnsi="宋体" w:cs="宋体" w:eastAsia="宋体" w:hint="default"/>
                <w:spacing w:val="14"/>
                <w:sz w:val="18"/>
                <w:szCs w:val="18"/>
              </w:rPr>
              <w:t>一种解码多个视频文件 </w:t>
            </w:r>
            <w:r>
              <w:rPr>
                <w:rFonts w:ascii="宋体" w:hAnsi="宋体" w:cs="宋体" w:eastAsia="宋体" w:hint="default"/>
                <w:sz w:val="18"/>
                <w:szCs w:val="18"/>
              </w:rPr>
              <w:t>的方法和设备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5"/>
                <w:sz w:val="18"/>
              </w:rPr>
              <w:t> </w:t>
            </w:r>
            <w:r>
              <w:rPr>
                <w:rFonts w:ascii="Times New Roman"/>
                <w:sz w:val="18"/>
              </w:rPr>
              <w:t>0357168.9</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1623252</w:t>
            </w:r>
            <w:r>
              <w:rPr>
                <w:rFonts w:ascii="宋体" w:hAnsi="宋体" w:cs="宋体" w:eastAsia="宋体" w:hint="default"/>
                <w:sz w:val="18"/>
                <w:szCs w:val="18"/>
              </w:rPr>
              <w:t>号</w:t>
            </w:r>
          </w:p>
        </w:tc>
      </w:tr>
      <w:tr>
        <w:trPr>
          <w:trHeight w:val="660"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
              <w:jc w:val="left"/>
              <w:rPr>
                <w:rFonts w:ascii="宋体" w:hAnsi="宋体" w:cs="宋体" w:eastAsia="宋体" w:hint="default"/>
                <w:sz w:val="18"/>
                <w:szCs w:val="18"/>
              </w:rPr>
            </w:pPr>
            <w:r>
              <w:rPr>
                <w:rFonts w:ascii="宋体" w:hAnsi="宋体" w:cs="宋体" w:eastAsia="宋体" w:hint="default"/>
                <w:spacing w:val="14"/>
                <w:sz w:val="18"/>
                <w:szCs w:val="18"/>
              </w:rPr>
              <w:t>一种片上系统的验证方 </w:t>
            </w:r>
            <w:r>
              <w:rPr>
                <w:rFonts w:ascii="宋体" w:hAnsi="宋体" w:cs="宋体" w:eastAsia="宋体" w:hint="default"/>
                <w:sz w:val="18"/>
                <w:szCs w:val="18"/>
              </w:rPr>
              <w:t>法、装置和系统</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 2013 1</w:t>
            </w:r>
            <w:r>
              <w:rPr>
                <w:rFonts w:ascii="Times New Roman"/>
                <w:spacing w:val="-6"/>
                <w:sz w:val="18"/>
              </w:rPr>
              <w:t> </w:t>
            </w:r>
            <w:r>
              <w:rPr>
                <w:rFonts w:ascii="Times New Roman"/>
                <w:sz w:val="18"/>
              </w:rPr>
              <w:t>0032498.5</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1637103</w:t>
            </w:r>
            <w:r>
              <w:rPr>
                <w:rFonts w:ascii="宋体" w:hAnsi="宋体" w:cs="宋体" w:eastAsia="宋体" w:hint="default"/>
                <w:sz w:val="18"/>
                <w:szCs w:val="18"/>
              </w:rPr>
              <w:t>号</w:t>
            </w:r>
          </w:p>
        </w:tc>
      </w:tr>
      <w:tr>
        <w:trPr>
          <w:trHeight w:val="346"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 2014 2</w:t>
            </w:r>
            <w:r>
              <w:rPr>
                <w:rFonts w:ascii="Times New Roman"/>
                <w:spacing w:val="-6"/>
                <w:sz w:val="18"/>
              </w:rPr>
              <w:t> </w:t>
            </w:r>
            <w:r>
              <w:rPr>
                <w:rFonts w:ascii="Times New Roman"/>
                <w:sz w:val="18"/>
              </w:rPr>
              <w:t>0684117.1</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4270858</w:t>
            </w:r>
            <w:r>
              <w:rPr>
                <w:rFonts w:ascii="宋体" w:hAnsi="宋体" w:cs="宋体" w:eastAsia="宋体" w:hint="default"/>
                <w:sz w:val="18"/>
                <w:szCs w:val="18"/>
              </w:rPr>
              <w:t>号</w:t>
            </w:r>
          </w:p>
        </w:tc>
      </w:tr>
      <w:tr>
        <w:trPr>
          <w:trHeight w:val="349"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数据存储方法和存储器</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6"/>
                <w:sz w:val="18"/>
              </w:rPr>
              <w:t> </w:t>
            </w:r>
            <w:r>
              <w:rPr>
                <w:rFonts w:ascii="Times New Roman"/>
                <w:sz w:val="18"/>
              </w:rPr>
              <w:t>0281042.8</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1660594</w:t>
            </w:r>
            <w:r>
              <w:rPr>
                <w:rFonts w:ascii="宋体" w:hAnsi="宋体" w:cs="宋体" w:eastAsia="宋体" w:hint="default"/>
                <w:sz w:val="18"/>
                <w:szCs w:val="18"/>
              </w:rPr>
              <w:t>号</w:t>
            </w:r>
          </w:p>
        </w:tc>
      </w:tr>
      <w:tr>
        <w:trPr>
          <w:trHeight w:val="65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
              <w:jc w:val="left"/>
              <w:rPr>
                <w:rFonts w:ascii="宋体" w:hAnsi="宋体" w:cs="宋体" w:eastAsia="宋体" w:hint="default"/>
                <w:sz w:val="18"/>
                <w:szCs w:val="18"/>
              </w:rPr>
            </w:pPr>
            <w:r>
              <w:rPr>
                <w:rFonts w:ascii="宋体" w:hAnsi="宋体" w:cs="宋体" w:eastAsia="宋体" w:hint="default"/>
                <w:spacing w:val="14"/>
                <w:sz w:val="18"/>
                <w:szCs w:val="18"/>
              </w:rPr>
              <w:t>一种离散内存访问的方 </w:t>
            </w:r>
            <w:r>
              <w:rPr>
                <w:rFonts w:ascii="宋体" w:hAnsi="宋体" w:cs="宋体" w:eastAsia="宋体" w:hint="default"/>
                <w:sz w:val="18"/>
                <w:szCs w:val="18"/>
              </w:rPr>
              <w:t>法及装置</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6"/>
                <w:sz w:val="18"/>
              </w:rPr>
              <w:t> </w:t>
            </w:r>
            <w:r>
              <w:rPr>
                <w:rFonts w:ascii="Times New Roman"/>
                <w:sz w:val="18"/>
              </w:rPr>
              <w:t>0330697.X</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1713904</w:t>
            </w:r>
            <w:r>
              <w:rPr>
                <w:rFonts w:ascii="宋体" w:hAnsi="宋体" w:cs="宋体" w:eastAsia="宋体" w:hint="default"/>
                <w:sz w:val="18"/>
                <w:szCs w:val="18"/>
              </w:rPr>
              <w:t>号</w:t>
            </w:r>
          </w:p>
        </w:tc>
      </w:tr>
      <w:tr>
        <w:trPr>
          <w:trHeight w:val="660"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HEVC</w:t>
            </w:r>
            <w:r>
              <w:rPr>
                <w:rFonts w:ascii="宋体" w:hAnsi="宋体" w:cs="宋体" w:eastAsia="宋体" w:hint="default"/>
                <w:sz w:val="18"/>
                <w:szCs w:val="18"/>
              </w:rPr>
              <w:t>的像素预测装 置</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 2015 2</w:t>
            </w:r>
            <w:r>
              <w:rPr>
                <w:rFonts w:ascii="Times New Roman"/>
                <w:spacing w:val="-6"/>
                <w:sz w:val="18"/>
              </w:rPr>
              <w:t> </w:t>
            </w:r>
            <w:r>
              <w:rPr>
                <w:rFonts w:ascii="Times New Roman"/>
                <w:sz w:val="18"/>
              </w:rPr>
              <w:t>0180813.3</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4416801</w:t>
            </w:r>
            <w:r>
              <w:rPr>
                <w:rFonts w:ascii="宋体" w:hAnsi="宋体" w:cs="宋体" w:eastAsia="宋体" w:hint="default"/>
                <w:sz w:val="18"/>
                <w:szCs w:val="18"/>
              </w:rPr>
              <w:t>号</w:t>
            </w:r>
          </w:p>
        </w:tc>
      </w:tr>
      <w:tr>
        <w:trPr>
          <w:trHeight w:val="34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 2015 2</w:t>
            </w:r>
            <w:r>
              <w:rPr>
                <w:rFonts w:ascii="Times New Roman"/>
                <w:spacing w:val="-6"/>
                <w:sz w:val="18"/>
              </w:rPr>
              <w:t> </w:t>
            </w:r>
            <w:r>
              <w:rPr>
                <w:rFonts w:ascii="Times New Roman"/>
                <w:sz w:val="18"/>
              </w:rPr>
              <w:t>0344871.5</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4703185</w:t>
            </w:r>
            <w:r>
              <w:rPr>
                <w:rFonts w:ascii="宋体" w:hAnsi="宋体" w:cs="宋体" w:eastAsia="宋体" w:hint="default"/>
                <w:sz w:val="18"/>
                <w:szCs w:val="18"/>
              </w:rPr>
              <w:t>号</w:t>
            </w:r>
          </w:p>
        </w:tc>
      </w:tr>
      <w:tr>
        <w:trPr>
          <w:trHeight w:val="346"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 2015 2</w:t>
            </w:r>
            <w:r>
              <w:rPr>
                <w:rFonts w:ascii="Times New Roman"/>
                <w:spacing w:val="-6"/>
                <w:sz w:val="18"/>
              </w:rPr>
              <w:t> </w:t>
            </w:r>
            <w:r>
              <w:rPr>
                <w:rFonts w:ascii="Times New Roman"/>
                <w:sz w:val="18"/>
              </w:rPr>
              <w:t>0345276.3</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4739387</w:t>
            </w:r>
            <w:r>
              <w:rPr>
                <w:rFonts w:ascii="宋体" w:hAnsi="宋体" w:cs="宋体" w:eastAsia="宋体" w:hint="default"/>
                <w:sz w:val="18"/>
                <w:szCs w:val="18"/>
              </w:rPr>
              <w:t>号</w:t>
            </w:r>
          </w:p>
        </w:tc>
      </w:tr>
      <w:tr>
        <w:trPr>
          <w:trHeight w:val="660"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
              <w:jc w:val="left"/>
              <w:rPr>
                <w:rFonts w:ascii="宋体" w:hAnsi="宋体" w:cs="宋体" w:eastAsia="宋体" w:hint="default"/>
                <w:sz w:val="18"/>
                <w:szCs w:val="18"/>
              </w:rPr>
            </w:pPr>
            <w:r>
              <w:rPr>
                <w:rFonts w:ascii="宋体" w:hAnsi="宋体" w:cs="宋体" w:eastAsia="宋体" w:hint="default"/>
                <w:spacing w:val="14"/>
                <w:sz w:val="18"/>
                <w:szCs w:val="18"/>
              </w:rPr>
              <w:t>电泳显示控制方法及其 </w:t>
            </w:r>
            <w:r>
              <w:rPr>
                <w:rFonts w:ascii="宋体" w:hAnsi="宋体" w:cs="宋体" w:eastAsia="宋体" w:hint="default"/>
                <w:sz w:val="18"/>
                <w:szCs w:val="18"/>
              </w:rPr>
              <w:t>装置</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6"/>
                <w:sz w:val="18"/>
              </w:rPr>
              <w:t> </w:t>
            </w:r>
            <w:r>
              <w:rPr>
                <w:rFonts w:ascii="Times New Roman"/>
                <w:sz w:val="18"/>
              </w:rPr>
              <w:t>0183947.1</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1867228</w:t>
            </w:r>
            <w:r>
              <w:rPr>
                <w:rFonts w:ascii="宋体" w:hAnsi="宋体" w:cs="宋体" w:eastAsia="宋体" w:hint="default"/>
                <w:sz w:val="18"/>
                <w:szCs w:val="18"/>
              </w:rPr>
              <w:t>号</w:t>
            </w:r>
          </w:p>
        </w:tc>
      </w:tr>
      <w:tr>
        <w:trPr>
          <w:trHeight w:val="34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 2015 2</w:t>
            </w:r>
            <w:r>
              <w:rPr>
                <w:rFonts w:ascii="Times New Roman"/>
                <w:spacing w:val="-6"/>
                <w:sz w:val="18"/>
              </w:rPr>
              <w:t> </w:t>
            </w:r>
            <w:r>
              <w:rPr>
                <w:rFonts w:ascii="Times New Roman"/>
                <w:sz w:val="18"/>
              </w:rPr>
              <w:t>0344980.7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4841579</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0"/>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50" w:firstLine="360"/>
        <w:jc w:val="both"/>
      </w:pPr>
      <w:r>
        <w:rPr>
          <w:rFonts w:ascii="Times New Roman" w:hAnsi="Times New Roman" w:cs="Times New Roman" w:eastAsia="Times New Roman" w:hint="default"/>
          <w:spacing w:val="-2"/>
        </w:rPr>
        <w:t>2015</w:t>
      </w:r>
      <w:r>
        <w:rPr>
          <w:spacing w:val="-2"/>
        </w:rPr>
        <w:t>年，公司在市场拓展和技术研发方面都取得了良好的进展，技术方面公司始终坚持自主核心技术的研发，不断完善</w:t>
      </w:r>
      <w:r>
        <w:rPr/>
        <w:t> </w:t>
      </w:r>
      <w:r>
        <w:rPr>
          <w:spacing w:val="-2"/>
        </w:rPr>
        <w:t>研发管理机制，完善员工激励机制，提高研发团队的技术研发和创新能力，努力抓住新兴市场的机会，促进研发成果的快速</w:t>
      </w:r>
      <w:r>
        <w:rPr>
          <w:spacing w:val="-65"/>
        </w:rPr>
        <w:t> </w:t>
      </w:r>
      <w:r>
        <w:rPr>
          <w:spacing w:val="-65"/>
        </w:rPr>
      </w:r>
      <w:r>
        <w:rPr/>
        <w:t>转换。市场方面公司积极进行产品宣传和市场拓展，积极寻求新的市场机遇。</w:t>
      </w:r>
    </w:p>
    <w:p>
      <w:pPr>
        <w:pStyle w:val="BodyText"/>
        <w:spacing w:line="314" w:lineRule="auto" w:before="62"/>
        <w:ind w:right="0" w:firstLine="360"/>
        <w:jc w:val="left"/>
      </w:pPr>
      <w:r>
        <w:rPr>
          <w:spacing w:val="-2"/>
        </w:rPr>
        <w:t>在新市场局面逐渐打开的同时，原有部分市场由于市场环境的变化也出现了一定下滑。报告期内，公司在教育电子市场</w:t>
      </w:r>
      <w:r>
        <w:rPr/>
        <w:t> </w:t>
      </w:r>
      <w:r>
        <w:rPr>
          <w:spacing w:val="-2"/>
        </w:rPr>
        <w:t>的销售收入同比下降，但在消费电子领域的销售收入及房租收入有所增长，使公司总体营业收入同比增长；同时，公司收到</w:t>
      </w:r>
      <w:r>
        <w:rPr>
          <w:spacing w:val="-64"/>
        </w:rPr>
        <w:t> </w:t>
      </w:r>
      <w:r>
        <w:rPr>
          <w:spacing w:val="-64"/>
        </w:rPr>
      </w:r>
      <w:r>
        <w:rPr>
          <w:spacing w:val="-2"/>
        </w:rPr>
        <w:t>深圳市明道汇智投资基金合伙企业（有限合伙）和北京柘益投资中心（有限合伙）分红款，投资收益同比增长。公司实现营</w:t>
      </w:r>
      <w:r>
        <w:rPr>
          <w:spacing w:val="-67"/>
        </w:rPr>
        <w:t> </w:t>
      </w:r>
      <w:r>
        <w:rPr>
          <w:spacing w:val="-67"/>
        </w:rPr>
      </w:r>
      <w:r>
        <w:rPr/>
        <w:t>业总收入</w:t>
      </w:r>
      <w:r>
        <w:rPr>
          <w:rFonts w:ascii="Times New Roman" w:hAnsi="Times New Roman" w:cs="Times New Roman" w:eastAsia="Times New Roman" w:hint="default"/>
        </w:rPr>
        <w:t>7,010.50</w:t>
      </w:r>
      <w:r>
        <w:rPr/>
        <w:t>万元，同比增长</w:t>
      </w:r>
      <w:r>
        <w:rPr>
          <w:rFonts w:ascii="Times New Roman" w:hAnsi="Times New Roman" w:cs="Times New Roman" w:eastAsia="Times New Roman" w:hint="default"/>
        </w:rPr>
        <w:t>18.76%</w:t>
      </w:r>
      <w:r>
        <w:rPr/>
        <w:t>；实现净利润</w:t>
      </w:r>
      <w:r>
        <w:rPr>
          <w:rFonts w:ascii="Times New Roman" w:hAnsi="Times New Roman" w:cs="Times New Roman" w:eastAsia="Times New Roman" w:hint="default"/>
        </w:rPr>
        <w:t>3,255.49</w:t>
      </w:r>
      <w:r>
        <w:rPr/>
        <w:t>万元，同比增长</w:t>
      </w:r>
      <w:r>
        <w:rPr>
          <w:rFonts w:ascii="Times New Roman" w:hAnsi="Times New Roman" w:cs="Times New Roman" w:eastAsia="Times New Roman" w:hint="default"/>
        </w:rPr>
        <w:t>425.76%</w:t>
      </w:r>
      <w:r>
        <w:rPr/>
        <w:t>，其中归属于母公司股东的净利润 </w:t>
      </w:r>
      <w:r>
        <w:rPr>
          <w:rFonts w:ascii="Times New Roman" w:hAnsi="Times New Roman" w:cs="Times New Roman" w:eastAsia="Times New Roman" w:hint="default"/>
        </w:rPr>
        <w:t>3,204.89</w:t>
      </w:r>
      <w:r>
        <w:rPr/>
        <w:t>万元，同比增长</w:t>
      </w:r>
      <w:r>
        <w:rPr>
          <w:rFonts w:ascii="Times New Roman" w:hAnsi="Times New Roman" w:cs="Times New Roman" w:eastAsia="Times New Roman" w:hint="default"/>
        </w:rPr>
        <w:t>419.54%</w:t>
      </w:r>
      <w:r>
        <w:rPr/>
        <w:t>。</w:t>
      </w:r>
    </w:p>
    <w:p>
      <w:pPr>
        <w:pStyle w:val="BodyText"/>
        <w:spacing w:line="240" w:lineRule="auto" w:before="42"/>
        <w:ind w:left="513" w:right="0"/>
        <w:jc w:val="left"/>
      </w:pPr>
      <w:r>
        <w:rPr/>
        <w:t>具体来说，公司各方面的经营情况如下：</w:t>
      </w:r>
    </w:p>
    <w:p>
      <w:pPr>
        <w:pStyle w:val="BodyText"/>
        <w:spacing w:line="307" w:lineRule="auto" w:before="117"/>
        <w:ind w:right="150" w:firstLine="360"/>
        <w:jc w:val="both"/>
      </w:pPr>
      <w:r>
        <w:rPr/>
        <w:t>芯片研发方面，公司持续进行核心技术的研发，完成了</w:t>
      </w:r>
      <w:r>
        <w:rPr>
          <w:rFonts w:ascii="Times New Roman" w:hAnsi="Times New Roman" w:cs="Times New Roman" w:eastAsia="Times New Roman" w:hint="default"/>
        </w:rPr>
        <w:t>Xburst2</w:t>
      </w:r>
      <w:r>
        <w:rPr>
          <w:rFonts w:ascii="Times New Roman" w:hAnsi="Times New Roman" w:cs="Times New Roman" w:eastAsia="Times New Roman" w:hint="default"/>
          <w:spacing w:val="19"/>
        </w:rPr>
        <w:t> </w:t>
      </w:r>
      <w:r>
        <w:rPr>
          <w:rFonts w:ascii="Times New Roman" w:hAnsi="Times New Roman" w:cs="Times New Roman" w:eastAsia="Times New Roman" w:hint="default"/>
        </w:rPr>
        <w:t>CPU</w:t>
      </w:r>
      <w:r>
        <w:rPr/>
        <w:t>核部分设计验证、集成验证及迭代等工作，继续推 </w:t>
      </w:r>
      <w:r>
        <w:rPr>
          <w:spacing w:val="-2"/>
        </w:rPr>
        <w:t>进</w:t>
      </w:r>
      <w:r>
        <w:rPr>
          <w:rFonts w:ascii="Times New Roman" w:hAnsi="Times New Roman" w:cs="Times New Roman" w:eastAsia="Times New Roman" w:hint="default"/>
          <w:spacing w:val="-2"/>
        </w:rPr>
        <w:t>VPU</w:t>
      </w:r>
      <w:r>
        <w:rPr>
          <w:spacing w:val="-2"/>
        </w:rPr>
        <w:t>等核心</w:t>
      </w:r>
      <w:r>
        <w:rPr>
          <w:rFonts w:ascii="Times New Roman" w:hAnsi="Times New Roman" w:cs="Times New Roman" w:eastAsia="Times New Roman" w:hint="default"/>
          <w:spacing w:val="-2"/>
        </w:rPr>
        <w:t>IP</w:t>
      </w:r>
      <w:r>
        <w:rPr>
          <w:spacing w:val="-2"/>
        </w:rPr>
        <w:t>技术的研发，不断提高</w:t>
      </w:r>
      <w:r>
        <w:rPr>
          <w:rFonts w:ascii="Times New Roman" w:hAnsi="Times New Roman" w:cs="Times New Roman" w:eastAsia="Times New Roman" w:hint="default"/>
          <w:spacing w:val="-2"/>
        </w:rPr>
        <w:t>SOC</w:t>
      </w:r>
      <w:r>
        <w:rPr>
          <w:spacing w:val="-2"/>
        </w:rPr>
        <w:t>设计能力，强化公司在低功耗、前后端设计等方面的优势。芯片产品方面，规划</w:t>
      </w:r>
      <w:r>
        <w:rPr>
          <w:spacing w:val="-37"/>
        </w:rPr>
        <w:t> </w:t>
      </w:r>
      <w:r>
        <w:rPr>
          <w:spacing w:val="-37"/>
        </w:rPr>
      </w:r>
      <w:r>
        <w:rPr>
          <w:spacing w:val="-2"/>
        </w:rPr>
        <w:t>了面向物联网、智能家居及智能视频等智能设备领域的系列芯片产品，并于报告期内完成了部分芯片的研发、投片和封装测</w:t>
      </w:r>
      <w:r>
        <w:rPr>
          <w:spacing w:val="-63"/>
        </w:rPr>
        <w:t> </w:t>
      </w:r>
      <w:r>
        <w:rPr>
          <w:spacing w:val="-63"/>
        </w:rPr>
      </w:r>
      <w:r>
        <w:rPr/>
        <w:t>试工作。公司在核心技术方面的研发工作将会不断提高公司的核心竞争力。</w:t>
      </w:r>
    </w:p>
    <w:p>
      <w:pPr>
        <w:pStyle w:val="BodyText"/>
        <w:spacing w:line="312" w:lineRule="auto" w:before="64"/>
        <w:ind w:right="153" w:firstLine="360"/>
        <w:jc w:val="both"/>
      </w:pPr>
      <w:r>
        <w:rPr>
          <w:spacing w:val="-2"/>
        </w:rPr>
        <w:t>方案研发方面，在智能穿戴领域，公司持续优化智能手表方案，基于新芯片产品的智能手表方案研发完成，其智能手表</w:t>
      </w:r>
      <w:r>
        <w:rPr/>
        <w:t> </w:t>
      </w:r>
      <w:r>
        <w:rPr>
          <w:spacing w:val="-2"/>
        </w:rPr>
        <w:t>已推向市场，并在性能、功耗、稳定性等方面显示了明显的竞争优势；在智能眼镜领域，公司配合多个客户进行了定制化的</w:t>
      </w:r>
      <w:r>
        <w:rPr>
          <w:spacing w:val="-67"/>
        </w:rPr>
        <w:t> </w:t>
      </w:r>
      <w:r>
        <w:rPr>
          <w:spacing w:val="-67"/>
        </w:rPr>
      </w:r>
      <w:r>
        <w:rPr/>
        <w:t>方案研发。同时，公司还进行了</w:t>
      </w:r>
      <w:r>
        <w:rPr>
          <w:rFonts w:ascii="Times New Roman" w:hAnsi="Times New Roman" w:cs="Times New Roman" w:eastAsia="Times New Roman" w:hint="default"/>
        </w:rPr>
        <w:t>WIFI</w:t>
      </w:r>
      <w:r>
        <w:rPr/>
        <w:t>音箱的方案研发，并于公司面向该类市场的新产品推出后，快速完成了基于新产品的</w:t>
      </w:r>
      <w:r>
        <w:rPr>
          <w:spacing w:val="-35"/>
        </w:rPr>
        <w:t> </w:t>
      </w:r>
      <w:r>
        <w:rPr>
          <w:spacing w:val="-35"/>
        </w:rPr>
      </w:r>
      <w:r>
        <w:rPr>
          <w:rFonts w:ascii="Times New Roman" w:hAnsi="Times New Roman" w:cs="Times New Roman" w:eastAsia="Times New Roman" w:hint="default"/>
        </w:rPr>
        <w:t>WIFI</w:t>
      </w:r>
      <w:r>
        <w:rPr/>
        <w:t>音箱方案，由于公司芯片产品相比市场同类芯片具有更强大的计算性能、超低功耗和突出的性价比，公司的方案得到</w:t>
      </w:r>
      <w:r>
        <w:rPr>
          <w:spacing w:val="-37"/>
        </w:rPr>
        <w:t> </w:t>
      </w:r>
      <w:r>
        <w:rPr>
          <w:spacing w:val="-37"/>
        </w:rPr>
      </w:r>
      <w:r>
        <w:rPr>
          <w:spacing w:val="-2"/>
        </w:rPr>
        <w:t>客户的广泛认可。此外，公司还积极布局智能家居、智能视频等领域，并支持客户进行相应的方案研发。公司对各类方案的</w:t>
      </w:r>
      <w:r>
        <w:rPr>
          <w:spacing w:val="-69"/>
        </w:rPr>
        <w:t> </w:t>
      </w:r>
      <w:r>
        <w:rPr>
          <w:spacing w:val="-69"/>
        </w:rPr>
      </w:r>
      <w:r>
        <w:rPr/>
        <w:t>研发能力不断提高，有力推动了公司对新市场的拓展。</w:t>
      </w:r>
    </w:p>
    <w:p>
      <w:pPr>
        <w:pStyle w:val="BodyText"/>
        <w:spacing w:line="309" w:lineRule="auto" w:before="63"/>
        <w:ind w:right="151" w:firstLine="360"/>
        <w:jc w:val="both"/>
      </w:pPr>
      <w:r>
        <w:rPr>
          <w:spacing w:val="-2"/>
        </w:rPr>
        <w:t>市场开拓方面，公司不断加强市场宣传和拓展的力度，通过各种方式进行产品的推广，深入挖掘智能穿戴设备、智能家</w:t>
      </w:r>
      <w:r>
        <w:rPr/>
        <w:t> </w:t>
      </w:r>
      <w:r>
        <w:rPr>
          <w:spacing w:val="-2"/>
        </w:rPr>
        <w:t>居、物联网、智能视频等市场的发展机会。为更好地进行市场拓展，使开发者更容易地基于公司的平台进行产品开发，公司</w:t>
      </w:r>
      <w:r>
        <w:rPr>
          <w:spacing w:val="-67"/>
        </w:rPr>
        <w:t> </w:t>
      </w:r>
      <w:r>
        <w:rPr>
          <w:spacing w:val="-67"/>
        </w:rPr>
      </w:r>
      <w:r>
        <w:rPr/>
        <w:t>继续强化各类开发平台的研发和推广。继</w:t>
      </w:r>
      <w:r>
        <w:rPr>
          <w:rFonts w:ascii="Times New Roman" w:hAnsi="Times New Roman" w:cs="Times New Roman" w:eastAsia="Times New Roman" w:hint="default"/>
        </w:rPr>
        <w:t>Newton</w:t>
      </w:r>
      <w:r>
        <w:rPr/>
        <w:t>平台、</w:t>
      </w:r>
      <w:r>
        <w:rPr>
          <w:rFonts w:ascii="Times New Roman" w:hAnsi="Times New Roman" w:cs="Times New Roman" w:eastAsia="Times New Roman" w:hint="default"/>
        </w:rPr>
        <w:t>Halley</w:t>
      </w:r>
      <w:r>
        <w:rPr/>
        <w:t>平台之后，公司又推出了</w:t>
      </w:r>
      <w:r>
        <w:rPr>
          <w:rFonts w:ascii="Times New Roman" w:hAnsi="Times New Roman" w:cs="Times New Roman" w:eastAsia="Times New Roman" w:hint="default"/>
        </w:rPr>
        <w:t>Venus</w:t>
      </w:r>
      <w:r>
        <w:rPr/>
        <w:t>开发平台，该开发平台非常适</w:t>
      </w:r>
      <w:r>
        <w:rPr>
          <w:spacing w:val="-70"/>
        </w:rPr>
        <w:t> </w:t>
      </w:r>
      <w:r>
        <w:rPr>
          <w:spacing w:val="-70"/>
        </w:rPr>
      </w:r>
      <w:r>
        <w:rPr>
          <w:spacing w:val="-1"/>
        </w:rPr>
        <w:t>合智能手表</w:t>
      </w:r>
      <w:r>
        <w:rPr>
          <w:rFonts w:ascii="Times New Roman" w:hAnsi="Times New Roman" w:cs="Times New Roman" w:eastAsia="Times New Roman" w:hint="default"/>
          <w:spacing w:val="-1"/>
        </w:rPr>
        <w:t>APP</w:t>
      </w:r>
      <w:r>
        <w:rPr>
          <w:spacing w:val="-1"/>
        </w:rPr>
        <w:t>开发者和系统服务提供商开发相关的应用和服务，有助于公司智能手表生态圈的建设。公司有望借助各类开</w:t>
      </w:r>
      <w:r>
        <w:rPr/>
        <w:t> 发平台的推广进入更多的应用领域。</w:t>
      </w:r>
    </w:p>
    <w:p>
      <w:pPr>
        <w:pStyle w:val="BodyText"/>
        <w:spacing w:line="316" w:lineRule="auto" w:before="65"/>
        <w:ind w:right="151" w:firstLine="360"/>
        <w:jc w:val="both"/>
      </w:pPr>
      <w:r>
        <w:rPr>
          <w:spacing w:val="-2"/>
        </w:rPr>
        <w:t>在经营管理方面，公司进一步调整和优化经营管理体制，不断完善法人治理结构，建立健全公司内部控制制度，提高公</w:t>
      </w:r>
      <w:r>
        <w:rPr/>
        <w:t> </w:t>
      </w:r>
      <w:r>
        <w:rPr>
          <w:spacing w:val="-2"/>
        </w:rPr>
        <w:t>司的整体管理水平，其中，公司尤其重视研发管理方面的工作，不断加强研发部门的培训和学习，以提高公司研发部门的研</w:t>
      </w:r>
      <w:r>
        <w:rPr>
          <w:spacing w:val="-64"/>
        </w:rPr>
        <w:t> </w:t>
      </w:r>
      <w:r>
        <w:rPr>
          <w:spacing w:val="-64"/>
        </w:rPr>
      </w:r>
      <w:r>
        <w:rPr>
          <w:spacing w:val="-2"/>
        </w:rPr>
        <w:t>发管理水平；同时，公司进一步加强人才队伍建设，注重人才的专业化培训，完善员工的激励机制，为公司团队的整体素质</w:t>
      </w:r>
      <w:r>
        <w:rPr>
          <w:spacing w:val="-67"/>
        </w:rPr>
        <w:t> </w:t>
      </w:r>
      <w:r>
        <w:rPr>
          <w:spacing w:val="-67"/>
        </w:rPr>
      </w:r>
      <w:r>
        <w:rPr/>
        <w:t>提高建立保障。报告期内，公司完成了董事会、监事会的换届选举和高级管理人员的聘任工作。</w:t>
      </w:r>
    </w:p>
    <w:p>
      <w:pPr>
        <w:pStyle w:val="BodyText"/>
        <w:spacing w:line="300" w:lineRule="auto" w:before="57"/>
        <w:ind w:right="148" w:firstLine="360"/>
        <w:jc w:val="both"/>
      </w:pPr>
      <w:r>
        <w:rPr/>
        <w:t>产业发展方面，为提高自有资金的利用效率，挖掘产业投资和并购的机会，报告期内，公司以自有资金人民币</w:t>
      </w:r>
      <w:r>
        <w:rPr>
          <w:rFonts w:ascii="Times New Roman" w:hAnsi="Times New Roman" w:cs="Times New Roman" w:eastAsia="Times New Roman" w:hint="default"/>
        </w:rPr>
        <w:t>2,000</w:t>
      </w:r>
      <w:r>
        <w:rPr/>
        <w:t>万 元参与投资南昌建恩半导体产业投资中心（有限合伙）；以自有资金人民币</w:t>
      </w:r>
      <w:r>
        <w:rPr>
          <w:rFonts w:ascii="Times New Roman" w:hAnsi="Times New Roman" w:cs="Times New Roman" w:eastAsia="Times New Roman" w:hint="default"/>
        </w:rPr>
        <w:t>3,000</w:t>
      </w:r>
      <w:r>
        <w:rPr/>
        <w:t>万元参与投资宁波鼎锋明道汇正投资合伙</w:t>
      </w:r>
      <w:r>
        <w:rPr>
          <w:spacing w:val="-41"/>
        </w:rPr>
        <w:t> </w:t>
      </w:r>
      <w:r>
        <w:rPr>
          <w:spacing w:val="-41"/>
        </w:rPr>
      </w:r>
      <w:r>
        <w:rPr/>
        <w:t>企业（有限合伙）。</w:t>
      </w:r>
    </w:p>
    <w:p>
      <w:pPr>
        <w:pStyle w:val="BodyText"/>
        <w:spacing w:line="309" w:lineRule="auto" w:before="72"/>
        <w:ind w:right="150" w:firstLine="360"/>
        <w:jc w:val="both"/>
      </w:pPr>
      <w:r>
        <w:rPr/>
        <w:t>报告期内，公司于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月以自有资金人民币</w:t>
      </w:r>
      <w:r>
        <w:rPr>
          <w:rFonts w:ascii="Times New Roman" w:hAnsi="Times New Roman" w:cs="Times New Roman" w:eastAsia="Times New Roman" w:hint="default"/>
        </w:rPr>
        <w:t>100</w:t>
      </w:r>
      <w:r>
        <w:rPr/>
        <w:t>万元受让四川迈科智能科技有限公司</w:t>
      </w:r>
      <w:r>
        <w:rPr>
          <w:rFonts w:ascii="Times New Roman" w:hAnsi="Times New Roman" w:cs="Times New Roman" w:eastAsia="Times New Roman" w:hint="default"/>
        </w:rPr>
        <w:t>10%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月，由于 </w:t>
      </w:r>
      <w:r>
        <w:rPr>
          <w:spacing w:val="-2"/>
        </w:rPr>
        <w:t>四川迈科智能科技有限公司发展战略的调整，公司与四川迈科智能科技有限公司决定由股权方面的合作改为市场合作，公司</w:t>
      </w:r>
      <w:r>
        <w:rPr>
          <w:spacing w:val="-64"/>
        </w:rPr>
        <w:t> </w:t>
      </w:r>
      <w:r>
        <w:rPr>
          <w:spacing w:val="-64"/>
        </w:rPr>
      </w:r>
      <w:r>
        <w:rPr/>
        <w:t>按原估值向其原股东转回其</w:t>
      </w:r>
      <w:r>
        <w:rPr>
          <w:rFonts w:ascii="Times New Roman" w:hAnsi="Times New Roman" w:cs="Times New Roman" w:eastAsia="Times New Roman" w:hint="default"/>
        </w:rPr>
        <w:t>10%</w:t>
      </w:r>
      <w:r>
        <w:rPr/>
        <w:t>的股权。</w:t>
      </w:r>
    </w:p>
    <w:p>
      <w:pPr>
        <w:pStyle w:val="BodyText"/>
        <w:spacing w:line="300" w:lineRule="auto" w:before="46"/>
        <w:ind w:right="148"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月，公司以自有资金</w:t>
      </w:r>
      <w:r>
        <w:rPr>
          <w:rFonts w:ascii="Times New Roman" w:hAnsi="Times New Roman" w:cs="Times New Roman" w:eastAsia="Times New Roman" w:hint="default"/>
          <w:spacing w:val="-1"/>
        </w:rPr>
        <w:t>300</w:t>
      </w:r>
      <w:r>
        <w:rPr>
          <w:spacing w:val="-1"/>
        </w:rPr>
        <w:t>万元对深圳市盛耀微电子有限公司进行了增资，获得其</w:t>
      </w:r>
      <w:r>
        <w:rPr>
          <w:rFonts w:ascii="Times New Roman" w:hAnsi="Times New Roman" w:cs="Times New Roman" w:eastAsia="Times New Roman" w:hint="default"/>
          <w:spacing w:val="-1"/>
        </w:rPr>
        <w:t>11.11%</w:t>
      </w:r>
      <w:r>
        <w:rPr>
          <w:spacing w:val="-1"/>
        </w:rPr>
        <w:t>的股权；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月，公</w:t>
      </w:r>
      <w:r>
        <w:rPr/>
        <w:t> 司对盛耀微电子继续增资</w:t>
      </w:r>
      <w:r>
        <w:rPr>
          <w:rFonts w:ascii="Times New Roman" w:hAnsi="Times New Roman" w:cs="Times New Roman" w:eastAsia="Times New Roman" w:hint="default"/>
        </w:rPr>
        <w:t>300</w:t>
      </w:r>
      <w:r>
        <w:rPr/>
        <w:t>万元，增资后总计持有其</w:t>
      </w:r>
      <w:r>
        <w:rPr>
          <w:rFonts w:ascii="Times New Roman" w:hAnsi="Times New Roman" w:cs="Times New Roman" w:eastAsia="Times New Roman" w:hint="default"/>
        </w:rPr>
        <w:t>20%</w:t>
      </w:r>
      <w:r>
        <w:rPr/>
        <w:t>的股权。盛耀微电子主要从事视频编码集成电路的研发应用，依</w:t>
      </w:r>
      <w:r>
        <w:rPr>
          <w:spacing w:val="-59"/>
        </w:rPr>
        <w:t> </w:t>
      </w:r>
      <w:r>
        <w:rPr>
          <w:spacing w:val="-59"/>
        </w:rPr>
      </w:r>
      <w:r>
        <w:rPr/>
        <w:t>托物联网技术的大环境，进行智能家居系统终端设备的研发和生产。</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48" w:firstLine="360"/>
        <w:jc w:val="both"/>
      </w:pPr>
      <w:r>
        <w:rPr>
          <w:spacing w:val="-2"/>
        </w:rPr>
        <w:t>根据北京君诚易恒科技有限公司成立时各股东签订的投资协议，君诚易恒净利润达到一定标准后，公司将把所持有的君</w:t>
      </w:r>
      <w:r>
        <w:rPr/>
        <w:t> </w:t>
      </w:r>
      <w:r>
        <w:rPr>
          <w:spacing w:val="-1"/>
        </w:rPr>
        <w:t>诚易恒</w:t>
      </w:r>
      <w:r>
        <w:rPr>
          <w:rFonts w:ascii="Times New Roman" w:hAnsi="Times New Roman" w:cs="Times New Roman" w:eastAsia="Times New Roman" w:hint="default"/>
          <w:spacing w:val="-1"/>
        </w:rPr>
        <w:t>35%</w:t>
      </w:r>
      <w:r>
        <w:rPr>
          <w:spacing w:val="-1"/>
        </w:rPr>
        <w:t>的股权转让给管理层股东。</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月，君诚易恒已经达到承诺要求，公司依据协议将所持君诚易恒</w:t>
      </w:r>
      <w:r>
        <w:rPr>
          <w:rFonts w:ascii="Times New Roman" w:hAnsi="Times New Roman" w:cs="Times New Roman" w:eastAsia="Times New Roman" w:hint="default"/>
          <w:spacing w:val="-1"/>
        </w:rPr>
        <w:t>35%</w:t>
      </w:r>
      <w:r>
        <w:rPr>
          <w:spacing w:val="-1"/>
        </w:rPr>
        <w:t>的股权</w:t>
      </w:r>
      <w:r>
        <w:rPr>
          <w:spacing w:val="-56"/>
        </w:rPr>
        <w:t> </w:t>
      </w:r>
      <w:r>
        <w:rPr/>
        <w:t>转让给管理层股东，转让后，公司仍持有君诚易恒</w:t>
      </w:r>
      <w:r>
        <w:rPr>
          <w:rFonts w:ascii="Times New Roman" w:hAnsi="Times New Roman" w:cs="Times New Roman" w:eastAsia="Times New Roman" w:hint="default"/>
        </w:rPr>
        <w:t>40%</w:t>
      </w:r>
      <w:r>
        <w:rPr/>
        <w:t>的股权。</w:t>
      </w:r>
    </w:p>
    <w:p>
      <w:pPr>
        <w:pStyle w:val="BodyText"/>
        <w:spacing w:line="300" w:lineRule="auto" w:before="46"/>
        <w:ind w:right="0" w:firstLine="360"/>
        <w:jc w:val="left"/>
      </w:pPr>
      <w:r>
        <w:rPr/>
        <w:t>报告期内，公司签订了深圳普得技术有限公司投资协议，以自有资金</w:t>
      </w:r>
      <w:r>
        <w:rPr>
          <w:rFonts w:ascii="Times New Roman" w:hAnsi="Times New Roman" w:cs="Times New Roman" w:eastAsia="Times New Roman" w:hint="default"/>
        </w:rPr>
        <w:t>300</w:t>
      </w:r>
      <w:r>
        <w:rPr/>
        <w:t>万元对普得技术进行增资，获得其</w:t>
      </w:r>
      <w:r>
        <w:rPr>
          <w:rFonts w:ascii="Times New Roman" w:hAnsi="Times New Roman" w:cs="Times New Roman" w:eastAsia="Times New Roman" w:hint="default"/>
        </w:rPr>
        <w:t>4.29%</w:t>
      </w:r>
      <w:r>
        <w:rPr/>
        <w:t>的股 </w:t>
      </w:r>
      <w:r>
        <w:rPr>
          <w:spacing w:val="-2"/>
        </w:rPr>
        <w:t>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月，公司向普得技术支付了</w:t>
      </w:r>
      <w:r>
        <w:rPr>
          <w:rFonts w:ascii="Times New Roman" w:hAnsi="Times New Roman" w:cs="Times New Roman" w:eastAsia="Times New Roman" w:hint="default"/>
          <w:spacing w:val="-2"/>
        </w:rPr>
        <w:t>300</w:t>
      </w:r>
      <w:r>
        <w:rPr>
          <w:spacing w:val="-2"/>
        </w:rPr>
        <w:t>万元增资款。深圳普得技术有限公司主要从事智能照明、智能传感、智能控制等</w:t>
      </w:r>
      <w:r>
        <w:rPr>
          <w:spacing w:val="-61"/>
        </w:rPr>
        <w:t> </w:t>
      </w:r>
      <w:r>
        <w:rPr>
          <w:spacing w:val="-61"/>
        </w:rPr>
      </w:r>
      <w:r>
        <w:rPr/>
        <w:t>物联网技术和智能硬件及管理系统的设计研发。</w:t>
      </w:r>
    </w:p>
    <w:p>
      <w:pPr>
        <w:pStyle w:val="BodyText"/>
        <w:spacing w:line="312" w:lineRule="auto" w:before="31"/>
        <w:ind w:right="149" w:firstLine="360"/>
        <w:jc w:val="both"/>
      </w:pPr>
      <w:r>
        <w:rPr>
          <w:spacing w:val="-2"/>
        </w:rPr>
        <w:t>根据超募资金投资成立合肥君正时的资金使用计划，合肥君正将在合肥高新技术产业开发区进行研发楼的建设，以使合</w:t>
      </w:r>
      <w:r>
        <w:rPr/>
        <w:t> </w:t>
      </w:r>
      <w:r>
        <w:rPr>
          <w:spacing w:val="-2"/>
        </w:rPr>
        <w:t>肥君正有一个稳定良好的研发办公环境，促进公司的长期稳定发展。报告期内，合肥君正启动了研发楼的建筑方案设计，完</w:t>
      </w:r>
      <w:r>
        <w:rPr>
          <w:spacing w:val="-64"/>
        </w:rPr>
        <w:t> </w:t>
      </w:r>
      <w:r>
        <w:rPr>
          <w:spacing w:val="-64"/>
        </w:rPr>
      </w:r>
      <w:r>
        <w:rPr>
          <w:spacing w:val="-6"/>
        </w:rPr>
        <w:t>成了研发楼建设项目的立项、环评、土地勘察、总体方案报批等工作，预计于</w:t>
      </w:r>
      <w:r>
        <w:rPr>
          <w:rFonts w:ascii="Times New Roman" w:hAnsi="Times New Roman" w:cs="Times New Roman" w:eastAsia="Times New Roman" w:hint="default"/>
          <w:spacing w:val="-6"/>
        </w:rPr>
        <w:t>2016</w:t>
      </w:r>
      <w:r>
        <w:rPr>
          <w:spacing w:val="-6"/>
        </w:rPr>
        <w:t>年上半年开工建设，研发楼占地面积约</w:t>
      </w:r>
      <w:r>
        <w:rPr>
          <w:rFonts w:ascii="Times New Roman" w:hAnsi="Times New Roman" w:cs="Times New Roman" w:eastAsia="Times New Roman" w:hint="default"/>
          <w:spacing w:val="-6"/>
        </w:rPr>
        <w:t>12000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平方米，计划总建筑面积约</w:t>
      </w:r>
      <w:r>
        <w:rPr>
          <w:rFonts w:ascii="Times New Roman" w:hAnsi="Times New Roman" w:cs="Times New Roman" w:eastAsia="Times New Roman" w:hint="default"/>
        </w:rPr>
        <w:t>20000</w:t>
      </w:r>
      <w:r>
        <w:rPr/>
        <w:t>平方米。</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4"/>
        <w:rPr>
          <w:rFonts w:ascii="宋体" w:hAnsi="宋体" w:cs="宋体" w:eastAsia="宋体" w:hint="default"/>
          <w:b/>
          <w:bCs/>
          <w:sz w:val="25"/>
          <w:szCs w:val="25"/>
        </w:rPr>
      </w:pPr>
    </w:p>
    <w:p>
      <w:pPr>
        <w:spacing w:line="559" w:lineRule="auto" w:before="0"/>
        <w:ind w:left="153" w:right="567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b/>
          <w:bCs/>
          <w:spacing w:val="2"/>
          <w:w w:val="99"/>
          <w:sz w:val="20"/>
          <w:szCs w:val="20"/>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pStyle w:val="Heading3"/>
        <w:spacing w:line="240" w:lineRule="auto" w:before="43"/>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0"/>
        <w:gridCol w:w="1594"/>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0"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70,104,954.20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59,031,657.27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18.76%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49,801,041.10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31,269,908.44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52.97%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59.26%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10,354,407.92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21,398,390.10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36.25%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-51.61%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733.33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2,173,317.56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3,243,612.18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7,776,187.62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3,119,013.22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149.32%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49,718,970.47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52,640,465.16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89.17%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技术服务类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2,016,311.30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1,133,358.49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77.91%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10,593,484.81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2,138,820.40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7"/>
              <w:jc w:val="righ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7,776,187.62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3,119,013.22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149.32%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7"/>
              <w:jc w:val="right"/>
              <w:rPr>
                <w:rFonts w:ascii="宋体" w:hAnsi="宋体" w:cs="宋体" w:eastAsia="宋体" w:hint="default"/>
                <w:sz w:val="18"/>
                <w:szCs w:val="18"/>
              </w:rPr>
            </w:pPr>
            <w:r>
              <w:rPr>
                <w:rFonts w:ascii="宋体" w:hAnsi="宋体" w:cs="宋体" w:eastAsia="宋体" w:hint="default"/>
                <w:sz w:val="18"/>
                <w:szCs w:val="18"/>
              </w:rPr>
              <w:t>广东地区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42,749,633.53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48,125,921.38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7"/>
              <w:jc w:val="right"/>
              <w:rPr>
                <w:rFonts w:ascii="宋体" w:hAnsi="宋体" w:cs="宋体" w:eastAsia="宋体" w:hint="default"/>
                <w:sz w:val="18"/>
                <w:szCs w:val="18"/>
              </w:rPr>
            </w:pPr>
            <w:r>
              <w:rPr>
                <w:rFonts w:ascii="宋体" w:hAnsi="宋体" w:cs="宋体" w:eastAsia="宋体" w:hint="default"/>
                <w:sz w:val="18"/>
                <w:szCs w:val="18"/>
              </w:rPr>
              <w:t>香港地区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7"/>
              <w:jc w:val="righ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19,579,133.05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7,786,722.67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7"/>
              <w:jc w:val="righ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7,776,187.62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3,119,013.22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149.32%</w:t>
            </w:r>
          </w:p>
        </w:tc>
      </w:tr>
    </w:tbl>
    <w:p>
      <w:pPr>
        <w:spacing w:line="240" w:lineRule="auto" w:before="8"/>
        <w:rPr>
          <w:rFonts w:ascii="宋体" w:hAnsi="宋体" w:cs="宋体" w:eastAsia="宋体" w:hint="default"/>
          <w:sz w:val="19"/>
          <w:szCs w:val="19"/>
        </w:rPr>
      </w:pPr>
    </w:p>
    <w:p>
      <w:pPr>
        <w:pStyle w:val="Heading3"/>
        <w:spacing w:line="240" w:lineRule="auto" w:before="37"/>
        <w:ind w:right="187"/>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418"/>
        <w:gridCol w:w="1215"/>
        <w:gridCol w:w="101"/>
        <w:gridCol w:w="1265"/>
        <w:gridCol w:w="103"/>
        <w:gridCol w:w="1265"/>
        <w:gridCol w:w="101"/>
        <w:gridCol w:w="1414"/>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71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49,801,041.10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26,105,691.40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47.58%</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59.26%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105.17%</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-11.73%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10,354,407.92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4,480,000.95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56.73%</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-51.61%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-60.37%</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-100.00%</w:t>
            </w: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2,173,317.56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201,665.40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90.72%</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-33.00%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-85.10%</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32.45%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7,776,187.62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682,288.88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91.23%</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149.32%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-25.25%</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20.49%</w:t>
            </w:r>
          </w:p>
        </w:tc>
      </w:tr>
      <w:tr>
        <w:trPr>
          <w:trHeight w:val="401" w:hRule="exact"/>
        </w:trPr>
        <w:tc>
          <w:tcPr>
            <w:tcW w:w="971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49,718,970.47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23,393,865.74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52.95%</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-5.55%</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-3.21%</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-1.14%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技术服务类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2,016,311.30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77.91%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-100.00%</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10,593,484.81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7,393,492.01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30.21%</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395.30%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510.81%</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-13.20%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7,776,187.62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682,288.88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91.23%</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149.32%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-25.25%</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20.49%</w:t>
            </w:r>
          </w:p>
        </w:tc>
      </w:tr>
      <w:tr>
        <w:trPr>
          <w:trHeight w:val="403" w:hRule="exact"/>
        </w:trPr>
        <w:tc>
          <w:tcPr>
            <w:tcW w:w="971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42,749,633.53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19,460,188.45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54.48%</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-11.17%</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-9.54%</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-0.82%</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1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19,579,133.05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11,327,169.30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42.15%</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151.44%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192.57%</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-8.13%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418"/>
        <w:gridCol w:w="1215"/>
        <w:gridCol w:w="1366"/>
        <w:gridCol w:w="1368"/>
        <w:gridCol w:w="1515"/>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7,776,187.62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6" w:right="0"/>
              <w:jc w:val="left"/>
              <w:rPr>
                <w:rFonts w:ascii="Times New Roman" w:hAnsi="Times New Roman" w:cs="Times New Roman" w:eastAsia="Times New Roman" w:hint="default"/>
                <w:sz w:val="18"/>
                <w:szCs w:val="18"/>
              </w:rPr>
            </w:pPr>
            <w:r>
              <w:rPr>
                <w:rFonts w:ascii="Times New Roman"/>
                <w:sz w:val="18"/>
              </w:rPr>
              <w:t>682,288.88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Times New Roman" w:hAnsi="Times New Roman" w:cs="Times New Roman" w:eastAsia="Times New Roman" w:hint="default"/>
                <w:sz w:val="18"/>
                <w:szCs w:val="18"/>
              </w:rPr>
            </w:pPr>
            <w:r>
              <w:rPr>
                <w:rFonts w:ascii="Times New Roman"/>
                <w:sz w:val="18"/>
              </w:rPr>
              <w:t>91.23%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Times New Roman" w:hAnsi="Times New Roman" w:cs="Times New Roman" w:eastAsia="Times New Roman" w:hint="default"/>
                <w:sz w:val="18"/>
                <w:szCs w:val="18"/>
              </w:rPr>
            </w:pPr>
            <w:r>
              <w:rPr>
                <w:rFonts w:ascii="Times New Roman"/>
                <w:sz w:val="18"/>
              </w:rPr>
              <w:t>149.32%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0" w:right="0"/>
              <w:jc w:val="left"/>
              <w:rPr>
                <w:rFonts w:ascii="Times New Roman" w:hAnsi="Times New Roman" w:cs="Times New Roman" w:eastAsia="Times New Roman" w:hint="default"/>
                <w:sz w:val="18"/>
                <w:szCs w:val="18"/>
              </w:rPr>
            </w:pPr>
            <w:r>
              <w:rPr>
                <w:rFonts w:ascii="Times New Roman"/>
                <w:sz w:val="18"/>
              </w:rPr>
              <w:t>-25.25%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9" w:right="0"/>
              <w:jc w:val="left"/>
              <w:rPr>
                <w:rFonts w:ascii="Times New Roman" w:hAnsi="Times New Roman" w:cs="Times New Roman" w:eastAsia="Times New Roman" w:hint="default"/>
                <w:sz w:val="18"/>
                <w:szCs w:val="18"/>
              </w:rPr>
            </w:pPr>
            <w:r>
              <w:rPr>
                <w:rFonts w:ascii="Times New Roman"/>
                <w:sz w:val="18"/>
              </w:rPr>
              <w:t>20.49%</w:t>
            </w:r>
          </w:p>
        </w:tc>
      </w:tr>
    </w:tbl>
    <w:p>
      <w:pPr>
        <w:pStyle w:val="BodyText"/>
        <w:spacing w:line="240" w:lineRule="auto" w:before="49"/>
        <w:ind w:right="187"/>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5"/>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-10.11%</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-16.67%</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-17.94%</w:t>
            </w:r>
          </w:p>
        </w:tc>
      </w:tr>
    </w:tbl>
    <w:p>
      <w:pPr>
        <w:pStyle w:val="BodyText"/>
        <w:spacing w:line="240" w:lineRule="auto" w:before="49"/>
        <w:ind w:right="187"/>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87"/>
        <w:jc w:val="left"/>
      </w:pPr>
      <w:r>
        <w:rPr/>
        <w:t>产品分类</w:t>
      </w:r>
    </w:p>
    <w:p>
      <w:pPr>
        <w:pStyle w:val="BodyText"/>
        <w:spacing w:line="240" w:lineRule="auto" w:before="117"/>
        <w:ind w:left="0" w:right="19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晶圆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14,706,741.16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15,894,735.39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封装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6,648,294.70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7,372,740.46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1,974,700.37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776,552.59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8"/>
        <w:rPr>
          <w:rFonts w:ascii="宋体" w:hAnsi="宋体" w:cs="宋体" w:eastAsia="宋体" w:hint="default"/>
          <w:sz w:val="19"/>
          <w:szCs w:val="19"/>
        </w:rPr>
      </w:pPr>
    </w:p>
    <w:p>
      <w:pPr>
        <w:pStyle w:val="Heading3"/>
        <w:spacing w:line="240" w:lineRule="auto" w:before="37"/>
        <w:ind w:right="18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8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日，本公司与北京君诚易恒科技有限公司其他股东签订股权转让协议，转让本公司所持有的北京君诚易恒 </w:t>
      </w:r>
      <w:r>
        <w:rPr>
          <w:spacing w:val="-1"/>
        </w:rPr>
        <w:t>科技有限公司</w:t>
      </w:r>
      <w:r>
        <w:rPr>
          <w:rFonts w:ascii="Times New Roman" w:hAnsi="Times New Roman" w:cs="Times New Roman" w:eastAsia="Times New Roman" w:hint="default"/>
          <w:spacing w:val="-1"/>
        </w:rPr>
        <w:t>35%</w:t>
      </w:r>
      <w:r>
        <w:rPr>
          <w:spacing w:val="-1"/>
        </w:rPr>
        <w:t>的股权，工商变更手续已于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日完成。转让后本公司持有北京君诚易恒科技有限公司</w:t>
      </w:r>
      <w:r>
        <w:rPr>
          <w:rFonts w:ascii="Times New Roman" w:hAnsi="Times New Roman" w:cs="Times New Roman" w:eastAsia="Times New Roman" w:hint="default"/>
          <w:spacing w:val="-1"/>
        </w:rPr>
        <w:t>40%</w:t>
      </w:r>
      <w:r>
        <w:rPr>
          <w:spacing w:val="-1"/>
        </w:rPr>
        <w:t>的股</w:t>
      </w:r>
      <w:r>
        <w:rPr>
          <w:spacing w:val="-58"/>
        </w:rPr>
        <w:t> </w:t>
      </w:r>
      <w:r>
        <w:rPr>
          <w:spacing w:val="-1"/>
        </w:rPr>
        <w:t>权，本公司对其由控制变为具有重大影响。因此本期只合并北京君诚易恒科技有限公司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1-12</w:t>
      </w:r>
      <w:r>
        <w:rPr>
          <w:spacing w:val="-1"/>
        </w:rPr>
        <w:t>月利润表，期末不再合并</w:t>
      </w:r>
      <w:r>
        <w:rPr>
          <w:spacing w:val="-84"/>
        </w:rPr>
        <w:t> </w:t>
      </w:r>
      <w:r>
        <w:rPr>
          <w:spacing w:val="-84"/>
        </w:rPr>
      </w:r>
      <w:r>
        <w:rPr/>
        <w:t>资产负债表。</w:t>
      </w:r>
    </w:p>
    <w:p>
      <w:pPr>
        <w:spacing w:after="0" w:line="300" w:lineRule="auto"/>
        <w:jc w:val="both"/>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48,265,624.66</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68.85%</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东莞市中控电子技术有限公司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24,564,183.54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湖北中文在线数字出版社有限公司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8,545,412.30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步步高教育电子有限公司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5,963,931.60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深圳市华辉进出口贸易有限公司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5,633,490.22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创兴国际贸易（上海）有限公司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3,558,607.00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48,265,624.66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68.85%</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24,687,648.29</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85"/>
        <w:gridCol w:w="3407"/>
        <w:gridCol w:w="2321"/>
        <w:gridCol w:w="3145"/>
      </w:tblGrid>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9,413,412.25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27.76%</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中芯国际集成电路制造（上海）有限公司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8,487,217.52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25.03%</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安靠封装测试（上海）有限公司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3,505,183.67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江苏长电科技股份有限公司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3,281,834.85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Dolphin</w:t>
            </w:r>
            <w:r>
              <w:rPr>
                <w:rFonts w:ascii="Times New Roman"/>
                <w:spacing w:val="-4"/>
                <w:sz w:val="18"/>
              </w:rPr>
              <w:t> </w:t>
            </w:r>
            <w:r>
              <w:rPr>
                <w:rFonts w:ascii="Times New Roman"/>
                <w:sz w:val="18"/>
              </w:rPr>
              <w:t>Integration</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1,042,229.90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25,729,878.19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75.87%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9"/>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1,741,468.74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2,200,050.19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74,837,713.62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65,664,317.73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-12,397,340.80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-23,609,788.60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利息收入减少所致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芯片设计行业是高技术含量的行业，技术发展更新很快，研发投入较大，为保持公司的技术创新能力，及时跟进前沿技</w:t>
      </w:r>
    </w:p>
    <w:p>
      <w:pPr>
        <w:pStyle w:val="BodyText"/>
        <w:spacing w:line="300" w:lineRule="auto" w:before="2"/>
        <w:ind w:right="143"/>
        <w:jc w:val="left"/>
      </w:pPr>
      <w:r>
        <w:rPr>
          <w:spacing w:val="-6"/>
        </w:rPr>
        <w:t>术的发展，公司一直高度重视研发投入。报告期内，公司持续推进各类研发项目，重视技术研发和创新，研发费用支出</w:t>
      </w:r>
      <w:r>
        <w:rPr>
          <w:rFonts w:ascii="Times New Roman" w:hAnsi="Times New Roman" w:cs="Times New Roman" w:eastAsia="Times New Roman" w:hint="default"/>
          <w:spacing w:val="-6"/>
        </w:rPr>
        <w:t>5,100.80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万元，占营业收入的</w:t>
      </w:r>
      <w:r>
        <w:rPr>
          <w:rFonts w:ascii="Times New Roman" w:hAnsi="Times New Roman" w:cs="Times New Roman" w:eastAsia="Times New Roman" w:hint="default"/>
        </w:rPr>
        <w:t>72.75%</w:t>
      </w:r>
      <w:r>
        <w:rPr/>
        <w:t>。</w:t>
      </w:r>
    </w:p>
    <w:p>
      <w:pPr>
        <w:pStyle w:val="BodyText"/>
        <w:spacing w:line="300" w:lineRule="auto" w:before="53"/>
        <w:ind w:right="148" w:firstLine="360"/>
        <w:jc w:val="both"/>
      </w:pPr>
      <w:r>
        <w:rPr/>
        <w:t>芯片研发方面，报告期内公司完成了</w:t>
      </w:r>
      <w:r>
        <w:rPr>
          <w:rFonts w:ascii="Times New Roman" w:hAnsi="Times New Roman" w:cs="Times New Roman" w:eastAsia="Times New Roman" w:hint="default"/>
        </w:rPr>
        <w:t>Xburst2</w:t>
      </w:r>
      <w:r>
        <w:rPr>
          <w:rFonts w:ascii="Times New Roman" w:hAnsi="Times New Roman" w:cs="Times New Roman" w:eastAsia="Times New Roman" w:hint="default"/>
          <w:spacing w:val="36"/>
        </w:rPr>
        <w:t> </w:t>
      </w:r>
      <w:r>
        <w:rPr>
          <w:rFonts w:ascii="Times New Roman" w:hAnsi="Times New Roman" w:cs="Times New Roman" w:eastAsia="Times New Roman" w:hint="default"/>
        </w:rPr>
        <w:t>CPU</w:t>
      </w:r>
      <w:r>
        <w:rPr/>
        <w:t>核部分设计验证、集成验证及迭代等工作，继续推进</w:t>
      </w:r>
      <w:r>
        <w:rPr>
          <w:rFonts w:ascii="Times New Roman" w:hAnsi="Times New Roman" w:cs="Times New Roman" w:eastAsia="Times New Roman" w:hint="default"/>
        </w:rPr>
        <w:t>VPU</w:t>
      </w:r>
      <w:r>
        <w:rPr/>
        <w:t>等核心</w:t>
      </w:r>
      <w:r>
        <w:rPr>
          <w:rFonts w:ascii="Times New Roman" w:hAnsi="Times New Roman" w:cs="Times New Roman" w:eastAsia="Times New Roman" w:hint="default"/>
        </w:rPr>
        <w:t>IP</w:t>
      </w:r>
      <w:r>
        <w:rPr/>
        <w:t>技 </w:t>
      </w:r>
      <w:r>
        <w:rPr>
          <w:spacing w:val="-2"/>
        </w:rPr>
        <w:t>术的研发，不断提高</w:t>
      </w:r>
      <w:r>
        <w:rPr>
          <w:rFonts w:ascii="Times New Roman" w:hAnsi="Times New Roman" w:cs="Times New Roman" w:eastAsia="Times New Roman" w:hint="default"/>
          <w:spacing w:val="-2"/>
        </w:rPr>
        <w:t>SOC</w:t>
      </w:r>
      <w:r>
        <w:rPr>
          <w:spacing w:val="-2"/>
        </w:rPr>
        <w:t>设计能力；根据新兴市场的发展需求，公司展开了新产品的规划、研发和投片工作，并进行了新产</w:t>
      </w:r>
      <w:r>
        <w:rPr>
          <w:spacing w:val="-57"/>
        </w:rPr>
        <w:t> </w:t>
      </w:r>
      <w:r>
        <w:rPr>
          <w:spacing w:val="-57"/>
        </w:rPr>
      </w:r>
      <w:r>
        <w:rPr/>
        <w:t>品的量产。公司在自主知识产权核心技术方面的研发工作将会不断提高公司的核心竞争力。</w:t>
      </w:r>
    </w:p>
    <w:p>
      <w:pPr>
        <w:pStyle w:val="BodyText"/>
        <w:spacing w:line="307" w:lineRule="auto" w:before="72"/>
        <w:ind w:right="148" w:firstLine="360"/>
        <w:jc w:val="both"/>
      </w:pPr>
      <w:r>
        <w:rPr/>
        <w:t>方案研发方面，公司不断优化智能手表方案，并针对该市场推出了</w:t>
      </w:r>
      <w:r>
        <w:rPr>
          <w:rFonts w:ascii="Times New Roman" w:hAnsi="Times New Roman" w:cs="Times New Roman" w:eastAsia="Times New Roman" w:hint="default"/>
        </w:rPr>
        <w:t>Venus</w:t>
      </w:r>
      <w:r>
        <w:rPr/>
        <w:t>开发平台，该开发平台适合智能手表</w:t>
      </w:r>
      <w:r>
        <w:rPr>
          <w:rFonts w:ascii="Times New Roman" w:hAnsi="Times New Roman" w:cs="Times New Roman" w:eastAsia="Times New Roman" w:hint="default"/>
        </w:rPr>
        <w:t>APP</w:t>
      </w:r>
      <w:r>
        <w:rPr/>
        <w:t>开发 </w:t>
      </w:r>
      <w:r>
        <w:rPr>
          <w:spacing w:val="-2"/>
        </w:rPr>
        <w:t>者和系统服务提供商开发相关的应用和服务，以建设更完整的智能手表生态圈；公司采用新的芯片产品进行了智能音箱方案</w:t>
      </w:r>
      <w:r>
        <w:rPr>
          <w:spacing w:val="-64"/>
        </w:rPr>
        <w:t> </w:t>
      </w:r>
      <w:r>
        <w:rPr>
          <w:spacing w:val="-64"/>
        </w:rPr>
      </w:r>
      <w:r>
        <w:rPr>
          <w:spacing w:val="2"/>
        </w:rPr>
        <w:t>的研发和优化；同时，为更好地进行市场推广，公司进行了</w:t>
      </w:r>
      <w:r>
        <w:rPr>
          <w:rFonts w:ascii="Times New Roman" w:hAnsi="Times New Roman" w:cs="Times New Roman" w:eastAsia="Times New Roman" w:hint="default"/>
          <w:spacing w:val="2"/>
        </w:rPr>
        <w:t>Newton</w:t>
      </w:r>
      <w:r>
        <w:rPr>
          <w:spacing w:val="2"/>
        </w:rPr>
        <w:t>和</w:t>
      </w:r>
      <w:r>
        <w:rPr>
          <w:rFonts w:ascii="Times New Roman" w:hAnsi="Times New Roman" w:cs="Times New Roman" w:eastAsia="Times New Roman" w:hint="default"/>
          <w:spacing w:val="2"/>
        </w:rPr>
        <w:t>Halley</w:t>
      </w:r>
      <w:r>
        <w:rPr>
          <w:spacing w:val="2"/>
        </w:rPr>
        <w:t>开发平台升级版本的研发，并推出</w:t>
      </w:r>
      <w:r>
        <w:rPr>
          <w:rFonts w:ascii="Times New Roman" w:hAnsi="Times New Roman" w:cs="Times New Roman" w:eastAsia="Times New Roman" w:hint="default"/>
          <w:spacing w:val="2"/>
        </w:rPr>
        <w:t>Newton2</w:t>
      </w:r>
      <w:r>
        <w:rPr>
          <w:spacing w:val="2"/>
        </w:rPr>
        <w:t>和</w:t>
      </w:r>
      <w:r>
        <w:rPr>
          <w:spacing w:val="-56"/>
        </w:rPr>
        <w:t> </w:t>
      </w:r>
      <w:r>
        <w:rPr>
          <w:rFonts w:ascii="Times New Roman" w:hAnsi="Times New Roman" w:cs="Times New Roman" w:eastAsia="Times New Roman" w:hint="default"/>
        </w:rPr>
        <w:t>Halley2</w:t>
      </w:r>
      <w:r>
        <w:rPr/>
        <w:t>开发平台。</w:t>
      </w:r>
    </w:p>
    <w:p>
      <w:pPr>
        <w:pStyle w:val="BodyText"/>
        <w:spacing w:line="240" w:lineRule="auto" w:before="45"/>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81.74%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51,001,797.22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42,835,126.30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42,715,383.38</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280"/>
        <w:gridCol w:w="2269"/>
        <w:gridCol w:w="2338"/>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168,627,979.86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103,751,425.41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62.53%</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116,385,306.71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104,832,106.43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52,242,673.15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-1,080,681.02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4,934.24%</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1,806,541,308.56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86,084,457.39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1,998.57%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2,651,366,940.12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86,445,222.73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2,967.11%</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-844,825,631.56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-360,765.34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-234,075.94%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82"/>
        <w:gridCol w:w="2280"/>
        <w:gridCol w:w="2269"/>
        <w:gridCol w:w="2338"/>
      </w:tblGrid>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10,421,347.74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-10,421,347.74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1" w:right="0"/>
              <w:jc w:val="left"/>
              <w:rPr>
                <w:rFonts w:ascii="Times New Roman" w:hAnsi="Times New Roman" w:cs="Times New Roman" w:eastAsia="Times New Roman" w:hint="default"/>
                <w:sz w:val="18"/>
                <w:szCs w:val="18"/>
              </w:rPr>
            </w:pPr>
            <w:r>
              <w:rPr>
                <w:rFonts w:ascii="Times New Roman"/>
                <w:sz w:val="18"/>
              </w:rPr>
              <w:t>-792,564,994.30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-11,861,724.59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-6,581.70%</w:t>
            </w:r>
          </w:p>
        </w:tc>
      </w:tr>
    </w:tbl>
    <w:p>
      <w:pPr>
        <w:pStyle w:val="BodyText"/>
        <w:spacing w:line="240" w:lineRule="auto" w:before="49"/>
        <w:ind w:right="0"/>
        <w:jc w:val="left"/>
      </w:pPr>
      <w:r>
        <w:rPr/>
        <w:t>相关数据同比发生重大变动的主要影响因素说明</w:t>
      </w:r>
    </w:p>
    <w:p>
      <w:pPr>
        <w:pStyle w:val="BodyText"/>
        <w:spacing w:line="3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经营活动产生的现金流量净额</w:t>
      </w:r>
      <w:r>
        <w:rPr>
          <w:rFonts w:ascii="Times New Roman" w:hAnsi="Times New Roman" w:cs="Times New Roman" w:eastAsia="Times New Roman" w:hint="default"/>
        </w:rPr>
        <w:t>5,224.27</w:t>
      </w:r>
      <w:r>
        <w:rPr/>
        <w:t>万元，同比增长</w:t>
      </w:r>
      <w:r>
        <w:rPr>
          <w:rFonts w:ascii="Times New Roman" w:hAnsi="Times New Roman" w:cs="Times New Roman" w:eastAsia="Times New Roman" w:hint="default"/>
        </w:rPr>
        <w:t>4,934.24%</w:t>
      </w:r>
      <w:r>
        <w:rPr/>
        <w:t>，主要是本报告期内收到的政府补助增加所致；</w:t>
      </w:r>
    </w:p>
    <w:p>
      <w:pPr>
        <w:pStyle w:val="BodyText"/>
        <w:spacing w:line="300" w:lineRule="auto" w:before="17"/>
        <w:ind w:right="0"/>
        <w:jc w:val="left"/>
      </w:pPr>
      <w:r>
        <w:rPr>
          <w:spacing w:val="-1"/>
        </w:rPr>
        <w:t>投资活动产生的现金流量净额</w:t>
      </w:r>
      <w:r>
        <w:rPr>
          <w:rFonts w:ascii="Times New Roman" w:hAnsi="Times New Roman" w:cs="Times New Roman" w:eastAsia="Times New Roman" w:hint="default"/>
          <w:spacing w:val="-1"/>
        </w:rPr>
        <w:t>-84,482.56</w:t>
      </w:r>
      <w:r>
        <w:rPr>
          <w:spacing w:val="-1"/>
        </w:rPr>
        <w:t>万元，同比下降</w:t>
      </w:r>
      <w:r>
        <w:rPr>
          <w:rFonts w:ascii="Times New Roman" w:hAnsi="Times New Roman" w:cs="Times New Roman" w:eastAsia="Times New Roman" w:hint="default"/>
          <w:spacing w:val="-1"/>
        </w:rPr>
        <w:t>234,075.94%</w:t>
      </w:r>
      <w:r>
        <w:rPr>
          <w:spacing w:val="-1"/>
        </w:rPr>
        <w:t>，主要是本报告期内用于进行现金管理、购买理财产品</w:t>
      </w:r>
      <w:r>
        <w:rPr>
          <w:spacing w:val="-56"/>
        </w:rPr>
        <w:t> </w:t>
      </w:r>
      <w:r>
        <w:rPr>
          <w:spacing w:val="-56"/>
        </w:rPr>
      </w:r>
      <w:r>
        <w:rPr/>
        <w:t>的支出增多所致；</w:t>
      </w:r>
    </w:p>
    <w:p>
      <w:pPr>
        <w:pStyle w:val="BodyText"/>
        <w:spacing w:line="340" w:lineRule="auto" w:before="72"/>
        <w:ind w:right="3373"/>
        <w:jc w:val="left"/>
      </w:pPr>
      <w:r>
        <w:rPr/>
        <w:t>筹资活动产生的现金流量净额</w:t>
      </w:r>
      <w:r>
        <w:rPr>
          <w:rFonts w:ascii="Times New Roman" w:hAnsi="Times New Roman" w:cs="Times New Roman" w:eastAsia="Times New Roman" w:hint="default"/>
        </w:rPr>
        <w:t>0</w:t>
      </w:r>
      <w:r>
        <w:rPr/>
        <w:t>万元，主要是本报告期没有进行现金分红所致。 报告期内公司经营活动产生的现金净流量与本年度净利润存在重大差异的原因说明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3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7"/>
        <w:gridCol w:w="1571"/>
        <w:gridCol w:w="1700"/>
        <w:gridCol w:w="3262"/>
        <w:gridCol w:w="1676"/>
      </w:tblGrid>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15,445,587.98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投资分红、购买理财产品收益</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1,932,652.08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计提坏账准备及存货跌价准备所致</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51,765,634.81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政府补助增长所致</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1,137,335.83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存货报废所致</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2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175"/>
        <w:gridCol w:w="1063"/>
        <w:gridCol w:w="1196"/>
        <w:gridCol w:w="1063"/>
        <w:gridCol w:w="797"/>
        <w:gridCol w:w="2919"/>
      </w:tblGrid>
      <w:tr>
        <w:trPr>
          <w:trHeight w:val="379" w:hRule="exact"/>
        </w:trPr>
        <w:tc>
          <w:tcPr>
            <w:tcW w:w="1345"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45" w:type="dxa"/>
            <w:vMerge w:val="restart"/>
            <w:tcBorders>
              <w:top w:val="single" w:sz="13" w:space="0" w:color="FFFFFF"/>
              <w:left w:val="single" w:sz="4" w:space="0" w:color="000000"/>
              <w:right w:val="single" w:sz="4" w:space="0" w:color="000000"/>
            </w:tcBorders>
            <w:shd w:val="clear" w:color="auto" w:fill="D2D2D2"/>
          </w:tcPr>
          <w:p>
            <w:pPr/>
          </w:p>
        </w:tc>
        <w:tc>
          <w:tcPr>
            <w:tcW w:w="117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43,400,406.14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835,965,400.44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用于投资方面的支出增加所致</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7,862,572.87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3,954,983.98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52,161,667.69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51,922,454.73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2,004,569.54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74,298,402.98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70,650,286.27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394,272.83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0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7"/>
        <w:gridCol w:w="425"/>
        <w:gridCol w:w="850"/>
        <w:gridCol w:w="850"/>
        <w:gridCol w:w="852"/>
        <w:gridCol w:w="992"/>
        <w:gridCol w:w="994"/>
        <w:gridCol w:w="1133"/>
        <w:gridCol w:w="853"/>
        <w:gridCol w:w="1416"/>
        <w:gridCol w:w="869"/>
      </w:tblGrid>
      <w:tr>
        <w:trPr>
          <w:trHeight w:val="1026" w:hRule="exact"/>
        </w:trPr>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6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9"/>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4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08"/>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6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63" w:right="70" w:hanging="89"/>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首次 公开 发行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32,822.68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15,653.14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49,743.42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部分存放于募集 </w:t>
            </w:r>
            <w:r>
              <w:rPr>
                <w:rFonts w:ascii="宋体" w:hAnsi="宋体" w:cs="宋体" w:eastAsia="宋体" w:hint="default"/>
                <w:spacing w:val="-10"/>
                <w:sz w:val="18"/>
                <w:szCs w:val="18"/>
              </w:rPr>
              <w:t>资金专户，部分用</w:t>
            </w:r>
            <w:r>
              <w:rPr>
                <w:rFonts w:ascii="宋体" w:hAnsi="宋体" w:cs="宋体" w:eastAsia="宋体" w:hint="default"/>
                <w:sz w:val="18"/>
                <w:szCs w:val="18"/>
              </w:rPr>
              <w:t> 于购买银行保本 型理财产品。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49,743.42</w:t>
            </w:r>
          </w:p>
        </w:tc>
      </w:tr>
      <w:tr>
        <w:trPr>
          <w:trHeight w:val="403" w:hRule="exact"/>
        </w:trPr>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82,566.1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32,822.68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15,653.14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18.96%</w:t>
            </w:r>
          </w:p>
        </w:tc>
        <w:tc>
          <w:tcPr>
            <w:tcW w:w="8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49,743.42</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49,743.42</w:t>
            </w:r>
          </w:p>
        </w:tc>
      </w:tr>
      <w:tr>
        <w:trPr>
          <w:trHeight w:val="401" w:hRule="exact"/>
        </w:trPr>
        <w:tc>
          <w:tcPr>
            <w:tcW w:w="96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6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87,600.00 </w:t>
            </w:r>
            <w:r>
              <w:rPr>
                <w:rFonts w:ascii="宋体" w:hAnsi="宋体" w:cs="宋体" w:eastAsia="宋体" w:hint="default"/>
                <w:sz w:val="18"/>
                <w:szCs w:val="18"/>
              </w:rPr>
              <w:t>万元，扣除发行费用后，募集资金净额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万元。截至报告期末，公司已累计投入募集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4971" w:lineRule="exact"/>
        <w:ind w:left="153" w:right="0" w:firstLine="0"/>
        <w:rPr>
          <w:rFonts w:ascii="宋体" w:hAnsi="宋体" w:cs="宋体" w:eastAsia="宋体" w:hint="default"/>
          <w:sz w:val="20"/>
          <w:szCs w:val="20"/>
        </w:rPr>
      </w:pPr>
      <w:r>
        <w:rPr>
          <w:rFonts w:ascii="宋体" w:hAnsi="宋体" w:cs="宋体" w:eastAsia="宋体" w:hint="default"/>
          <w:position w:val="-98"/>
          <w:sz w:val="20"/>
          <w:szCs w:val="20"/>
        </w:rPr>
        <w:pict>
          <v:shape style="width:483pt;height:248.6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pPr>
                  <w:r>
                    <w:rPr/>
                    <w:t>资金总额</w:t>
                  </w:r>
                  <w:r>
                    <w:rPr>
                      <w:spacing w:val="-47"/>
                    </w:rPr>
                    <w:t> </w:t>
                  </w:r>
                  <w:r>
                    <w:rPr>
                      <w:rFonts w:ascii="Times New Roman" w:hAnsi="Times New Roman" w:cs="Times New Roman" w:eastAsia="Times New Roman" w:hint="default"/>
                    </w:rPr>
                    <w:t>32,822.68 </w:t>
                  </w:r>
                  <w:r>
                    <w:rPr/>
                    <w:t>万元。其中：</w:t>
                  </w:r>
                </w:p>
                <w:p>
                  <w:pPr>
                    <w:pStyle w:val="BodyText"/>
                    <w:spacing w:line="240" w:lineRule="auto" w:before="104"/>
                    <w:ind w:left="2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便携式消费电子产品用多媒体处理器芯片技术改造项目</w:t>
                  </w:r>
                  <w:r>
                    <w:rPr>
                      <w:rFonts w:ascii="Times New Roman" w:hAnsi="Times New Roman" w:cs="Times New Roman" w:eastAsia="Times New Roman" w:hint="default"/>
                    </w:rPr>
                    <w:t>”</w:t>
                  </w:r>
                  <w:r>
                    <w:rPr/>
                    <w:t>，经公司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18 </w:t>
                  </w:r>
                  <w:r>
                    <w:rPr/>
                    <w:t>日召开的第一届董事会第十九次会</w:t>
                  </w:r>
                </w:p>
                <w:p>
                  <w:pPr>
                    <w:pStyle w:val="BodyText"/>
                    <w:spacing w:line="240" w:lineRule="auto" w:before="63"/>
                    <w:ind w:left="24" w:right="0"/>
                    <w:jc w:val="left"/>
                    <w:rPr>
                      <w:rFonts w:ascii="Times New Roman" w:hAnsi="Times New Roman" w:cs="Times New Roman" w:eastAsia="Times New Roman" w:hint="default"/>
                    </w:rPr>
                  </w:pPr>
                  <w:r>
                    <w:rPr/>
                    <w:t>议和</w:t>
                  </w:r>
                  <w:r>
                    <w:rPr>
                      <w:spacing w:val="-44"/>
                    </w:rPr>
                    <w:t> </w:t>
                  </w:r>
                  <w:r>
                    <w:rPr>
                      <w:rFonts w:ascii="Times New Roman" w:hAnsi="Times New Roman" w:cs="Times New Roman" w:eastAsia="Times New Roman" w:hint="default"/>
                    </w:rPr>
                    <w:t>2012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日召开的</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spacing w:val="-4"/>
                    </w:rPr>
                    <w:t>年第二次临时股东大会审议通过，该投资项目终止，终止时该项目累计投入资金</w:t>
                  </w:r>
                  <w:r>
                    <w:rPr>
                      <w:spacing w:val="-42"/>
                    </w:rPr>
                    <w:t> </w:t>
                  </w:r>
                  <w:r>
                    <w:rPr>
                      <w:rFonts w:ascii="Times New Roman" w:hAnsi="Times New Roman" w:cs="Times New Roman" w:eastAsia="Times New Roman" w:hint="default"/>
                    </w:rPr>
                    <w:t>324.30</w:t>
                  </w:r>
                </w:p>
                <w:p>
                  <w:pPr>
                    <w:pStyle w:val="BodyText"/>
                    <w:spacing w:line="240" w:lineRule="auto" w:before="63"/>
                    <w:ind w:left="24" w:right="0"/>
                    <w:jc w:val="left"/>
                  </w:pPr>
                  <w:r>
                    <w:rPr/>
                    <w:t>万元；</w:t>
                  </w:r>
                </w:p>
                <w:p>
                  <w:pPr>
                    <w:pStyle w:val="BodyText"/>
                    <w:spacing w:line="240" w:lineRule="auto" w:before="115"/>
                    <w:ind w:left="2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便携式教育电子产品用嵌入式处理器芯片技术改造项目</w:t>
                  </w:r>
                  <w:r>
                    <w:rPr>
                      <w:rFonts w:ascii="Times New Roman" w:hAnsi="Times New Roman" w:cs="Times New Roman" w:eastAsia="Times New Roman" w:hint="default"/>
                    </w:rPr>
                    <w:t>”</w:t>
                  </w:r>
                  <w:r>
                    <w:rPr/>
                    <w:t>经公司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日第二届董事会第十一次会议和</w:t>
                  </w:r>
                  <w:r>
                    <w:rPr>
                      <w:spacing w:val="-46"/>
                    </w:rPr>
                    <w:t> </w:t>
                  </w:r>
                  <w:r>
                    <w:rPr>
                      <w:rFonts w:ascii="Times New Roman" w:hAnsi="Times New Roman" w:cs="Times New Roman" w:eastAsia="Times New Roman" w:hint="default"/>
                    </w:rPr>
                    <w:t>2014</w:t>
                  </w:r>
                </w:p>
                <w:p>
                  <w:pPr>
                    <w:pStyle w:val="BodyText"/>
                    <w:spacing w:line="240" w:lineRule="auto" w:before="63"/>
                    <w:ind w:left="24" w:right="0"/>
                    <w:jc w:val="left"/>
                  </w:pP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日召开的</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年年度股东大会审议通过，公司将该项目变更为</w:t>
                  </w:r>
                  <w:r>
                    <w:rPr>
                      <w:rFonts w:ascii="Times New Roman" w:hAnsi="Times New Roman" w:cs="Times New Roman" w:eastAsia="Times New Roman" w:hint="default"/>
                    </w:rPr>
                    <w:t>“</w:t>
                  </w:r>
                  <w:r>
                    <w:rPr/>
                    <w:t>物联网及智能可穿戴设备核心技术及产品研发项</w:t>
                  </w:r>
                </w:p>
                <w:p>
                  <w:pPr>
                    <w:pStyle w:val="BodyText"/>
                    <w:spacing w:line="240" w:lineRule="auto" w:before="63"/>
                    <w:ind w:left="24" w:right="0"/>
                    <w:jc w:val="left"/>
                  </w:pPr>
                  <w:r>
                    <w:rPr/>
                    <w:t>目</w:t>
                  </w:r>
                  <w:r>
                    <w:rPr>
                      <w:rFonts w:ascii="Times New Roman" w:hAnsi="Times New Roman" w:cs="Times New Roman" w:eastAsia="Times New Roman" w:hint="default"/>
                    </w:rPr>
                    <w:t>”</w:t>
                  </w:r>
                  <w:r>
                    <w:rPr/>
                    <w:t>。截至变更时，</w:t>
                  </w:r>
                  <w:r>
                    <w:rPr>
                      <w:rFonts w:ascii="Times New Roman" w:hAnsi="Times New Roman" w:cs="Times New Roman" w:eastAsia="Times New Roman" w:hint="default"/>
                    </w:rPr>
                    <w:t>“</w:t>
                  </w:r>
                  <w:r>
                    <w:rPr/>
                    <w:t>便携式教育电子产品用嵌入式处理器芯片技术改造项目</w:t>
                  </w:r>
                  <w:r>
                    <w:rPr>
                      <w:rFonts w:ascii="Times New Roman" w:hAnsi="Times New Roman" w:cs="Times New Roman" w:eastAsia="Times New Roman" w:hint="default"/>
                    </w:rPr>
                    <w:t>”</w:t>
                  </w:r>
                  <w:r>
                    <w:rPr/>
                    <w:t>累计投入金额</w:t>
                  </w:r>
                  <w:r>
                    <w:rPr>
                      <w:spacing w:val="-47"/>
                    </w:rPr>
                    <w:t> </w:t>
                  </w:r>
                  <w:r>
                    <w:rPr>
                      <w:rFonts w:ascii="Times New Roman" w:hAnsi="Times New Roman" w:cs="Times New Roman" w:eastAsia="Times New Roman" w:hint="default"/>
                    </w:rPr>
                    <w:t>2,138.74</w:t>
                  </w:r>
                  <w:r>
                    <w:rPr>
                      <w:rFonts w:ascii="Times New Roman" w:hAnsi="Times New Roman" w:cs="Times New Roman" w:eastAsia="Times New Roman" w:hint="default"/>
                      <w:spacing w:val="-1"/>
                    </w:rPr>
                    <w:t> </w:t>
                  </w:r>
                  <w:r>
                    <w:rPr/>
                    <w:t>万元；</w:t>
                  </w:r>
                </w:p>
                <w:p>
                  <w:pPr>
                    <w:pStyle w:val="BodyText"/>
                    <w:spacing w:line="240" w:lineRule="auto" w:before="103"/>
                    <w:ind w:left="2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移动互联网终端应用处理器芯片研发及产业化项目</w:t>
                  </w:r>
                  <w:r>
                    <w:rPr>
                      <w:rFonts w:ascii="Times New Roman" w:hAnsi="Times New Roman" w:cs="Times New Roman" w:eastAsia="Times New Roman" w:hint="default"/>
                    </w:rPr>
                    <w:t>”</w:t>
                  </w:r>
                  <w:r>
                    <w:rPr/>
                    <w:t>，该项目于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日完结，截至项目完结时累计投入金额</w:t>
                  </w:r>
                </w:p>
                <w:p>
                  <w:pPr>
                    <w:pStyle w:val="BodyText"/>
                    <w:spacing w:line="240" w:lineRule="auto" w:before="63"/>
                    <w:ind w:left="24" w:right="0"/>
                    <w:jc w:val="left"/>
                  </w:pPr>
                  <w:r>
                    <w:rPr>
                      <w:rFonts w:ascii="Times New Roman" w:hAnsi="Times New Roman" w:cs="Times New Roman" w:eastAsia="Times New Roman" w:hint="default"/>
                    </w:rPr>
                    <w:t>11,402.82 </w:t>
                  </w:r>
                  <w:r>
                    <w:rPr/>
                    <w:t>万元；</w:t>
                  </w:r>
                </w:p>
                <w:p>
                  <w:pPr>
                    <w:pStyle w:val="BodyText"/>
                    <w:spacing w:line="240" w:lineRule="auto" w:before="103"/>
                    <w:ind w:left="2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研发中心建设项目</w:t>
                  </w:r>
                  <w:r>
                    <w:rPr>
                      <w:rFonts w:ascii="Times New Roman" w:hAnsi="Times New Roman" w:cs="Times New Roman" w:eastAsia="Times New Roman" w:hint="default"/>
                    </w:rPr>
                    <w:t>”</w:t>
                  </w:r>
                  <w:r>
                    <w:rPr/>
                    <w:t>，该项目于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日完结，截至项目完结时累计投入金额</w:t>
                  </w:r>
                  <w:r>
                    <w:rPr>
                      <w:spacing w:val="-46"/>
                    </w:rPr>
                    <w:t> </w:t>
                  </w:r>
                  <w:r>
                    <w:rPr>
                      <w:rFonts w:ascii="Times New Roman" w:hAnsi="Times New Roman" w:cs="Times New Roman" w:eastAsia="Times New Roman" w:hint="default"/>
                    </w:rPr>
                    <w:t>1,810.31 </w:t>
                  </w:r>
                  <w:r>
                    <w:rPr/>
                    <w:t>万元；</w:t>
                  </w:r>
                </w:p>
                <w:p>
                  <w:pPr>
                    <w:pStyle w:val="BodyText"/>
                    <w:spacing w:line="240" w:lineRule="auto" w:before="101"/>
                    <w:ind w:left="2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物联网及智能可穿戴设备核心技术及产品研发项目</w:t>
                  </w:r>
                  <w:r>
                    <w:rPr>
                      <w:rFonts w:ascii="Times New Roman" w:hAnsi="Times New Roman" w:cs="Times New Roman" w:eastAsia="Times New Roman" w:hint="default"/>
                    </w:rPr>
                    <w:t>”</w:t>
                  </w:r>
                  <w:r>
                    <w:rPr/>
                    <w:t>，截至报告期末，该项目累计投入金额</w:t>
                  </w:r>
                  <w:r>
                    <w:rPr>
                      <w:spacing w:val="-47"/>
                    </w:rPr>
                    <w:t> </w:t>
                  </w:r>
                  <w:r>
                    <w:rPr>
                      <w:rFonts w:ascii="Times New Roman" w:hAnsi="Times New Roman" w:cs="Times New Roman" w:eastAsia="Times New Roman" w:hint="default"/>
                    </w:rPr>
                    <w:t>3,146.51</w:t>
                  </w:r>
                  <w:r>
                    <w:rPr>
                      <w:rFonts w:ascii="Times New Roman" w:hAnsi="Times New Roman" w:cs="Times New Roman" w:eastAsia="Times New Roman" w:hint="default"/>
                      <w:spacing w:val="-1"/>
                    </w:rPr>
                    <w:t> </w:t>
                  </w:r>
                  <w:r>
                    <w:rPr/>
                    <w:t>万元，投资进度</w:t>
                  </w:r>
                </w:p>
                <w:p>
                  <w:pPr>
                    <w:pStyle w:val="BodyText"/>
                    <w:spacing w:line="240" w:lineRule="auto" w:before="63"/>
                    <w:ind w:left="24" w:right="0"/>
                    <w:jc w:val="left"/>
                  </w:pPr>
                  <w:r>
                    <w:rPr>
                      <w:rFonts w:ascii="Times New Roman" w:hAnsi="Times New Roman" w:cs="Times New Roman" w:eastAsia="Times New Roman" w:hint="default"/>
                    </w:rPr>
                    <w:t>22.49%</w:t>
                  </w:r>
                  <w:r>
                    <w:rPr/>
                    <w:t>；</w:t>
                  </w:r>
                </w:p>
                <w:p>
                  <w:pPr>
                    <w:pStyle w:val="BodyText"/>
                    <w:spacing w:line="240" w:lineRule="auto" w:before="104"/>
                    <w:ind w:left="24" w:right="0"/>
                    <w:jc w:val="left"/>
                  </w:pPr>
                  <w:r>
                    <w:rPr>
                      <w:rFonts w:ascii="Times New Roman" w:hAnsi="Times New Roman" w:cs="Times New Roman" w:eastAsia="Times New Roman" w:hint="default"/>
                    </w:rPr>
                    <w:t>6</w:t>
                  </w:r>
                  <w:r>
                    <w:rPr/>
                    <w:t>、经公司</w:t>
                  </w:r>
                  <w:r>
                    <w:rPr>
                      <w:spacing w:val="-47"/>
                    </w:rPr>
                    <w:t> </w:t>
                  </w:r>
                  <w:r>
                    <w:rPr>
                      <w:rFonts w:ascii="Times New Roman" w:hAnsi="Times New Roman" w:cs="Times New Roman" w:eastAsia="Times New Roman" w:hint="default"/>
                    </w:rPr>
                    <w:t>2013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 </w:t>
                  </w:r>
                  <w:r>
                    <w:rPr/>
                    <w:t>日召开的第二届董事会第十次会议和</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2014 </w:t>
                  </w:r>
                  <w:r>
                    <w:rPr/>
                    <w:t>年第一次临时股东大会审议</w:t>
                  </w:r>
                </w:p>
                <w:p>
                  <w:pPr>
                    <w:pStyle w:val="BodyText"/>
                    <w:spacing w:line="300" w:lineRule="auto" w:before="63"/>
                    <w:ind w:left="24" w:right="19"/>
                    <w:jc w:val="left"/>
                  </w:pPr>
                  <w:r>
                    <w:rPr/>
                    <w:t>通过，公司决定使用超募资金</w:t>
                  </w:r>
                  <w:r>
                    <w:rPr>
                      <w:spacing w:val="-54"/>
                    </w:rPr>
                    <w:t> </w:t>
                  </w:r>
                  <w:r>
                    <w:rPr>
                      <w:rFonts w:ascii="Times New Roman" w:hAnsi="Times New Roman" w:cs="Times New Roman" w:eastAsia="Times New Roman" w:hint="default"/>
                    </w:rPr>
                    <w:t>14,000.00</w:t>
                  </w:r>
                  <w:r>
                    <w:rPr>
                      <w:rFonts w:ascii="Times New Roman" w:hAnsi="Times New Roman" w:cs="Times New Roman" w:eastAsia="Times New Roman" w:hint="default"/>
                      <w:spacing w:val="-8"/>
                    </w:rPr>
                    <w:t> </w:t>
                  </w:r>
                  <w:r>
                    <w:rPr/>
                    <w:t>万元在合肥高新技术产业开发区投资成立全资子公司。</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4"/>
                    </w:rPr>
                    <w:t>月，公司完成了全</w:t>
                  </w:r>
                  <w:r>
                    <w:rPr/>
                    <w:t> 资子公司合肥君正科技有限公司的设立工作。</w:t>
                  </w:r>
                </w:p>
              </w:txbxContent>
            </v:textbox>
          </v:shape>
        </w:pict>
      </w:r>
      <w:r>
        <w:rPr>
          <w:rFonts w:ascii="宋体" w:hAnsi="宋体" w:cs="宋体" w:eastAsia="宋体" w:hint="default"/>
          <w:position w:val="-98"/>
          <w:sz w:val="20"/>
          <w:szCs w:val="20"/>
        </w:rPr>
      </w:r>
    </w:p>
    <w:p>
      <w:pPr>
        <w:spacing w:line="240" w:lineRule="auto" w:before="0"/>
        <w:rPr>
          <w:rFonts w:ascii="宋体" w:hAnsi="宋体" w:cs="宋体" w:eastAsia="宋体" w:hint="default"/>
          <w:sz w:val="20"/>
          <w:szCs w:val="20"/>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566"/>
        <w:gridCol w:w="569"/>
        <w:gridCol w:w="850"/>
        <w:gridCol w:w="715"/>
        <w:gridCol w:w="843"/>
        <w:gridCol w:w="718"/>
        <w:gridCol w:w="843"/>
        <w:gridCol w:w="833"/>
        <w:gridCol w:w="852"/>
        <w:gridCol w:w="718"/>
        <w:gridCol w:w="698"/>
      </w:tblGrid>
      <w:tr>
        <w:trPr>
          <w:trHeight w:val="196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26" w:right="5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57"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6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6"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0" w:right="5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52" w:right="4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0" w:right="60"/>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4" w:right="8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4" w:right="7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76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便携式教育电子产</w:t>
            </w: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843"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843"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0"/>
              <w:jc w:val="center"/>
              <w:rPr>
                <w:rFonts w:ascii="宋体" w:hAnsi="宋体" w:cs="宋体" w:eastAsia="宋体" w:hint="default"/>
                <w:sz w:val="18"/>
                <w:szCs w:val="18"/>
              </w:rPr>
            </w:pPr>
            <w:r>
              <w:rPr>
                <w:rFonts w:ascii="宋体" w:hAnsi="宋体" w:cs="宋体" w:eastAsia="宋体" w:hint="default"/>
                <w:sz w:val="18"/>
                <w:szCs w:val="18"/>
              </w:rPr>
              <w:t>品用嵌入式处理器</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8,165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2,138.74</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2,138.74</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60"/>
              <w:jc w:val="center"/>
              <w:rPr>
                <w:rFonts w:ascii="宋体" w:hAnsi="宋体" w:cs="宋体" w:eastAsia="宋体" w:hint="default"/>
                <w:sz w:val="18"/>
                <w:szCs w:val="18"/>
              </w:rPr>
            </w:pPr>
            <w:r>
              <w:rPr>
                <w:rFonts w:ascii="宋体" w:hAnsi="宋体" w:cs="宋体" w:eastAsia="宋体" w:hint="default"/>
                <w:sz w:val="18"/>
                <w:szCs w:val="18"/>
              </w:rPr>
              <w:t>芯片技术改造项目</w:t>
            </w: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843"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843"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便携式消费电子产</w:t>
            </w: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843"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843"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60"/>
              <w:jc w:val="center"/>
              <w:rPr>
                <w:rFonts w:ascii="宋体" w:hAnsi="宋体" w:cs="宋体" w:eastAsia="宋体" w:hint="default"/>
                <w:sz w:val="18"/>
                <w:szCs w:val="18"/>
              </w:rPr>
            </w:pPr>
            <w:r>
              <w:rPr>
                <w:rFonts w:ascii="宋体" w:hAnsi="宋体" w:cs="宋体" w:eastAsia="宋体" w:hint="default"/>
                <w:sz w:val="18"/>
                <w:szCs w:val="18"/>
              </w:rPr>
              <w:t>品用多媒体处理器</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8,721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324.3</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324.3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hAnsi="宋体" w:cs="宋体" w:eastAsia="宋体" w:hint="default"/>
                <w:sz w:val="18"/>
                <w:szCs w:val="18"/>
              </w:rPr>
              <w:t>终止</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4"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60"/>
              <w:jc w:val="center"/>
              <w:rPr>
                <w:rFonts w:ascii="宋体" w:hAnsi="宋体" w:cs="宋体" w:eastAsia="宋体" w:hint="default"/>
                <w:sz w:val="18"/>
                <w:szCs w:val="18"/>
              </w:rPr>
            </w:pPr>
            <w:r>
              <w:rPr>
                <w:rFonts w:ascii="宋体" w:hAnsi="宋体" w:cs="宋体" w:eastAsia="宋体" w:hint="default"/>
                <w:sz w:val="18"/>
                <w:szCs w:val="18"/>
              </w:rPr>
              <w:t>芯片技术改造项目</w:t>
            </w: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843"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843"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移动互联网终端应 用处理器芯片研发 及产业化项目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11,402.82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92.05%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-4,605.02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研发中心建设项目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1,810.31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物联网及智能可穿 戴设备核心技术及 产品研发项目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3,146.51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22.49%</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880"/>
        </w:sectPr>
      </w:pPr>
    </w:p>
    <w:p>
      <w:pPr>
        <w:spacing w:line="240" w:lineRule="auto" w:before="0"/>
        <w:rPr>
          <w:rFonts w:ascii="宋体" w:hAnsi="宋体" w:cs="宋体" w:eastAsia="宋体" w:hint="default"/>
          <w:sz w:val="20"/>
          <w:szCs w:val="20"/>
        </w:rPr>
      </w:pPr>
      <w:r>
        <w:rPr/>
        <w:pict>
          <v:shape style="position:absolute;margin-left:74.780998pt;margin-top:221.779984pt;width:468.85pt;height:17.650pt;mso-position-horizontal-relative:page;mso-position-vertical-relative:page;z-index:-812632" type="#_x0000_t202" filled="false" stroked="false">
            <v:textbox inset="0,0,0,0">
              <w:txbxContent>
                <w:p>
                  <w:pPr>
                    <w:pStyle w:val="BodyText"/>
                    <w:spacing w:line="240" w:lineRule="auto" w:before="8"/>
                    <w:ind w:left="0" w:right="0"/>
                    <w:jc w:val="left"/>
                  </w:pPr>
                  <w:r>
                    <w:rPr/>
                    <w:t>（分具体项目）</w:t>
                  </w:r>
                </w:p>
              </w:txbxContent>
            </v:textbox>
            <w10:wrap type="none"/>
          </v:shape>
        </w:pict>
      </w:r>
      <w:r>
        <w:rPr/>
        <w:pict>
          <v:shape style="position:absolute;margin-left:57.023998pt;margin-top:71.999985pt;width:488.4pt;height:684.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9"/>
                    <w:gridCol w:w="560"/>
                    <w:gridCol w:w="575"/>
                    <w:gridCol w:w="850"/>
                    <w:gridCol w:w="715"/>
                    <w:gridCol w:w="849"/>
                    <w:gridCol w:w="713"/>
                    <w:gridCol w:w="836"/>
                    <w:gridCol w:w="838"/>
                    <w:gridCol w:w="858"/>
                    <w:gridCol w:w="713"/>
                    <w:gridCol w:w="698"/>
                  </w:tblGrid>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2"/>
                          <w:jc w:val="right"/>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32,661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31,983.04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18,822.68</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-1,966.62</w:t>
                        </w:r>
                      </w:p>
                    </w:tc>
                    <w:tc>
                      <w:tcPr>
                        <w:tcW w:w="8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-7,199.02</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7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投资成立合肥君正 科技有限公司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-1,173.43</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2"/>
                          <w:jc w:val="right"/>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14,000</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-808.65</w:t>
                        </w:r>
                      </w:p>
                    </w:tc>
                    <w:tc>
                      <w:tcPr>
                        <w:tcW w:w="8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-1,173.43</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2"/>
                          <w:jc w:val="right"/>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46,661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45,983.04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32,822.68</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-2,775.27</w:t>
                        </w:r>
                      </w:p>
                    </w:tc>
                    <w:tc>
                      <w:tcPr>
                        <w:tcW w:w="8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-8,372.45</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54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12" w:right="72"/>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w:t>
                        </w:r>
                      </w:p>
                    </w:tc>
                    <w:tc>
                      <w:tcPr>
                        <w:tcW w:w="8205" w:type="dxa"/>
                        <w:gridSpan w:val="11"/>
                        <w:tcBorders>
                          <w:top w:val="single" w:sz="4" w:space="0" w:color="000000"/>
                          <w:left w:val="single" w:sz="22" w:space="0" w:color="FFFFFF"/>
                          <w:bottom w:val="single" w:sz="4" w:space="0" w:color="000000"/>
                          <w:right w:val="single" w:sz="4" w:space="0" w:color="000000"/>
                        </w:tcBorders>
                      </w:tcPr>
                      <w:p>
                        <w:pPr>
                          <w:pStyle w:val="TableParagraph"/>
                          <w:spacing w:line="307" w:lineRule="auto" w:before="51"/>
                          <w:ind w:right="69"/>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完结。由于移动互联网终 端产品市场的销售受软件生态等因素影响，市场拓展一直严重受阻，致使该项目未能达到预计收益，项 目累计亏损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585"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5" w:type="dxa"/>
                        <w:gridSpan w:val="11"/>
                        <w:vMerge w:val="restart"/>
                        <w:tcBorders>
                          <w:top w:val="single" w:sz="4" w:space="0" w:color="000000"/>
                          <w:left w:val="single" w:sz="9" w:space="0" w:color="D2D2D2"/>
                          <w:right w:val="single" w:sz="4" w:space="0" w:color="000000"/>
                        </w:tcBorders>
                      </w:tcPr>
                      <w:p>
                        <w:pPr>
                          <w:pStyle w:val="TableParagraph"/>
                          <w:spacing w:line="300" w:lineRule="auto" w:before="49"/>
                          <w:ind w:left="17"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PMP </w:t>
                        </w:r>
                        <w:r>
                          <w:rPr>
                            <w:rFonts w:ascii="宋体" w:hAnsi="宋体" w:cs="宋体" w:eastAsia="宋体" w:hint="default"/>
                            <w:sz w:val="18"/>
                            <w:szCs w:val="18"/>
                          </w:rPr>
                          <w:t>市场受移动互联网终端产品的冲击持续衰退，消费电子市场已经发生了较大变化，继 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的研发已无法达到理想的投资回报，实施该 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p>
                        <w:pPr>
                          <w:pStyle w:val="TableParagraph"/>
                          <w:spacing w:line="240" w:lineRule="auto" w:before="13"/>
                          <w:ind w:left="17" w:right="0"/>
                          <w:jc w:val="both"/>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年第二次临时股东大会审议通过，决定终止该投资项目。</w:t>
                        </w:r>
                      </w:p>
                      <w:p>
                        <w:pPr>
                          <w:pStyle w:val="TableParagraph"/>
                          <w:spacing w:line="309" w:lineRule="auto" w:before="101"/>
                          <w:ind w:left="17" w:right="1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年以来，教育电子市场中高端学习机产品逐渐被学生平板所替代，在芯片产品的性能需求上，学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生平板和普通消费类的平板电脑趋于一致。鉴于国内平板电脑市场竞争越来越激烈，芯片提供商需要不 断跟进新的生产工艺，从而导致越来越高的研发和生产成本，而教育电子作为一个行业类市场，高端产 品的市场容量有限，如果公司仅为满足教育电子的高端需求而进行新工艺产品的开发，将会带来成本无 法收回的风险。为避免在市场变化时出现募集资金投资无法收回的风险，并综合考虑电子市场的发展趋 </w:t>
                        </w:r>
                        <w:r>
                          <w:rPr>
                            <w:rFonts w:ascii="宋体" w:hAnsi="宋体" w:cs="宋体" w:eastAsia="宋体" w:hint="default"/>
                            <w:spacing w:val="-9"/>
                            <w:sz w:val="18"/>
                            <w:szCs w:val="18"/>
                          </w:rPr>
                          <w:t>势，经公司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 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6"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205" w:type="dxa"/>
                        <w:gridSpan w:val="11"/>
                        <w:vMerge/>
                        <w:tcBorders>
                          <w:left w:val="single" w:sz="9" w:space="0" w:color="D2D2D2"/>
                          <w:right w:val="single" w:sz="4" w:space="0" w:color="000000"/>
                        </w:tcBorders>
                      </w:tcPr>
                      <w:p>
                        <w:pPr/>
                      </w:p>
                    </w:tc>
                  </w:tr>
                  <w:tr>
                    <w:trPr>
                      <w:trHeight w:val="1584"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5" w:type="dxa"/>
                        <w:gridSpan w:val="11"/>
                        <w:vMerge/>
                        <w:tcBorders>
                          <w:left w:val="single" w:sz="9" w:space="0" w:color="D2D2D2"/>
                          <w:bottom w:val="single" w:sz="4" w:space="0" w:color="000000"/>
                          <w:right w:val="single" w:sz="4" w:space="0" w:color="000000"/>
                        </w:tcBorders>
                      </w:tcPr>
                      <w:p>
                        <w:pPr/>
                      </w:p>
                    </w:tc>
                  </w:tr>
                  <w:tr>
                    <w:trPr>
                      <w:trHeight w:val="403"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82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48"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8205" w:type="dxa"/>
                        <w:gridSpan w:val="11"/>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月，公司首次公开发行股票实际募集资金净额人民币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82,566.10 </w:t>
                        </w:r>
                        <w:r>
                          <w:rPr>
                            <w:rFonts w:ascii="宋体" w:hAnsi="宋体" w:cs="宋体" w:eastAsia="宋体" w:hint="default"/>
                            <w:sz w:val="18"/>
                            <w:szCs w:val="18"/>
                          </w:rPr>
                          <w:t>万元，募投项目承诺投资额</w:t>
                        </w:r>
                      </w:p>
                      <w:p>
                        <w:pPr>
                          <w:pStyle w:val="TableParagraph"/>
                          <w:spacing w:line="300" w:lineRule="auto" w:before="60"/>
                          <w:ind w:left="17"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32,661.00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49,905.10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日公司第一届董事会第十五次会议审议 </w:t>
                        </w:r>
                        <w:r>
                          <w:rPr>
                            <w:rFonts w:ascii="宋体" w:hAnsi="宋体" w:cs="宋体" w:eastAsia="宋体" w:hint="default"/>
                            <w:spacing w:val="-1"/>
                            <w:sz w:val="18"/>
                            <w:szCs w:val="18"/>
                          </w:rPr>
                          <w:t>通过了《关于变更募集资金投资项目实施地点和实施金额及延期实施的议案》，对募集资金投资项目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w:t>
                        </w:r>
                        <w:r>
                          <w:rPr>
                            <w:rFonts w:ascii="宋体" w:hAnsi="宋体" w:cs="宋体" w:eastAsia="宋体" w:hint="default"/>
                            <w:spacing w:val="-77"/>
                            <w:sz w:val="18"/>
                            <w:szCs w:val="18"/>
                          </w:rPr>
                          <w:t> </w:t>
                        </w: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的实施地点和实施金额进行了变更，变更投资额后结余的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246.00 </w:t>
                        </w:r>
                        <w:r>
                          <w:rPr>
                            <w:rFonts w:ascii="宋体" w:hAnsi="宋体" w:cs="宋体" w:eastAsia="宋体" w:hint="default"/>
                            <w:sz w:val="18"/>
                            <w:szCs w:val="18"/>
                          </w:rPr>
                          <w:t>万元转入超募资金管 理。</w:t>
                        </w:r>
                      </w:p>
                      <w:p>
                        <w:pPr>
                          <w:pStyle w:val="TableParagraph"/>
                          <w:spacing w:line="300" w:lineRule="auto" w:before="72"/>
                          <w:ind w:left="17"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、为充分利用地方优势，降低公司整体运营成本，利用地方丰富的人力资源及相对较低的人工成本优势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更好地进行产业布局和企业发展的整体规划，经公司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日召开的第二届董事会第十次会议</w:t>
                        </w:r>
                      </w:p>
                      <w:p>
                        <w:pPr>
                          <w:pStyle w:val="TableParagraph"/>
                          <w:spacing w:line="300" w:lineRule="auto" w:before="13"/>
                          <w:ind w:left="17" w:right="17"/>
                          <w:jc w:val="both"/>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年第一次临时股东大会审议通过，公司决定使用超募资金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在合肥高新技术产业开发区投资成立全资子公司。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月，公司完成了全资子公司合肥君正科技有 限公司的设立工作。</w:t>
                        </w:r>
                      </w:p>
                      <w:p>
                        <w:pPr>
                          <w:pStyle w:val="TableParagraph"/>
                          <w:spacing w:line="300" w:lineRule="auto" w:before="72"/>
                          <w:ind w:left="17"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日，公司超募资金余额为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36,151.10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万元，其中部分存放于募集资金专户，部分 用于购买银行保本型理财产品。</w:t>
                        </w:r>
                      </w:p>
                    </w:tc>
                  </w:tr>
                  <w:tr>
                    <w:trPr>
                      <w:trHeight w:val="1015"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4"/>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205" w:type="dxa"/>
                        <w:gridSpan w:val="11"/>
                        <w:vMerge/>
                        <w:tcBorders>
                          <w:left w:val="single" w:sz="9" w:space="0" w:color="D2D2D2"/>
                          <w:right w:val="single" w:sz="4" w:space="0" w:color="000000"/>
                        </w:tcBorders>
                      </w:tcPr>
                      <w:p>
                        <w:pPr/>
                      </w:p>
                    </w:tc>
                  </w:tr>
                  <w:tr>
                    <w:trPr>
                      <w:trHeight w:val="1649"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5" w:type="dxa"/>
                        <w:gridSpan w:val="11"/>
                        <w:vMerge/>
                        <w:tcBorders>
                          <w:left w:val="single" w:sz="9" w:space="0" w:color="D2D2D2"/>
                          <w:bottom w:val="single" w:sz="4" w:space="0" w:color="000000"/>
                          <w:right w:val="single" w:sz="4" w:space="0" w:color="000000"/>
                        </w:tcBorders>
                      </w:tcPr>
                      <w:p>
                        <w:pPr/>
                      </w:p>
                    </w:tc>
                  </w:tr>
                  <w:tr>
                    <w:trPr>
                      <w:trHeight w:val="403"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82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82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1"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7"/>
                          <w:ind w:left="12" w:right="84"/>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205" w:type="dxa"/>
                        <w:gridSpan w:val="11"/>
                        <w:vMerge w:val="restart"/>
                        <w:tcBorders>
                          <w:top w:val="single" w:sz="4" w:space="0" w:color="000000"/>
                          <w:left w:val="single" w:sz="9" w:space="0" w:color="D2D2D2"/>
                          <w:right w:val="single" w:sz="4" w:space="0" w:color="000000"/>
                        </w:tcBorders>
                      </w:tcPr>
                      <w:p>
                        <w:pPr>
                          <w:pStyle w:val="TableParagraph"/>
                          <w:spacing w:line="300" w:lineRule="auto" w:before="93"/>
                          <w:ind w:left="17" w:right="1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日召开的第一届董事会第十五次会议审议通过了《关于变更募集资金投资项目实施 地点和实施金额及延期实施的议案》，对募集资金投资项目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 原实施地点为北京市海淀区中关村软件园区内</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1,760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平方米租赁区内，变更后的实施地点位于中关村软件</w:t>
                        </w:r>
                        <w:r>
                          <w:rPr>
                            <w:rFonts w:ascii="宋体" w:hAnsi="宋体" w:cs="宋体" w:eastAsia="宋体" w:hint="default"/>
                            <w:sz w:val="18"/>
                            <w:szCs w:val="18"/>
                          </w:rPr>
                          <w:t> 园二期（西扩）起步区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r>
                  <w:tr>
                    <w:trPr>
                      <w:trHeight w:val="720"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5"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352" w:lineRule="exact"/>
        <w:ind w:left="174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07.5pt;height:17.650pt;mso-position-horizontal-relative:char;mso-position-vertical-relative:line" coordorigin="0,0" coordsize="8150,353">
            <v:group style="position:absolute;left:0;top:0;width:8150;height:353" coordorigin="0,0" coordsize="8150,353">
              <v:shape style="position:absolute;left:0;top:0;width:8150;height:353" coordorigin="0,0" coordsize="8150,353" path="m0,353l8150,353,8150,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0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133"/>
        <w:ind w:left="0" w:right="104"/>
        <w:jc w:val="right"/>
      </w:pPr>
      <w:r>
        <w:rPr/>
        <w:t>，</w:t>
      </w:r>
    </w:p>
    <w:p>
      <w:pPr>
        <w:spacing w:after="0" w:line="240" w:lineRule="auto"/>
        <w:jc w:val="right"/>
        <w:sectPr>
          <w:pgSz w:w="11910" w:h="16840"/>
          <w:pgMar w:header="745" w:footer="980" w:top="1060" w:bottom="1160" w:left="9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left="0" w:right="225"/>
        <w:jc w:val="right"/>
      </w:pPr>
      <w:r>
        <w:rPr/>
        <w:pict>
          <v:shape style="position:absolute;margin-left:56.484001pt;margin-top:-405.438293pt;width:488.95pt;height:484.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8205"/>
                  </w:tblGrid>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84"/>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59" w:type="dxa"/>
                        <w:vMerge/>
                        <w:tcBorders>
                          <w:left w:val="single" w:sz="4" w:space="0" w:color="000000"/>
                          <w:right w:val="single" w:sz="4" w:space="0" w:color="000000"/>
                        </w:tcBorders>
                        <w:shd w:val="clear" w:color="auto" w:fill="D2D2D2"/>
                      </w:tcPr>
                      <w:p>
                        <w:pPr/>
                      </w:p>
                    </w:tc>
                    <w:tc>
                      <w:tcPr>
                        <w:tcW w:w="8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日，经公司第一届董事会第十一次会议审议通过，根据北京兴华会计师事务所有限责任公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司出具的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）京会兴核字第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《关于北京君正集成电路股份有限公司以自筹资金预先投入募</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投项目的鉴证报告》，公司以募集资金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1,843.24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万元置换预先已投入募集资金投资项目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 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、根据招股说明书中披露的项目完成时间及项目总投资额，</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 业化项目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达到预定可使用状态的日期为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日，募集资金承诺投资总额为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12,387.00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2" w:lineRule="auto" w:before="15"/>
                          <w:ind w:left="23" w:right="6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日，该投资项目已经完结，实际投资总额为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984.18 </w:t>
                        </w:r>
                        <w:r>
                          <w:rPr>
                            <w:rFonts w:ascii="宋体" w:hAnsi="宋体" w:cs="宋体" w:eastAsia="宋体" w:hint="default"/>
                            <w:sz w:val="18"/>
                            <w:szCs w:val="18"/>
                          </w:rPr>
                          <w:t>万元。结余的主要原因为，公司从项目的实际情况出发，本着节约、合理及有效的原则使用募集资金， 并且公司结合自身的技术优势和经验，充分利用现有的设备资源，减少了新设备的购置，节省了设备购 置费用，致使募集资金出现结余。</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、根据招股说明书及公司董事会决议，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资金承诺投资总额为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日，该投资项目已经完结，实际投资金额为</w:t>
                        </w:r>
                      </w:p>
                      <w:p>
                        <w:pPr>
                          <w:pStyle w:val="TableParagraph"/>
                          <w:spacing w:line="309"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1,810.31 </w:t>
                        </w:r>
                        <w:r>
                          <w:rPr>
                            <w:rFonts w:ascii="宋体" w:hAnsi="宋体" w:cs="宋体" w:eastAsia="宋体" w:hint="default"/>
                            <w:spacing w:val="-3"/>
                            <w:sz w:val="18"/>
                            <w:szCs w:val="18"/>
                          </w:rPr>
                          <w:t>万元，结余募集资金 </w:t>
                        </w:r>
                        <w:r>
                          <w:rPr>
                            <w:rFonts w:ascii="Times New Roman" w:hAnsi="Times New Roman" w:cs="Times New Roman" w:eastAsia="Times New Roman" w:hint="default"/>
                            <w:sz w:val="18"/>
                            <w:szCs w:val="18"/>
                          </w:rPr>
                          <w:t>1,331.69</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万元。结余的主要原因为，公司本着节约、合理及有效的原则使用</w:t>
                        </w:r>
                        <w:r>
                          <w:rPr>
                            <w:rFonts w:ascii="宋体" w:hAnsi="宋体" w:cs="宋体" w:eastAsia="宋体" w:hint="default"/>
                            <w:sz w:val="18"/>
                            <w:szCs w:val="18"/>
                          </w:rPr>
                          <w:t> 募集资金，严格控制各项支出，并对各项资源进行合理调度和优化配置，充分考虑资源的共通性，节省 了项目费用，致使募集资金出现结余。</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截至报告期末，公司尚未使用的募集资金部分存放于募集资金专户，部分用于购买银行保本型理财产品</w:t>
                        </w:r>
                      </w:p>
                    </w:tc>
                  </w:tr>
                  <w:tr>
                    <w:trPr>
                      <w:trHeight w:val="1027"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41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561"/>
        <w:gridCol w:w="850"/>
        <w:gridCol w:w="708"/>
        <w:gridCol w:w="852"/>
        <w:gridCol w:w="850"/>
        <w:gridCol w:w="992"/>
        <w:gridCol w:w="852"/>
        <w:gridCol w:w="675"/>
        <w:gridCol w:w="1027"/>
      </w:tblGrid>
      <w:tr>
        <w:trPr>
          <w:trHeight w:val="133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本报告 期实际 投入金 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8" w:right="2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9"/>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便携式消费电子产</w:t>
            </w: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品用多媒体处理器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8"/>
                <w:szCs w:val="18"/>
              </w:rPr>
            </w:pPr>
            <w:r>
              <w:rPr>
                <w:rFonts w:ascii="Times New Roman"/>
                <w:sz w:val="18"/>
              </w:rPr>
              <w:t>324.3</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8"/>
                <w:szCs w:val="18"/>
              </w:rPr>
            </w:pPr>
            <w:r>
              <w:rPr>
                <w:rFonts w:ascii="Times New Roman"/>
                <w:sz w:val="18"/>
              </w:rPr>
              <w:t>324.3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芯片技术改造项目</w:t>
            </w: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03"/>
        <w:jc w:val="right"/>
      </w:pPr>
      <w:r>
        <w:rPr/>
        <w:pict>
          <v:shape style="position:absolute;margin-left:56.484001pt;margin-top:-138.988312pt;width:497pt;height:577.5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1561"/>
                    <w:gridCol w:w="850"/>
                    <w:gridCol w:w="708"/>
                    <w:gridCol w:w="852"/>
                    <w:gridCol w:w="850"/>
                    <w:gridCol w:w="992"/>
                    <w:gridCol w:w="852"/>
                    <w:gridCol w:w="675"/>
                    <w:gridCol w:w="1027"/>
                  </w:tblGrid>
                  <w:tr>
                    <w:trPr>
                      <w:trHeight w:val="71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研发中心建设项目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物联网及智能可穿 戴设备核心技术及 产品研发项目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6"/>
                          <w:jc w:val="both"/>
                          <w:rPr>
                            <w:rFonts w:ascii="宋体" w:hAnsi="宋体" w:cs="宋体" w:eastAsia="宋体" w:hint="default"/>
                            <w:sz w:val="18"/>
                            <w:szCs w:val="18"/>
                          </w:rPr>
                        </w:pPr>
                        <w:r>
                          <w:rPr>
                            <w:rFonts w:ascii="宋体" w:hAnsi="宋体" w:cs="宋体" w:eastAsia="宋体" w:hint="default"/>
                            <w:sz w:val="18"/>
                            <w:szCs w:val="18"/>
                          </w:rPr>
                          <w:t>便携式教育电子产 品用多媒体处理器 芯片技术改造项目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3,146.51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-1,966.62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2,061.31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5,281.12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-1,966.62</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396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5956"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w:t>
                        </w:r>
                      </w:p>
                    </w:tc>
                  </w:tr>
                  <w:tr>
                    <w:trPr>
                      <w:trHeight w:val="311"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场已经发生了较大变化，继续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的研发已无法达到理想的投资回报，实施该项目存在较大风险</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r>
                  <w:tr>
                    <w:trPr>
                      <w:trHeight w:val="33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日召开的</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年第二</w:t>
                        </w:r>
                        <w:r>
                          <w:rPr>
                            <w:rFonts w:ascii="宋体" w:hAnsi="宋体" w:cs="宋体" w:eastAsia="宋体" w:hint="default"/>
                            <w:spacing w:val="-3"/>
                            <w:sz w:val="18"/>
                            <w:szCs w:val="18"/>
                          </w:rPr>
                          <w:t>次</w:t>
                        </w:r>
                        <w:r>
                          <w:rPr>
                            <w:rFonts w:ascii="宋体" w:hAnsi="宋体" w:cs="宋体" w:eastAsia="宋体" w:hint="default"/>
                            <w:sz w:val="18"/>
                            <w:szCs w:val="18"/>
                          </w:rPr>
                          <w:t>临时股东大会审议通过</w:t>
                        </w:r>
                        <w:r>
                          <w:rPr>
                            <w:rFonts w:ascii="宋体" w:hAnsi="宋体" w:cs="宋体" w:eastAsia="宋体" w:hint="default"/>
                            <w:spacing w:val="-92"/>
                            <w:sz w:val="18"/>
                            <w:szCs w:val="18"/>
                          </w:rPr>
                          <w:t>，</w:t>
                        </w:r>
                        <w:r>
                          <w:rPr>
                            <w:rFonts w:ascii="宋体" w:hAnsi="宋体" w:cs="宋体" w:eastAsia="宋体" w:hint="default"/>
                            <w:sz w:val="18"/>
                            <w:szCs w:val="18"/>
                          </w:rPr>
                          <w:t>决定</w:t>
                        </w:r>
                        <w:r>
                          <w:rPr>
                            <w:rFonts w:ascii="宋体" w:hAnsi="宋体" w:cs="宋体" w:eastAsia="宋体" w:hint="default"/>
                            <w:spacing w:val="2"/>
                            <w:sz w:val="18"/>
                            <w:szCs w:val="18"/>
                          </w:rPr>
                          <w:t>终</w:t>
                        </w:r>
                        <w:r>
                          <w:rPr>
                            <w:rFonts w:ascii="宋体" w:hAnsi="宋体" w:cs="宋体" w:eastAsia="宋体" w:hint="default"/>
                            <w:sz w:val="18"/>
                            <w:szCs w:val="18"/>
                          </w:rPr>
                          <w:t>止该投资项目</w:t>
                        </w:r>
                      </w:p>
                    </w:tc>
                  </w:tr>
                  <w:tr>
                    <w:trPr>
                      <w:trHeight w:val="333"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的第一届董事会第十五次会议审议通过</w:t>
                        </w:r>
                        <w:r>
                          <w:rPr>
                            <w:rFonts w:ascii="宋体" w:hAnsi="宋体" w:cs="宋体" w:eastAsia="宋体" w:hint="default"/>
                            <w:spacing w:val="-92"/>
                            <w:sz w:val="18"/>
                            <w:szCs w:val="18"/>
                          </w:rPr>
                          <w:t>了</w:t>
                        </w:r>
                        <w:r>
                          <w:rPr>
                            <w:rFonts w:ascii="宋体" w:hAnsi="宋体" w:cs="宋体" w:eastAsia="宋体" w:hint="default"/>
                            <w:sz w:val="18"/>
                            <w:szCs w:val="18"/>
                          </w:rPr>
                          <w:t>《关</w:t>
                        </w:r>
                      </w:p>
                    </w:tc>
                  </w:tr>
                  <w:tr>
                    <w:trPr>
                      <w:trHeight w:val="307"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于变更募集资金投资项目实施地点和实施金额及延期实施的议案》，对募集</w:t>
                        </w:r>
                      </w:p>
                    </w:tc>
                  </w:tr>
                  <w:tr>
                    <w:trPr>
                      <w:trHeight w:val="317"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的实施地点进行了变更，原实施地点为北</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京市海淀区中关村软件园区内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1,760 </w:t>
                        </w:r>
                        <w:r>
                          <w:rPr>
                            <w:rFonts w:ascii="宋体" w:hAnsi="宋体" w:cs="宋体" w:eastAsia="宋体" w:hint="default"/>
                            <w:sz w:val="18"/>
                            <w:szCs w:val="18"/>
                          </w:rPr>
                          <w:t>平方米租赁区内，变更后的实施地点位</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于中关村软件园二期（西扩）起步区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地块，变更后结余的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万元转</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入超募资金的管理，并将预计完成时间由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日。由于公司研发基地建设工作比预期有所延后，致使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研发中心建</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w:t>
                        </w: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的实施进度受到影响，经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日公司第二届董事会第九</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w:t>
                        </w:r>
                      </w:p>
                    </w:tc>
                  </w:tr>
                  <w:tr>
                    <w:trPr>
                      <w:trHeight w:val="307"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在芯片产品的性能需求上，学生平板和普通消费类的平板电脑趋于一致。鉴</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于国内平板电脑市场竞争越来越激烈，芯片提供商需要不断跟进新的生产工</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艺，从而导致越来越高的研发和生产成本，而教育电子作为一个行业类市场</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高端产品的市场容量有限，如果公司仅为满足教育电子的高端需求而进行新</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工艺产品的开发，将会带来成本无法收回的风险。为避免在市场变化时出现</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募集资金投资无法收回的风险，并综合考虑电子市场的发展趋势，经公司</w:t>
                        </w:r>
                      </w:p>
                    </w:tc>
                  </w:tr>
                  <w:tr>
                    <w:trPr>
                      <w:trHeight w:val="317"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w:t>
                        </w:r>
                      </w:p>
                    </w:tc>
                  </w:tr>
                  <w:tr>
                    <w:trPr>
                      <w:trHeight w:val="312" w:hRule="exact"/>
                    </w:trPr>
                    <w:tc>
                      <w:tcPr>
                        <w:tcW w:w="3969"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5956"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w:t>
                        </w:r>
                      </w:p>
                    </w:tc>
                  </w:tr>
                  <w:tr>
                    <w:trPr>
                      <w:trHeight w:val="353" w:hRule="exact"/>
                    </w:trPr>
                    <w:tc>
                      <w:tcPr>
                        <w:tcW w:w="396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5956"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39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 项目</w:t>
                        </w:r>
                        <w:r>
                          <w:rPr>
                            <w:rFonts w:ascii="Times New Roman" w:hAnsi="Times New Roman" w:cs="Times New Roman" w:eastAsia="Times New Roman" w:hint="default"/>
                            <w:sz w:val="18"/>
                            <w:szCs w:val="18"/>
                          </w:rPr>
                          <w:t>)</w:t>
                        </w:r>
                      </w:p>
                    </w:tc>
                    <w:tc>
                      <w:tcPr>
                        <w:tcW w:w="595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595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0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r>
        <w:rPr/>
        <w:t>六、重大资产和股权出售</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38" w:lineRule="auto"/>
        <w:jc w:val="left"/>
        <w:sectPr>
          <w:pgSz w:w="11910" w:h="16840"/>
          <w:pgMar w:header="745" w:footer="980" w:top="1060" w:bottom="1160" w:left="980" w:right="680"/>
        </w:sectPr>
      </w:pPr>
    </w:p>
    <w:p>
      <w:pPr>
        <w:spacing w:line="240" w:lineRule="auto" w:before="3"/>
        <w:rPr>
          <w:rFonts w:ascii="宋体" w:hAnsi="宋体" w:cs="宋体" w:eastAsia="宋体" w:hint="default"/>
          <w:sz w:val="25"/>
          <w:szCs w:val="25"/>
        </w:rPr>
      </w:pPr>
    </w:p>
    <w:p>
      <w:pPr>
        <w:pStyle w:val="Heading3"/>
        <w:spacing w:line="240" w:lineRule="auto" w:before="37"/>
        <w:ind w:right="37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7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74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740"/>
          <w:cols w:num="2" w:equalWidth="0">
            <w:col w:w="4851" w:space="4069"/>
            <w:col w:w="12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1047"/>
        <w:gridCol w:w="797"/>
        <w:gridCol w:w="1275"/>
        <w:gridCol w:w="1277"/>
        <w:gridCol w:w="1136"/>
        <w:gridCol w:w="1133"/>
        <w:gridCol w:w="1123"/>
      </w:tblGrid>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北京君正集成 </w:t>
            </w:r>
            <w:r>
              <w:rPr>
                <w:rFonts w:ascii="宋体" w:hAnsi="宋体" w:cs="宋体" w:eastAsia="宋体" w:hint="default"/>
                <w:spacing w:val="-6"/>
                <w:sz w:val="18"/>
                <w:szCs w:val="18"/>
              </w:rPr>
              <w:t>电路（香港）集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1"/>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253,192.87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291,129.59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117,959.63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117,959.63</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深圳君正时代 集成电路有限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1"/>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9,826,134.59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-17,436,689.09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34,410,136.98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1,699,378.31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1,679,929.09</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合肥君正科技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137,786,610.37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128,265,654.76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719,467.11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-9,572,544.05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-8,086,484.05</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北京君诚易恒 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技术开发、 技术服务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万元 人民币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7,222,089.62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5,011,423.86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10,755,320.35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2,367,396.01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2,023,786.10</w:t>
            </w:r>
          </w:p>
        </w:tc>
      </w:tr>
    </w:tbl>
    <w:p>
      <w:pPr>
        <w:pStyle w:val="BodyText"/>
        <w:spacing w:line="240" w:lineRule="auto" w:before="49"/>
        <w:ind w:right="378"/>
        <w:jc w:val="left"/>
      </w:pPr>
      <w:r>
        <w:rPr/>
        <w:t>报告期内取得和处置子公司的情况</w:t>
      </w:r>
    </w:p>
    <w:p>
      <w:pPr>
        <w:pStyle w:val="BodyText"/>
        <w:spacing w:line="240" w:lineRule="auto" w:before="115"/>
        <w:ind w:right="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转让部分股权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-1,753,998.36</w:t>
            </w:r>
          </w:p>
        </w:tc>
      </w:tr>
    </w:tbl>
    <w:p>
      <w:pPr>
        <w:pStyle w:val="BodyText"/>
        <w:spacing w:line="300" w:lineRule="auto" w:before="49"/>
        <w:ind w:right="378"/>
        <w:jc w:val="left"/>
        <w:rPr>
          <w:rFonts w:ascii="Times New Roman" w:hAnsi="Times New Roman" w:cs="Times New Roman" w:eastAsia="Times New Roman" w:hint="default"/>
        </w:rPr>
      </w:pPr>
      <w:r>
        <w:rPr/>
        <w:t>主要控股参股公司情况说明：</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月，根据公司签订的北京君诚易恒科技有限公司投资协议，君诚易恒利润水平已经 达到承诺要求，公司将持有的君诚易恒</w:t>
      </w:r>
      <w:r>
        <w:rPr>
          <w:spacing w:val="-58"/>
        </w:rPr>
        <w:t> </w:t>
      </w:r>
      <w:r>
        <w:rPr>
          <w:rFonts w:ascii="Times New Roman" w:hAnsi="Times New Roman" w:cs="Times New Roman" w:eastAsia="Times New Roman" w:hint="default"/>
        </w:rPr>
        <w:t>35%</w:t>
      </w:r>
      <w:r>
        <w:rPr/>
        <w:t>的股权转让给其他股东，转让后，公司持有君诚易恒</w:t>
      </w:r>
      <w:r>
        <w:rPr>
          <w:spacing w:val="-58"/>
        </w:rPr>
        <w:t> </w:t>
      </w:r>
      <w:r>
        <w:rPr>
          <w:rFonts w:ascii="Times New Roman" w:hAnsi="Times New Roman" w:cs="Times New Roman" w:eastAsia="Times New Roman" w:hint="default"/>
        </w:rPr>
        <w:t>40%</w:t>
      </w:r>
      <w:r>
        <w:rPr/>
        <w:t>的股权。从</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59"/>
        </w:rPr>
        <w:t> </w:t>
      </w:r>
      <w:r>
        <w:rPr>
          <w:rFonts w:ascii="Times New Roman" w:hAnsi="Times New Roman" w:cs="Times New Roman" w:eastAsia="Times New Roman" w:hint="default"/>
        </w:rPr>
        <w:t>12</w:t>
      </w:r>
    </w:p>
    <w:p>
      <w:pPr>
        <w:pStyle w:val="BodyText"/>
        <w:spacing w:line="240" w:lineRule="auto" w:before="13"/>
        <w:ind w:right="378"/>
        <w:jc w:val="left"/>
      </w:pP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日起君诚易恒不纳入合并范围。</w:t>
      </w:r>
    </w:p>
    <w:p>
      <w:pPr>
        <w:spacing w:line="240" w:lineRule="auto" w:before="0"/>
        <w:rPr>
          <w:rFonts w:ascii="宋体" w:hAnsi="宋体" w:cs="宋体" w:eastAsia="宋体" w:hint="default"/>
          <w:sz w:val="24"/>
          <w:szCs w:val="24"/>
        </w:rPr>
      </w:pPr>
    </w:p>
    <w:p>
      <w:pPr>
        <w:pStyle w:val="Heading2"/>
        <w:spacing w:line="240" w:lineRule="auto"/>
        <w:ind w:right="378"/>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78"/>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378"/>
        <w:jc w:val="left"/>
      </w:pPr>
      <w:r>
        <w:rPr>
          <w:rFonts w:ascii="Times New Roman" w:hAnsi="Times New Roman" w:cs="Times New Roman" w:eastAsia="Times New Roman" w:hint="default"/>
        </w:rPr>
        <w:t>1</w:t>
      </w:r>
      <w:r>
        <w:rPr/>
        <w:t>、行业格局和趋势</w:t>
      </w:r>
    </w:p>
    <w:p>
      <w:pPr>
        <w:pStyle w:val="BodyText"/>
        <w:spacing w:line="307" w:lineRule="auto" w:before="101"/>
        <w:ind w:right="0" w:firstLine="360"/>
        <w:jc w:val="left"/>
      </w:pPr>
      <w:r>
        <w:rPr>
          <w:rFonts w:ascii="Times New Roman" w:hAnsi="Times New Roman" w:cs="Times New Roman" w:eastAsia="Times New Roman" w:hint="default"/>
          <w:spacing w:val="-2"/>
        </w:rPr>
        <w:t>2015</w:t>
      </w:r>
      <w:r>
        <w:rPr>
          <w:spacing w:val="-2"/>
        </w:rPr>
        <w:t>年，电子市场呈现多元化发展趋势，各类智能设备产品不断出现。其中智能穿戴设备市场继续发酵，但由于苹果公</w:t>
      </w:r>
      <w:r>
        <w:rPr/>
        <w:t> </w:t>
      </w:r>
      <w:r>
        <w:rPr>
          <w:spacing w:val="-4"/>
        </w:rPr>
        <w:t>司推出的智能手表低于市场预期，智能穿戴设备市场尚未出现爆发性增长。穿戴类市场中销量最大的产品仍然是以手环为主。</w:t>
      </w:r>
      <w:r>
        <w:rPr>
          <w:spacing w:val="-44"/>
        </w:rPr>
        <w:t> </w:t>
      </w:r>
      <w:r>
        <w:rPr>
          <w:spacing w:val="-44"/>
        </w:rPr>
      </w:r>
      <w:r>
        <w:rPr>
          <w:spacing w:val="-2"/>
        </w:rPr>
        <w:t>尽管如此，仍有越来越多的品牌厂商及互联网公司投入到智能穿戴设备领域中，尤其是智能手表市场。谷歌自掀起全球智能</w:t>
      </w:r>
      <w:r>
        <w:rPr>
          <w:spacing w:val="-63"/>
        </w:rPr>
        <w:t> </w:t>
      </w:r>
      <w:r>
        <w:rPr>
          <w:spacing w:val="-63"/>
        </w:rPr>
      </w:r>
      <w:r>
        <w:rPr/>
        <w:t>穿戴热潮后一直持续在该领域深耕细作；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月，腾讯发布了在智能硬件领域的</w:t>
      </w:r>
      <w:r>
        <w:rPr>
          <w:rFonts w:ascii="Times New Roman" w:hAnsi="Times New Roman" w:cs="Times New Roman" w:eastAsia="Times New Roman" w:hint="default"/>
        </w:rPr>
        <w:t>“TOS+”</w:t>
      </w:r>
      <w:r>
        <w:rPr/>
        <w:t>智能硬件开放平台战略，推出了 针对智能手表的</w:t>
      </w:r>
      <w:r>
        <w:rPr>
          <w:rFonts w:ascii="Times New Roman" w:hAnsi="Times New Roman" w:cs="Times New Roman" w:eastAsia="Times New Roman" w:hint="default"/>
        </w:rPr>
        <w:t>TOS</w:t>
      </w:r>
      <w:r>
        <w:rPr/>
        <w:t>操作系统；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月，阿里巴巴集团旗下</w:t>
      </w:r>
      <w:r>
        <w:rPr>
          <w:rFonts w:ascii="Times New Roman" w:hAnsi="Times New Roman" w:cs="Times New Roman" w:eastAsia="Times New Roman" w:hint="default"/>
        </w:rPr>
        <w:t>YunOS</w:t>
      </w:r>
      <w:r>
        <w:rPr/>
        <w:t>在</w:t>
      </w:r>
      <w:r>
        <w:rPr>
          <w:rFonts w:ascii="Times New Roman" w:hAnsi="Times New Roman" w:cs="Times New Roman" w:eastAsia="Times New Roman" w:hint="default"/>
        </w:rPr>
        <w:t>“2015</w:t>
      </w:r>
      <w:r>
        <w:rPr/>
        <w:t>杭州</w:t>
      </w:r>
      <w:r>
        <w:rPr>
          <w:rFonts w:ascii="Times New Roman" w:hAnsi="Times New Roman" w:cs="Times New Roman" w:eastAsia="Times New Roman" w:hint="default"/>
        </w:rPr>
        <w:t>·</w:t>
      </w:r>
      <w:r>
        <w:rPr/>
        <w:t>云栖大会</w:t>
      </w:r>
      <w:r>
        <w:rPr>
          <w:rFonts w:ascii="Times New Roman" w:hAnsi="Times New Roman" w:cs="Times New Roman" w:eastAsia="Times New Roman" w:hint="default"/>
        </w:rPr>
        <w:t>”</w:t>
      </w:r>
      <w:r>
        <w:rPr/>
        <w:t>上召开</w:t>
      </w:r>
      <w:r>
        <w:rPr>
          <w:rFonts w:ascii="Times New Roman" w:hAnsi="Times New Roman" w:cs="Times New Roman" w:eastAsia="Times New Roman" w:hint="default"/>
        </w:rPr>
        <w:t>“YunOS forWear</w:t>
      </w:r>
      <w:r>
        <w:rPr>
          <w:rFonts w:ascii="Times New Roman" w:hAnsi="Times New Roman" w:cs="Times New Roman" w:eastAsia="Times New Roman" w:hint="default"/>
          <w:spacing w:val="14"/>
        </w:rPr>
        <w:t> </w:t>
      </w:r>
      <w:r>
        <w:rPr/>
        <w:t>顺时</w:t>
      </w:r>
      <w:r>
        <w:rPr>
          <w:w w:val="99"/>
        </w:rPr>
        <w:t> </w:t>
      </w:r>
      <w:r>
        <w:rPr/>
        <w:t>而为</w:t>
      </w:r>
      <w:r>
        <w:rPr>
          <w:rFonts w:ascii="Times New Roman" w:hAnsi="Times New Roman" w:cs="Times New Roman" w:eastAsia="Times New Roman" w:hint="default"/>
        </w:rPr>
        <w:t>”</w:t>
      </w:r>
      <w:r>
        <w:rPr/>
        <w:t>智能穿戴系统发布会，对外宣布正式进入智能穿戴市场。作为最早进入该市场的芯片供应商，公司一直密切跟进市场 发展，努力抓住市场机会，先后与腾讯</w:t>
      </w:r>
      <w:r>
        <w:rPr>
          <w:rFonts w:ascii="Times New Roman" w:hAnsi="Times New Roman" w:cs="Times New Roman" w:eastAsia="Times New Roman" w:hint="default"/>
        </w:rPr>
        <w:t>TOS</w:t>
      </w:r>
      <w:r>
        <w:rPr/>
        <w:t>和阿里</w:t>
      </w:r>
      <w:r>
        <w:rPr>
          <w:rFonts w:ascii="Times New Roman" w:hAnsi="Times New Roman" w:cs="Times New Roman" w:eastAsia="Times New Roman" w:hint="default"/>
        </w:rPr>
        <w:t>YunOS</w:t>
      </w:r>
      <w:r>
        <w:rPr/>
        <w:t>在智能手表领域展开合作，基于</w:t>
      </w:r>
      <w:r>
        <w:rPr>
          <w:rFonts w:ascii="Times New Roman" w:hAnsi="Times New Roman" w:cs="Times New Roman" w:eastAsia="Times New Roman" w:hint="default"/>
        </w:rPr>
        <w:t>TOS</w:t>
      </w:r>
      <w:r>
        <w:rPr/>
        <w:t>、</w:t>
      </w:r>
      <w:r>
        <w:rPr>
          <w:rFonts w:ascii="Times New Roman" w:hAnsi="Times New Roman" w:cs="Times New Roman" w:eastAsia="Times New Roman" w:hint="default"/>
        </w:rPr>
        <w:t>YunOS</w:t>
      </w:r>
      <w:r>
        <w:rPr/>
        <w:t>操作系统和公司芯片</w:t>
      </w:r>
    </w:p>
    <w:p>
      <w:pPr>
        <w:spacing w:after="0" w:line="307" w:lineRule="auto"/>
        <w:jc w:val="left"/>
        <w:sectPr>
          <w:type w:val="continuous"/>
          <w:pgSz w:w="11910" w:h="16840"/>
          <w:pgMar w:top="1060" w:bottom="1160" w:left="980" w:right="740"/>
        </w:sectPr>
      </w:pPr>
    </w:p>
    <w:p>
      <w:pPr>
        <w:spacing w:line="240" w:lineRule="auto" w:before="9"/>
        <w:rPr>
          <w:rFonts w:ascii="宋体" w:hAnsi="宋体" w:cs="宋体" w:eastAsia="宋体" w:hint="default"/>
          <w:sz w:val="25"/>
          <w:szCs w:val="25"/>
        </w:rPr>
      </w:pPr>
    </w:p>
    <w:p>
      <w:pPr>
        <w:pStyle w:val="BodyText"/>
        <w:spacing w:line="319" w:lineRule="auto" w:before="44"/>
        <w:ind w:right="187"/>
        <w:jc w:val="left"/>
      </w:pPr>
      <w:r>
        <w:rPr>
          <w:spacing w:val="-2"/>
        </w:rPr>
        <w:t>的智能手表产品先后推向市场。基于公司芯片的智能手表以良好的稳定性、超长的待机时间和突出的性能优势，获得合作伙</w:t>
      </w:r>
      <w:r>
        <w:rPr>
          <w:spacing w:val="-63"/>
        </w:rPr>
        <w:t> </w:t>
      </w:r>
      <w:r>
        <w:rPr>
          <w:spacing w:val="-63"/>
        </w:rPr>
      </w:r>
      <w:r>
        <w:rPr/>
        <w:t>伴的广泛认可。业内众多厂商纷纷加大在智能穿戴设备市场的投入，将有力推动该市场的发展。</w:t>
      </w:r>
    </w:p>
    <w:p>
      <w:pPr>
        <w:pStyle w:val="BodyText"/>
        <w:spacing w:line="312" w:lineRule="auto" w:before="58"/>
        <w:ind w:right="188" w:firstLine="360"/>
        <w:jc w:val="both"/>
      </w:pPr>
      <w:r>
        <w:rPr>
          <w:spacing w:val="-2"/>
        </w:rPr>
        <w:t>平板电脑市场在</w:t>
      </w:r>
      <w:r>
        <w:rPr>
          <w:rFonts w:ascii="Times New Roman" w:hAnsi="Times New Roman" w:cs="Times New Roman" w:eastAsia="Times New Roman" w:hint="default"/>
          <w:spacing w:val="-2"/>
        </w:rPr>
        <w:t>2015</w:t>
      </w:r>
      <w:r>
        <w:rPr>
          <w:spacing w:val="-2"/>
        </w:rPr>
        <w:t>年出现饱和迹象，同时市场竞争也越来越白热化，给产业链中各类厂商带来较大的市场压力，平板</w:t>
      </w:r>
      <w:r>
        <w:rPr/>
        <w:t> </w:t>
      </w:r>
      <w:r>
        <w:rPr>
          <w:spacing w:val="-2"/>
        </w:rPr>
        <w:t>电脑市场的衰落从另一方面也给新市场带来更多的市场关注和发展空间。传统教育电子市场受各类新兴硬件产品的冲击，出</w:t>
      </w:r>
      <w:r>
        <w:rPr>
          <w:spacing w:val="-64"/>
        </w:rPr>
        <w:t> </w:t>
      </w:r>
      <w:r>
        <w:rPr>
          <w:spacing w:val="-64"/>
        </w:rPr>
      </w:r>
      <w:r>
        <w:rPr>
          <w:spacing w:val="-2"/>
        </w:rPr>
        <w:t>现了下滑的迹象，导致了公司在该领域的销售收入不断下降。消费电子市场则出现多元化发展的趋势，公司密切关注市场变</w:t>
      </w:r>
      <w:r>
        <w:rPr>
          <w:spacing w:val="-62"/>
        </w:rPr>
        <w:t> </w:t>
      </w:r>
      <w:r>
        <w:rPr>
          <w:spacing w:val="-62"/>
        </w:rPr>
      </w:r>
      <w:r>
        <w:rPr/>
        <w:t>化，跟随市场发展的趋势及时调整业务重点，积极把握市场发展的机会。</w:t>
      </w:r>
    </w:p>
    <w:p>
      <w:pPr>
        <w:pStyle w:val="BodyText"/>
        <w:spacing w:line="307" w:lineRule="auto" w:before="61"/>
        <w:ind w:right="187" w:firstLine="360"/>
        <w:jc w:val="left"/>
      </w:pPr>
      <w:r>
        <w:rPr>
          <w:spacing w:val="-2"/>
        </w:rPr>
        <w:t>物联网和智能家居领域受到更多厂商的关注，给芯片厂商带来了更多的市场机会，智能家居中传统产品的升级换代也使</w:t>
      </w:r>
      <w:r>
        <w:rPr/>
        <w:t> </w:t>
      </w:r>
      <w:r>
        <w:rPr>
          <w:spacing w:val="-2"/>
        </w:rPr>
        <w:t>各类产品对主控的需求升级，给</w:t>
      </w:r>
      <w:r>
        <w:rPr>
          <w:rFonts w:ascii="Times New Roman" w:hAnsi="Times New Roman" w:cs="Times New Roman" w:eastAsia="Times New Roman" w:hint="default"/>
          <w:spacing w:val="-2"/>
        </w:rPr>
        <w:t>CPU</w:t>
      </w:r>
      <w:r>
        <w:rPr>
          <w:spacing w:val="-2"/>
        </w:rPr>
        <w:t>类主控芯片带来了更多的发展空间。报告期内，物联网市场仍处于起步和探索阶段，但</w:t>
      </w:r>
      <w:r>
        <w:rPr>
          <w:spacing w:val="-58"/>
        </w:rPr>
        <w:t> </w:t>
      </w:r>
      <w:r>
        <w:rPr>
          <w:spacing w:val="-58"/>
        </w:rPr>
      </w:r>
      <w:r>
        <w:rPr/>
        <w:t>市场逐渐从概念走向具体产品，如</w:t>
      </w:r>
      <w:r>
        <w:rPr>
          <w:rFonts w:ascii="Times New Roman" w:hAnsi="Times New Roman" w:cs="Times New Roman" w:eastAsia="Times New Roman" w:hint="default"/>
        </w:rPr>
        <w:t>WIFI</w:t>
      </w:r>
      <w:r>
        <w:rPr/>
        <w:t>音箱、智能门铃等智能硬件产品和智能空调、智能冰箱等智能家电产品。除了各类</w:t>
      </w:r>
      <w:r>
        <w:rPr>
          <w:w w:val="99"/>
        </w:rPr>
        <w:t> </w:t>
      </w:r>
      <w:r>
        <w:rPr>
          <w:spacing w:val="-2"/>
        </w:rPr>
        <w:t>芯片厂商和终端产品厂商积极布局该市场外，腾讯、阿里、京东等互联网公司也逐渐加大了在这一领域的投入。公司继续强</w:t>
      </w:r>
      <w:r>
        <w:rPr>
          <w:spacing w:val="-66"/>
        </w:rPr>
        <w:t> </w:t>
      </w:r>
      <w:r>
        <w:rPr>
          <w:spacing w:val="-66"/>
        </w:rPr>
      </w:r>
      <w:r>
        <w:rPr>
          <w:spacing w:val="-2"/>
        </w:rPr>
        <w:t>化各类开发平台的研发和推广，在</w:t>
      </w:r>
      <w:r>
        <w:rPr>
          <w:rFonts w:ascii="Times New Roman" w:hAnsi="Times New Roman" w:cs="Times New Roman" w:eastAsia="Times New Roman" w:hint="default"/>
          <w:spacing w:val="-2"/>
        </w:rPr>
        <w:t>2015</w:t>
      </w:r>
      <w:r>
        <w:rPr>
          <w:spacing w:val="-2"/>
        </w:rPr>
        <w:t>年陆续优化和推出多个开发平台，希望籍此抓住更多的市场机会，未来公司将持续加</w:t>
      </w:r>
      <w:r>
        <w:rPr>
          <w:spacing w:val="-62"/>
        </w:rPr>
        <w:t> </w:t>
      </w:r>
      <w:r>
        <w:rPr>
          <w:spacing w:val="-62"/>
        </w:rPr>
      </w:r>
      <w:r>
        <w:rPr/>
        <w:t>强开发平台的推广工作，积极寻找更多的合作伙伴，推动公司产品在物联网、智能家居等领域的应用。</w:t>
      </w:r>
    </w:p>
    <w:p>
      <w:pPr>
        <w:pStyle w:val="BodyText"/>
        <w:spacing w:line="316" w:lineRule="auto" w:before="67"/>
        <w:ind w:right="188" w:firstLine="360"/>
        <w:jc w:val="both"/>
      </w:pPr>
      <w:r>
        <w:rPr>
          <w:spacing w:val="-2"/>
        </w:rPr>
        <w:t>集成电路产业是信息技术产业的核心，是支撑经济社会发展和保障国家安全的战略性、基础性和先导性产业，国家对集</w:t>
      </w:r>
      <w:r>
        <w:rPr/>
        <w:t> </w:t>
      </w:r>
      <w:r>
        <w:rPr>
          <w:spacing w:val="-2"/>
        </w:rPr>
        <w:t>成电路产业一直高度重视，多年来从资金、政策等各个方面扶持着国内集成电路产业的发展。而国家集成电路产业投资基金</w:t>
      </w:r>
      <w:r>
        <w:rPr>
          <w:spacing w:val="-63"/>
        </w:rPr>
        <w:t> </w:t>
      </w:r>
      <w:r>
        <w:rPr>
          <w:spacing w:val="-63"/>
        </w:rPr>
      </w:r>
      <w:r>
        <w:rPr>
          <w:spacing w:val="-2"/>
        </w:rPr>
        <w:t>和各地方集成电路扶持基金的设立，在推动国内集成电路产业发展的同时，也促进了集成电路企业的并购融合。与国内良好</w:t>
      </w:r>
      <w:r>
        <w:rPr>
          <w:spacing w:val="-62"/>
        </w:rPr>
        <w:t> </w:t>
      </w:r>
      <w:r>
        <w:rPr>
          <w:spacing w:val="-62"/>
        </w:rPr>
      </w:r>
      <w:r>
        <w:rPr>
          <w:spacing w:val="-2"/>
        </w:rPr>
        <w:t>的政策环境相比，国家经济的增长压力、汇率的大幅波动以及世界经济走势的不确定性，也给集成电路企业带来发展上的不</w:t>
      </w:r>
      <w:r>
        <w:rPr>
          <w:spacing w:val="-62"/>
        </w:rPr>
        <w:t> </w:t>
      </w:r>
      <w:r>
        <w:rPr>
          <w:spacing w:val="-62"/>
        </w:rPr>
      </w:r>
      <w:r>
        <w:rPr/>
        <w:t>确定性。</w:t>
      </w:r>
    </w:p>
    <w:p>
      <w:pPr>
        <w:pStyle w:val="BodyText"/>
        <w:spacing w:line="338" w:lineRule="auto" w:before="59"/>
        <w:ind w:left="513" w:right="187"/>
        <w:jc w:val="left"/>
      </w:pPr>
      <w:r>
        <w:rPr>
          <w:rFonts w:ascii="Times New Roman" w:hAnsi="Times New Roman" w:cs="Times New Roman" w:eastAsia="Times New Roman" w:hint="default"/>
        </w:rPr>
        <w:t>2</w:t>
      </w:r>
      <w:r>
        <w:rPr/>
        <w:t>、公司发展战略 </w:t>
      </w:r>
      <w:r>
        <w:rPr>
          <w:spacing w:val="-1"/>
        </w:rPr>
        <w:t>公司坚持</w:t>
      </w:r>
      <w:r>
        <w:rPr>
          <w:rFonts w:ascii="Times New Roman" w:hAnsi="Times New Roman" w:cs="Times New Roman" w:eastAsia="Times New Roman" w:hint="default"/>
          <w:spacing w:val="-1"/>
        </w:rPr>
        <w:t>“</w:t>
      </w:r>
      <w:r>
        <w:rPr>
          <w:spacing w:val="-1"/>
        </w:rPr>
        <w:t>创新技术、自主研发</w:t>
      </w:r>
      <w:r>
        <w:rPr>
          <w:rFonts w:ascii="Times New Roman" w:hAnsi="Times New Roman" w:cs="Times New Roman" w:eastAsia="Times New Roman" w:hint="default"/>
          <w:spacing w:val="-1"/>
        </w:rPr>
        <w:t>”</w:t>
      </w:r>
      <w:r>
        <w:rPr>
          <w:spacing w:val="-1"/>
        </w:rPr>
        <w:t>的技术战略和</w:t>
      </w:r>
      <w:r>
        <w:rPr>
          <w:rFonts w:ascii="Times New Roman" w:hAnsi="Times New Roman" w:cs="Times New Roman" w:eastAsia="Times New Roman" w:hint="default"/>
          <w:spacing w:val="-1"/>
        </w:rPr>
        <w:t>“</w:t>
      </w:r>
      <w:r>
        <w:rPr>
          <w:spacing w:val="-1"/>
        </w:rPr>
        <w:t>开放平台、纵横扩展</w:t>
      </w:r>
      <w:r>
        <w:rPr>
          <w:rFonts w:ascii="Times New Roman" w:hAnsi="Times New Roman" w:cs="Times New Roman" w:eastAsia="Times New Roman" w:hint="default"/>
          <w:spacing w:val="-1"/>
        </w:rPr>
        <w:t>”</w:t>
      </w:r>
      <w:r>
        <w:rPr>
          <w:spacing w:val="-1"/>
        </w:rPr>
        <w:t>的市场战略。在技术上，公司将进一步加大投入和</w:t>
      </w:r>
    </w:p>
    <w:p>
      <w:pPr>
        <w:pStyle w:val="BodyText"/>
        <w:spacing w:line="217" w:lineRule="exact"/>
        <w:ind w:right="0"/>
        <w:jc w:val="left"/>
      </w:pPr>
      <w:r>
        <w:rPr/>
        <w:t>持续进行技术创新，提前布局产品研发。在市场上，充分发挥自身的技术优势、产品优势、平台优势和本土化服务优势，积</w:t>
      </w:r>
    </w:p>
    <w:p>
      <w:pPr>
        <w:pStyle w:val="BodyText"/>
        <w:spacing w:line="316" w:lineRule="auto" w:before="76"/>
        <w:ind w:right="187"/>
        <w:jc w:val="left"/>
      </w:pPr>
      <w:r>
        <w:rPr>
          <w:spacing w:val="-2"/>
        </w:rPr>
        <w:t>极寻找和拓展适合公司产品的市场领域，抓住未来新兴产业机会、重点开拓智能穿戴设备、物联网、智能家居、智能视频等</w:t>
      </w:r>
      <w:r>
        <w:rPr>
          <w:spacing w:val="-65"/>
        </w:rPr>
        <w:t> </w:t>
      </w:r>
      <w:r>
        <w:rPr>
          <w:spacing w:val="-65"/>
        </w:rPr>
      </w:r>
      <w:r>
        <w:rPr/>
        <w:t>领域，将公司打造成国内领先的集成电路设计企业。</w:t>
      </w:r>
    </w:p>
    <w:p>
      <w:pPr>
        <w:pStyle w:val="BodyText"/>
        <w:spacing w:line="240" w:lineRule="auto" w:before="59"/>
        <w:ind w:left="513" w:right="187"/>
        <w:jc w:val="left"/>
      </w:pPr>
      <w:r>
        <w:rPr>
          <w:rFonts w:ascii="Times New Roman" w:hAnsi="Times New Roman" w:cs="Times New Roman" w:eastAsia="Times New Roman" w:hint="default"/>
        </w:rPr>
        <w:t>3</w:t>
      </w:r>
      <w:r>
        <w:rPr/>
        <w:t>、经营计划</w:t>
      </w:r>
    </w:p>
    <w:p>
      <w:pPr>
        <w:pStyle w:val="BodyText"/>
        <w:spacing w:line="300" w:lineRule="auto" w:before="103"/>
        <w:ind w:right="103" w:firstLine="360"/>
        <w:jc w:val="both"/>
      </w:pPr>
      <w:r>
        <w:rPr>
          <w:rFonts w:ascii="Times New Roman" w:hAnsi="Times New Roman" w:cs="Times New Roman" w:eastAsia="Times New Roman" w:hint="default"/>
          <w:spacing w:val="-4"/>
        </w:rPr>
        <w:t>2016</w:t>
      </w:r>
      <w:r>
        <w:rPr>
          <w:spacing w:val="-4"/>
        </w:rPr>
        <w:t>年公司将继续加大研发投入，坚持核心技术的研发，坚持技术创新，不断完善公司的经营管理水平和市场拓展能力，</w:t>
      </w:r>
      <w:r>
        <w:rPr/>
        <w:t> 努力抓住新兴市场机会，不断寻求新的应用领域，加快新市场的开拓和布局，积极推动公司的业绩改善。</w:t>
      </w:r>
    </w:p>
    <w:p>
      <w:pPr>
        <w:pStyle w:val="BodyText"/>
        <w:spacing w:line="240" w:lineRule="auto" w:before="70"/>
        <w:ind w:left="513" w:right="187"/>
        <w:jc w:val="left"/>
      </w:pPr>
      <w:r>
        <w:rPr/>
        <w:t>具体来说，公司</w:t>
      </w:r>
      <w:r>
        <w:rPr>
          <w:rFonts w:ascii="Times New Roman" w:hAnsi="Times New Roman" w:cs="Times New Roman" w:eastAsia="Times New Roman" w:hint="default"/>
        </w:rPr>
        <w:t>2016</w:t>
      </w:r>
      <w:r>
        <w:rPr/>
        <w:t>年经营计划如下：</w:t>
      </w:r>
    </w:p>
    <w:p>
      <w:pPr>
        <w:pStyle w:val="BodyText"/>
        <w:spacing w:line="240" w:lineRule="auto" w:before="103"/>
        <w:ind w:left="513" w:right="187"/>
        <w:jc w:val="left"/>
      </w:pPr>
      <w:r>
        <w:rPr/>
        <w:t>（</w:t>
      </w:r>
      <w:r>
        <w:rPr>
          <w:rFonts w:ascii="Times New Roman" w:hAnsi="Times New Roman" w:cs="Times New Roman" w:eastAsia="Times New Roman" w:hint="default"/>
        </w:rPr>
        <w:t>1</w:t>
      </w:r>
      <w:r>
        <w:rPr/>
        <w:t>）继续推动核心技术的研发和技术创新</w:t>
      </w:r>
    </w:p>
    <w:p>
      <w:pPr>
        <w:pStyle w:val="BodyText"/>
        <w:spacing w:line="307" w:lineRule="auto" w:before="103"/>
        <w:ind w:right="191" w:firstLine="360"/>
        <w:jc w:val="both"/>
      </w:pPr>
      <w:r>
        <w:rPr/>
        <w:t>公司将完成</w:t>
      </w:r>
      <w:r>
        <w:rPr>
          <w:rFonts w:ascii="Times New Roman" w:hAnsi="Times New Roman" w:cs="Times New Roman" w:eastAsia="Times New Roman" w:hint="default"/>
        </w:rPr>
        <w:t>Xburst 2 CPU</w:t>
      </w:r>
      <w:r>
        <w:rPr/>
        <w:t>核的研发，并根据市场需要，适时展开</w:t>
      </w:r>
      <w:r>
        <w:rPr>
          <w:rFonts w:ascii="Times New Roman" w:hAnsi="Times New Roman" w:cs="Times New Roman" w:eastAsia="Times New Roman" w:hint="default"/>
        </w:rPr>
        <w:t>Xburst 2</w:t>
      </w:r>
      <w:r>
        <w:rPr>
          <w:rFonts w:ascii="Times New Roman" w:hAnsi="Times New Roman" w:cs="Times New Roman" w:eastAsia="Times New Roman" w:hint="default"/>
          <w:spacing w:val="-9"/>
        </w:rPr>
        <w:t> </w:t>
      </w:r>
      <w:r>
        <w:rPr>
          <w:rFonts w:ascii="Times New Roman" w:hAnsi="Times New Roman" w:cs="Times New Roman" w:eastAsia="Times New Roman" w:hint="default"/>
        </w:rPr>
        <w:t>CPU</w:t>
      </w:r>
      <w:r>
        <w:rPr/>
        <w:t>核的产品化。同时，公司将紧跟前沿技术 </w:t>
      </w:r>
      <w:r>
        <w:rPr>
          <w:spacing w:val="-1"/>
        </w:rPr>
        <w:t>的发展，继续推进</w:t>
      </w:r>
      <w:r>
        <w:rPr>
          <w:rFonts w:ascii="Times New Roman" w:hAnsi="Times New Roman" w:cs="Times New Roman" w:eastAsia="Times New Roman" w:hint="default"/>
          <w:spacing w:val="-1"/>
        </w:rPr>
        <w:t>VPU</w:t>
      </w:r>
      <w:r>
        <w:rPr>
          <w:spacing w:val="-1"/>
        </w:rPr>
        <w:t>等自主核心</w:t>
      </w:r>
      <w:r>
        <w:rPr>
          <w:rFonts w:ascii="Times New Roman" w:hAnsi="Times New Roman" w:cs="Times New Roman" w:eastAsia="Times New Roman" w:hint="default"/>
          <w:spacing w:val="-1"/>
        </w:rPr>
        <w:t>IP</w:t>
      </w:r>
      <w:r>
        <w:rPr>
          <w:spacing w:val="-1"/>
        </w:rPr>
        <w:t>技术的研发，不断提高</w:t>
      </w:r>
      <w:r>
        <w:rPr>
          <w:rFonts w:ascii="Times New Roman" w:hAnsi="Times New Roman" w:cs="Times New Roman" w:eastAsia="Times New Roman" w:hint="default"/>
          <w:spacing w:val="-1"/>
        </w:rPr>
        <w:t>SOC</w:t>
      </w:r>
      <w:r>
        <w:rPr>
          <w:spacing w:val="-1"/>
        </w:rPr>
        <w:t>设计能力，根据市场需求变化进行相关</w:t>
      </w:r>
      <w:r>
        <w:rPr>
          <w:rFonts w:ascii="Times New Roman" w:hAnsi="Times New Roman" w:cs="Times New Roman" w:eastAsia="Times New Roman" w:hint="default"/>
          <w:spacing w:val="-1"/>
        </w:rPr>
        <w:t>IP</w:t>
      </w:r>
      <w:r>
        <w:rPr>
          <w:spacing w:val="-1"/>
        </w:rPr>
        <w:t>技术、新模块的研</w:t>
      </w:r>
      <w:r>
        <w:rPr>
          <w:spacing w:val="-74"/>
        </w:rPr>
        <w:t> </w:t>
      </w:r>
      <w:r>
        <w:rPr>
          <w:spacing w:val="-74"/>
        </w:rPr>
      </w:r>
      <w:r>
        <w:rPr>
          <w:spacing w:val="-2"/>
        </w:rPr>
        <w:t>发和优化，不断推动技术创新，加强公司低功耗技术的领先性。公司也将继续加强知识产权方面的工作，加强专利申请方面</w:t>
      </w:r>
      <w:r>
        <w:rPr>
          <w:spacing w:val="-65"/>
        </w:rPr>
        <w:t> </w:t>
      </w:r>
      <w:r>
        <w:rPr>
          <w:spacing w:val="-65"/>
        </w:rPr>
      </w:r>
      <w:r>
        <w:rPr/>
        <w:t>的工作，提高公司的知识产权储备。</w:t>
      </w:r>
    </w:p>
    <w:p>
      <w:pPr>
        <w:pStyle w:val="BodyText"/>
        <w:spacing w:line="340" w:lineRule="auto" w:before="64"/>
        <w:ind w:left="513" w:right="0"/>
        <w:jc w:val="left"/>
      </w:pPr>
      <w:r>
        <w:rPr/>
        <w:t>（</w:t>
      </w:r>
      <w:r>
        <w:rPr>
          <w:rFonts w:ascii="Times New Roman" w:hAnsi="Times New Roman" w:cs="Times New Roman" w:eastAsia="Times New Roman" w:hint="default"/>
        </w:rPr>
        <w:t>2</w:t>
      </w:r>
      <w:r>
        <w:rPr/>
        <w:t>）根据市场需求情况展开新产品的研发工作 </w:t>
      </w:r>
      <w:r>
        <w:rPr>
          <w:spacing w:val="-4"/>
        </w:rPr>
        <w:t>公司将针对智能穿戴设备、物联网、智能家居、智能视频等目前热点市场的产品需求情况，展开芯片产品的规划和开发，</w:t>
      </w:r>
    </w:p>
    <w:p>
      <w:pPr>
        <w:pStyle w:val="BodyText"/>
        <w:spacing w:line="300" w:lineRule="auto" w:before="1"/>
        <w:ind w:right="263"/>
        <w:jc w:val="left"/>
      </w:pPr>
      <w:r>
        <w:rPr/>
        <w:t>并根据市场的变化及时调整产品规划的方向。同时，公司将继续优化和完善公司针对大市场的</w:t>
      </w:r>
      <w:r>
        <w:rPr>
          <w:rFonts w:ascii="Times New Roman" w:hAnsi="Times New Roman" w:cs="Times New Roman" w:eastAsia="Times New Roman" w:hint="default"/>
        </w:rPr>
        <w:t>turnkey</w:t>
      </w:r>
      <w:r>
        <w:rPr/>
        <w:t>方案，针对市场容量 较大的新产品和新的应用领域，公司也将及时展开相应的方案研发。</w:t>
      </w:r>
    </w:p>
    <w:p>
      <w:pPr>
        <w:pStyle w:val="BodyText"/>
        <w:spacing w:line="240" w:lineRule="auto" w:before="73"/>
        <w:ind w:left="513" w:right="187"/>
        <w:jc w:val="left"/>
      </w:pPr>
      <w:r>
        <w:rPr/>
        <w:t>（</w:t>
      </w:r>
      <w:r>
        <w:rPr>
          <w:rFonts w:ascii="Times New Roman" w:hAnsi="Times New Roman" w:cs="Times New Roman" w:eastAsia="Times New Roman" w:hint="default"/>
        </w:rPr>
        <w:t>3</w:t>
      </w:r>
      <w:r>
        <w:rPr/>
        <w:t>）加强营销体系建设，保障重点市场的开拓和品牌建立</w:t>
      </w:r>
    </w:p>
    <w:p>
      <w:pPr>
        <w:pStyle w:val="BodyText"/>
        <w:spacing w:line="309" w:lineRule="auto" w:before="101"/>
        <w:ind w:right="192" w:firstLine="360"/>
        <w:jc w:val="both"/>
      </w:pPr>
      <w:r>
        <w:rPr>
          <w:rFonts w:ascii="Times New Roman" w:hAnsi="Times New Roman" w:cs="Times New Roman" w:eastAsia="Times New Roman" w:hint="default"/>
          <w:spacing w:val="-2"/>
        </w:rPr>
        <w:t>2016</w:t>
      </w:r>
      <w:r>
        <w:rPr>
          <w:spacing w:val="-2"/>
        </w:rPr>
        <w:t>年是智能穿戴设备市场发展较为关键的一年，也是物联网、智能家居、智能视频等新市场进入实质性发展阶段的一</w:t>
      </w:r>
      <w:r>
        <w:rPr/>
        <w:t> </w:t>
      </w:r>
      <w:r>
        <w:rPr>
          <w:spacing w:val="-2"/>
        </w:rPr>
        <w:t>年，公司将加强市场营销的力度，加强营销队伍建设，根据市场发展需要，调动更多的技术力量和市场力量，更好地对市场</w:t>
      </w:r>
      <w:r>
        <w:rPr>
          <w:spacing w:val="-67"/>
        </w:rPr>
        <w:t> </w:t>
      </w:r>
      <w:r>
        <w:rPr>
          <w:spacing w:val="-67"/>
        </w:rPr>
      </w:r>
      <w:r>
        <w:rPr/>
        <w:t>进行布局和推广。同时，公司仍将密切关注其他市场，努力寻求新的应用领域，推动公司产品在各个领域的应用。</w:t>
      </w:r>
    </w:p>
    <w:p>
      <w:pPr>
        <w:pStyle w:val="BodyText"/>
        <w:spacing w:line="340" w:lineRule="auto" w:before="65"/>
        <w:ind w:left="513" w:right="187"/>
        <w:jc w:val="left"/>
      </w:pPr>
      <w:r>
        <w:rPr/>
        <w:t>（</w:t>
      </w:r>
      <w:r>
        <w:rPr>
          <w:rFonts w:ascii="Times New Roman" w:hAnsi="Times New Roman" w:cs="Times New Roman" w:eastAsia="Times New Roman" w:hint="default"/>
        </w:rPr>
        <w:t>4</w:t>
      </w:r>
      <w:r>
        <w:rPr/>
        <w:t>）加强公司管理水平和人才队伍建设 </w:t>
      </w:r>
      <w:r>
        <w:rPr>
          <w:spacing w:val="-2"/>
        </w:rPr>
        <w:t>随着公司业务的发展和子公司数量的增加，公司的管理水平需要不断提高。公司将加强管理人员的学习和培训，不断完</w:t>
      </w:r>
    </w:p>
    <w:p>
      <w:pPr>
        <w:pStyle w:val="BodyText"/>
        <w:spacing w:line="240" w:lineRule="auto"/>
        <w:ind w:right="0"/>
        <w:jc w:val="left"/>
      </w:pPr>
      <w:r>
        <w:rPr/>
        <w:t>善管理制度，加强对控股公司的监督和管理，提高公司的总体管理水平，同时，也将进一步加强各子公司的人才队伍建设，</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以顺利展开业务经营活动。</w:t>
      </w:r>
    </w:p>
    <w:p>
      <w:pPr>
        <w:pStyle w:val="BodyText"/>
        <w:spacing w:line="338" w:lineRule="auto" w:before="117"/>
        <w:ind w:left="513" w:right="0"/>
        <w:jc w:val="left"/>
      </w:pPr>
      <w:r>
        <w:rPr/>
        <w:t>（</w:t>
      </w:r>
      <w:r>
        <w:rPr>
          <w:rFonts w:ascii="Times New Roman" w:hAnsi="Times New Roman" w:cs="Times New Roman" w:eastAsia="Times New Roman" w:hint="default"/>
        </w:rPr>
        <w:t>5</w:t>
      </w:r>
      <w:r>
        <w:rPr/>
        <w:t>）加强产业投资和并购方面的工作，推动公司的整体发展 </w:t>
      </w:r>
      <w:r>
        <w:rPr>
          <w:spacing w:val="-2"/>
        </w:rPr>
        <w:t>为更好地促进公司的总体发展，公司将在努力进行内生式发展的基础上，积极寻求产业投资机会，通过并购基金和直接</w:t>
      </w:r>
    </w:p>
    <w:p>
      <w:pPr>
        <w:pStyle w:val="BodyText"/>
        <w:spacing w:line="240" w:lineRule="auto" w:before="2"/>
        <w:ind w:right="0"/>
        <w:jc w:val="left"/>
      </w:pPr>
      <w:r>
        <w:rPr/>
        <w:t>参控股标的企业等方式，加强产业融合，推动公司的整体发展。</w:t>
      </w:r>
    </w:p>
    <w:p>
      <w:pPr>
        <w:pStyle w:val="BodyText"/>
        <w:spacing w:line="240" w:lineRule="auto" w:before="117"/>
        <w:ind w:left="513" w:right="0"/>
        <w:jc w:val="left"/>
      </w:pPr>
      <w:r>
        <w:rPr/>
        <w:t>（</w:t>
      </w:r>
      <w:r>
        <w:rPr>
          <w:rFonts w:ascii="Times New Roman" w:hAnsi="Times New Roman" w:cs="Times New Roman" w:eastAsia="Times New Roman" w:hint="default"/>
        </w:rPr>
        <w:t>6</w:t>
      </w:r>
      <w:r>
        <w:rPr/>
        <w:t>）展开合肥君正研发楼的建设工作</w:t>
      </w:r>
    </w:p>
    <w:p>
      <w:pPr>
        <w:pStyle w:val="BodyText"/>
        <w:spacing w:line="300" w:lineRule="auto" w:before="103"/>
        <w:ind w:right="0" w:firstLine="360"/>
        <w:jc w:val="left"/>
      </w:pPr>
      <w:r>
        <w:rPr>
          <w:rFonts w:ascii="Times New Roman" w:hAnsi="Times New Roman" w:cs="Times New Roman" w:eastAsia="Times New Roman" w:hint="default"/>
          <w:spacing w:val="-2"/>
        </w:rPr>
        <w:t>2015</w:t>
      </w:r>
      <w:r>
        <w:rPr>
          <w:spacing w:val="-2"/>
        </w:rPr>
        <w:t>年，合肥君正已启动了合肥君正研发楼的建筑方案设计，完成了建设项目的立项申请和环评等工作。</w:t>
      </w:r>
      <w:r>
        <w:rPr>
          <w:rFonts w:ascii="Times New Roman" w:hAnsi="Times New Roman" w:cs="Times New Roman" w:eastAsia="Times New Roman" w:hint="default"/>
          <w:spacing w:val="-2"/>
        </w:rPr>
        <w:t>2016</w:t>
      </w:r>
      <w:r>
        <w:rPr>
          <w:spacing w:val="-2"/>
        </w:rPr>
        <w:t>年，合肥</w:t>
      </w:r>
      <w:r>
        <w:rPr/>
        <w:t> 君正将完成研发楼的方案设计，完成购买土地使用权和研发楼开工建设的各项审批手续，展开研发楼的建设施工工作。</w:t>
      </w:r>
    </w:p>
    <w:p>
      <w:pPr>
        <w:pStyle w:val="BodyText"/>
        <w:spacing w:line="340" w:lineRule="auto" w:before="70"/>
        <w:ind w:left="513" w:right="5273"/>
        <w:jc w:val="left"/>
      </w:pPr>
      <w:r>
        <w:rPr>
          <w:rFonts w:ascii="Times New Roman" w:hAnsi="Times New Roman" w:cs="Times New Roman" w:eastAsia="Times New Roman" w:hint="default"/>
        </w:rPr>
        <w:t>4</w:t>
      </w:r>
      <w:r>
        <w:rPr/>
        <w:t>、可能面对的风险 参见</w:t>
      </w:r>
      <w:r>
        <w:rPr>
          <w:rFonts w:ascii="Times New Roman" w:hAnsi="Times New Roman" w:cs="Times New Roman" w:eastAsia="Times New Roman" w:hint="default"/>
        </w:rPr>
        <w:t>“</w:t>
      </w:r>
      <w:r>
        <w:rPr/>
        <w:t>重要提示、目录和释义</w:t>
      </w:r>
      <w:r>
        <w:rPr>
          <w:rFonts w:ascii="Times New Roman" w:hAnsi="Times New Roman" w:cs="Times New Roman" w:eastAsia="Times New Roman" w:hint="default"/>
        </w:rPr>
        <w:t>”</w:t>
      </w:r>
      <w:r>
        <w:rPr/>
        <w:t>中风险因素的相关内容。</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p>
      <w:pPr>
        <w:spacing w:line="4752" w:lineRule="exact"/>
        <w:ind w:left="148" w:right="0" w:firstLine="0"/>
        <w:rPr>
          <w:rFonts w:ascii="宋体" w:hAnsi="宋体" w:cs="宋体" w:eastAsia="宋体" w:hint="default"/>
          <w:sz w:val="20"/>
          <w:szCs w:val="20"/>
        </w:rPr>
      </w:pPr>
      <w:r>
        <w:rPr>
          <w:rFonts w:ascii="宋体" w:hAnsi="宋体" w:cs="宋体" w:eastAsia="宋体" w:hint="default"/>
          <w:position w:val="-94"/>
          <w:sz w:val="20"/>
          <w:szCs w:val="20"/>
        </w:rPr>
        <w:pict>
          <v:group style="width:492.6pt;height:237.65pt;mso-position-horizontal-relative:char;mso-position-vertical-relative:line" coordorigin="0,0" coordsize="9852,4753">
            <v:group style="position:absolute;left:12;top:14;width:1712;height:156" coordorigin="12,14" coordsize="1712,156">
              <v:shape style="position:absolute;left:12;top:14;width:1712;height:156" coordorigin="12,14" coordsize="1712,156" path="m12,170l1723,170,1723,14,12,14,12,170xe" filled="true" fillcolor="#d2d2d2" stroked="false">
                <v:path arrowok="t"/>
                <v:fill type="solid"/>
              </v:shape>
            </v:group>
            <v:group style="position:absolute;left:23;top:170;width:2;height:392" coordorigin="23,170" coordsize="2,392">
              <v:shape style="position:absolute;left:23;top:170;width:2;height:392" coordorigin="23,170" coordsize="0,392" path="m23,170l23,562e" filled="false" stroked="true" strokeweight="1.08pt" strokecolor="#d2d2d2">
                <v:path arrowok="t"/>
              </v:shape>
            </v:group>
            <v:group style="position:absolute;left:1711;top:170;width:2;height:392" coordorigin="1711,170" coordsize="2,392">
              <v:shape style="position:absolute;left:1711;top:170;width:2;height:392" coordorigin="1711,170" coordsize="0,392" path="m1711,170l1711,562e" filled="false" stroked="true" strokeweight="1.2pt" strokecolor="#d2d2d2">
                <v:path arrowok="t"/>
              </v:shape>
            </v:group>
            <v:group style="position:absolute;left:12;top:562;width:1712;height:156" coordorigin="12,562" coordsize="1712,156">
              <v:shape style="position:absolute;left:12;top:562;width:1712;height:156" coordorigin="12,562" coordsize="1712,156" path="m12,718l1723,718,1723,562,12,562,12,718xe" filled="true" fillcolor="#d2d2d2" stroked="false">
                <v:path arrowok="t"/>
                <v:fill type="solid"/>
              </v:shape>
            </v:group>
            <v:group style="position:absolute;left:34;top:170;width:1666;height:392" coordorigin="34,170" coordsize="1666,392">
              <v:shape style="position:absolute;left:34;top:170;width:1666;height:392" coordorigin="34,170" coordsize="1666,392" path="m34,562l1699,562,1699,170,34,170,34,562xe" filled="true" fillcolor="#d2d2d2" stroked="false">
                <v:path arrowok="t"/>
                <v:fill type="solid"/>
              </v:shape>
            </v:group>
            <v:group style="position:absolute;left:1733;top:14;width:963;height:156" coordorigin="1733,14" coordsize="963,156">
              <v:shape style="position:absolute;left:1733;top:14;width:963;height:156" coordorigin="1733,14" coordsize="963,156" path="m1733,170l2696,170,2696,14,1733,14,1733,170xe" filled="true" fillcolor="#d2d2d2" stroked="false">
                <v:path arrowok="t"/>
                <v:fill type="solid"/>
              </v:shape>
            </v:group>
            <v:group style="position:absolute;left:1744;top:170;width:2;height:392" coordorigin="1744,170" coordsize="2,392">
              <v:shape style="position:absolute;left:1744;top:170;width:2;height:392" coordorigin="1744,170" coordsize="0,392" path="m1744,170l1744,562e" filled="false" stroked="true" strokeweight="1.08pt" strokecolor="#d2d2d2">
                <v:path arrowok="t"/>
              </v:shape>
            </v:group>
            <v:group style="position:absolute;left:2684;top:170;width:2;height:392" coordorigin="2684,170" coordsize="2,392">
              <v:shape style="position:absolute;left:2684;top:170;width:2;height:392" coordorigin="2684,170" coordsize="0,392" path="m2684,170l2684,562e" filled="false" stroked="true" strokeweight="1.2pt" strokecolor="#d2d2d2">
                <v:path arrowok="t"/>
              </v:shape>
            </v:group>
            <v:group style="position:absolute;left:1733;top:562;width:963;height:156" coordorigin="1733,562" coordsize="963,156">
              <v:shape style="position:absolute;left:1733;top:562;width:963;height:156" coordorigin="1733,562" coordsize="963,156" path="m1733,718l2696,718,2696,562,1733,562,1733,718xe" filled="true" fillcolor="#d2d2d2" stroked="false">
                <v:path arrowok="t"/>
                <v:fill type="solid"/>
              </v:shape>
            </v:group>
            <v:group style="position:absolute;left:1754;top:170;width:918;height:392" coordorigin="1754,170" coordsize="918,392">
              <v:shape style="position:absolute;left:1754;top:170;width:918;height:392" coordorigin="1754,170" coordsize="918,392" path="m1754,562l2672,562,2672,170,1754,170,1754,562xe" filled="true" fillcolor="#d2d2d2" stroked="false">
                <v:path arrowok="t"/>
                <v:fill type="solid"/>
              </v:shape>
            </v:group>
            <v:group style="position:absolute;left:2717;top:14;width:2;height:704" coordorigin="2717,14" coordsize="2,704">
              <v:shape style="position:absolute;left:2717;top:14;width:2;height:704" coordorigin="2717,14" coordsize="0,704" path="m2717,14l2717,718e" filled="false" stroked="true" strokeweight="1.2pt" strokecolor="#d2d2d2">
                <v:path arrowok="t"/>
              </v:shape>
            </v:group>
            <v:group style="position:absolute;left:3533;top:14;width:2;height:704" coordorigin="3533,14" coordsize="2,704">
              <v:shape style="position:absolute;left:3533;top:14;width:2;height:704" coordorigin="3533,14" coordsize="0,704" path="m3533,14l3533,718e" filled="false" stroked="true" strokeweight="1.2pt" strokecolor="#d2d2d2">
                <v:path arrowok="t"/>
              </v:shape>
            </v:group>
            <v:group style="position:absolute;left:2729;top:14;width:792;height:353" coordorigin="2729,14" coordsize="792,353">
              <v:shape style="position:absolute;left:2729;top:14;width:792;height:353" coordorigin="2729,14" coordsize="792,353" path="m2729,367l3521,367,3521,14,2729,14,2729,367xe" filled="true" fillcolor="#d2d2d2" stroked="false">
                <v:path arrowok="t"/>
                <v:fill type="solid"/>
              </v:shape>
            </v:group>
            <v:group style="position:absolute;left:2729;top:367;width:792;height:351" coordorigin="2729,367" coordsize="792,351">
              <v:shape style="position:absolute;left:2729;top:367;width:792;height:351" coordorigin="2729,367" coordsize="792,351" path="m2729,718l3521,718,3521,367,2729,367,2729,718xe" filled="true" fillcolor="#d2d2d2" stroked="false">
                <v:path arrowok="t"/>
                <v:fill type="solid"/>
              </v:shape>
            </v:group>
            <v:group style="position:absolute;left:3555;top:14;width:6230;height:156" coordorigin="3555,14" coordsize="6230,156">
              <v:shape style="position:absolute;left:3555;top:14;width:6230;height:156" coordorigin="3555,14" coordsize="6230,156" path="m3555,170l9784,170,9784,14,3555,14,3555,170xe" filled="true" fillcolor="#d2d2d2" stroked="false">
                <v:path arrowok="t"/>
                <v:fill type="solid"/>
              </v:shape>
            </v:group>
            <v:group style="position:absolute;left:3567;top:170;width:2;height:392" coordorigin="3567,170" coordsize="2,392">
              <v:shape style="position:absolute;left:3567;top:170;width:2;height:392" coordorigin="3567,170" coordsize="0,392" path="m3567,170l3567,562e" filled="false" stroked="true" strokeweight="1.2pt" strokecolor="#d2d2d2">
                <v:path arrowok="t"/>
              </v:shape>
            </v:group>
            <v:group style="position:absolute;left:9772;top:170;width:2;height:392" coordorigin="9772,170" coordsize="2,392">
              <v:shape style="position:absolute;left:9772;top:170;width:2;height:392" coordorigin="9772,170" coordsize="0,392" path="m9772,170l9772,562e" filled="false" stroked="true" strokeweight="1.2pt" strokecolor="#d2d2d2">
                <v:path arrowok="t"/>
              </v:shape>
            </v:group>
            <v:group style="position:absolute;left:3555;top:562;width:6230;height:156" coordorigin="3555,562" coordsize="6230,156">
              <v:shape style="position:absolute;left:3555;top:562;width:6230;height:156" coordorigin="3555,562" coordsize="6230,156" path="m3555,718l9784,718,9784,562,3555,562,3555,718xe" filled="true" fillcolor="#d2d2d2" stroked="false">
                <v:path arrowok="t"/>
                <v:fill type="solid"/>
              </v:shape>
            </v:group>
            <v:group style="position:absolute;left:3579;top:170;width:6182;height:392" coordorigin="3579,170" coordsize="6182,392">
              <v:shape style="position:absolute;left:3579;top:170;width:6182;height:392" coordorigin="3579,170" coordsize="6182,392" path="m3579,562l9760,562,9760,170,3579,170,3579,562xe" filled="true" fillcolor="#d2d2d2" stroked="false">
                <v:path arrowok="t"/>
                <v:fill type="solid"/>
              </v:shape>
            </v:group>
            <v:group style="position:absolute;left:10;top:10;width:1712;height:2" coordorigin="10,10" coordsize="1712,2">
              <v:shape style="position:absolute;left:10;top:10;width:1712;height:2" coordorigin="10,10" coordsize="1712,0" path="m10,10l1721,10e" filled="false" stroked="true" strokeweight=".48001pt" strokecolor="#000000">
                <v:path arrowok="t"/>
              </v:shape>
            </v:group>
            <v:group style="position:absolute;left:1730;top:10;width:966;height:2" coordorigin="1730,10" coordsize="966,2">
              <v:shape style="position:absolute;left:1730;top:10;width:966;height:2" coordorigin="1730,10" coordsize="966,0" path="m1730,10l2696,10e" filled="false" stroked="true" strokeweight=".48001pt" strokecolor="#000000">
                <v:path arrowok="t"/>
              </v:shape>
            </v:group>
            <v:group style="position:absolute;left:2705;top:10;width:840;height:2" coordorigin="2705,10" coordsize="840,2">
              <v:shape style="position:absolute;left:2705;top:10;width:840;height:2" coordorigin="2705,10" coordsize="840,0" path="m2705,10l3545,10e" filled="false" stroked="true" strokeweight=".48001pt" strokecolor="#000000">
                <v:path arrowok="t"/>
              </v:shape>
            </v:group>
            <v:group style="position:absolute;left:3555;top:10;width:6227;height:2" coordorigin="3555,10" coordsize="6227,2">
              <v:shape style="position:absolute;left:3555;top:10;width:6227;height:2" coordorigin="3555,10" coordsize="6227,0" path="m3555,10l9782,10e" filled="false" stroked="true" strokeweight=".48001pt" strokecolor="#000000">
                <v:path arrowok="t"/>
              </v:shape>
            </v:group>
            <v:group style="position:absolute;left:10;top:722;width:1712;height:2" coordorigin="10,722" coordsize="1712,2">
              <v:shape style="position:absolute;left:10;top:722;width:1712;height:2" coordorigin="10,722" coordsize="1712,0" path="m10,722l1721,722e" filled="false" stroked="true" strokeweight=".48001pt" strokecolor="#000000">
                <v:path arrowok="t"/>
              </v:shape>
            </v:group>
            <v:group style="position:absolute;left:1730;top:722;width:966;height:2" coordorigin="1730,722" coordsize="966,2">
              <v:shape style="position:absolute;left:1730;top:722;width:966;height:2" coordorigin="1730,722" coordsize="966,0" path="m1730,722l2696,722e" filled="false" stroked="true" strokeweight=".48001pt" strokecolor="#000000">
                <v:path arrowok="t"/>
              </v:shape>
            </v:group>
            <v:group style="position:absolute;left:2705;top:722;width:840;height:2" coordorigin="2705,722" coordsize="840,2">
              <v:shape style="position:absolute;left:2705;top:722;width:840;height:2" coordorigin="2705,722" coordsize="840,0" path="m2705,722l3545,722e" filled="false" stroked="true" strokeweight=".48001pt" strokecolor="#000000">
                <v:path arrowok="t"/>
              </v:shape>
            </v:group>
            <v:group style="position:absolute;left:3555;top:722;width:6227;height:2" coordorigin="3555,722" coordsize="6227,2">
              <v:shape style="position:absolute;left:3555;top:722;width:6227;height:2" coordorigin="3555,722" coordsize="6227,0" path="m3555,722l9782,722e" filled="false" stroked="true" strokeweight=".48001pt" strokecolor="#000000">
                <v:path arrowok="t"/>
              </v:shape>
            </v:group>
            <v:group style="position:absolute;left:10;top:1126;width:1712;height:2" coordorigin="10,1126" coordsize="1712,2">
              <v:shape style="position:absolute;left:10;top:1126;width:1712;height:2" coordorigin="10,1126" coordsize="1712,0" path="m10,1126l1721,1126e" filled="false" stroked="true" strokeweight=".47998pt" strokecolor="#000000">
                <v:path arrowok="t"/>
              </v:shape>
            </v:group>
            <v:group style="position:absolute;left:1730;top:1126;width:966;height:2" coordorigin="1730,1126" coordsize="966,2">
              <v:shape style="position:absolute;left:1730;top:1126;width:966;height:2" coordorigin="1730,1126" coordsize="966,0" path="m1730,1126l2696,1126e" filled="false" stroked="true" strokeweight=".47998pt" strokecolor="#000000">
                <v:path arrowok="t"/>
              </v:shape>
            </v:group>
            <v:group style="position:absolute;left:2705;top:1126;width:840;height:2" coordorigin="2705,1126" coordsize="840,2">
              <v:shape style="position:absolute;left:2705;top:1126;width:840;height:2" coordorigin="2705,1126" coordsize="840,0" path="m2705,1126l3545,1126e" filled="false" stroked="true" strokeweight=".47998pt" strokecolor="#000000">
                <v:path arrowok="t"/>
              </v:shape>
            </v:group>
            <v:group style="position:absolute;left:3555;top:1126;width:6227;height:2" coordorigin="3555,1126" coordsize="6227,2">
              <v:shape style="position:absolute;left:3555;top:1126;width:6227;height:2" coordorigin="3555,1126" coordsize="6227,0" path="m3555,1126l9782,1126e" filled="false" stroked="true" strokeweight=".47998pt" strokecolor="#000000">
                <v:path arrowok="t"/>
              </v:shape>
            </v:group>
            <v:group style="position:absolute;left:10;top:1526;width:1712;height:2" coordorigin="10,1526" coordsize="1712,2">
              <v:shape style="position:absolute;left:10;top:1526;width:1712;height:2" coordorigin="10,1526" coordsize="1712,0" path="m10,1526l1721,1526e" filled="false" stroked="true" strokeweight=".47998pt" strokecolor="#000000">
                <v:path arrowok="t"/>
              </v:shape>
            </v:group>
            <v:group style="position:absolute;left:1730;top:1526;width:966;height:2" coordorigin="1730,1526" coordsize="966,2">
              <v:shape style="position:absolute;left:1730;top:1526;width:966;height:2" coordorigin="1730,1526" coordsize="966,0" path="m1730,1526l2696,1526e" filled="false" stroked="true" strokeweight=".47998pt" strokecolor="#000000">
                <v:path arrowok="t"/>
              </v:shape>
            </v:group>
            <v:group style="position:absolute;left:2705;top:1526;width:840;height:2" coordorigin="2705,1526" coordsize="840,2">
              <v:shape style="position:absolute;left:2705;top:1526;width:840;height:2" coordorigin="2705,1526" coordsize="840,0" path="m2705,1526l3545,1526e" filled="false" stroked="true" strokeweight=".47998pt" strokecolor="#000000">
                <v:path arrowok="t"/>
              </v:shape>
            </v:group>
            <v:group style="position:absolute;left:3555;top:1526;width:6227;height:2" coordorigin="3555,1526" coordsize="6227,2">
              <v:shape style="position:absolute;left:3555;top:1526;width:6227;height:2" coordorigin="3555,1526" coordsize="6227,0" path="m3555,1526l9782,1526e" filled="false" stroked="true" strokeweight=".47998pt" strokecolor="#000000">
                <v:path arrowok="t"/>
              </v:shape>
            </v:group>
            <v:group style="position:absolute;left:10;top:1930;width:1712;height:2" coordorigin="10,1930" coordsize="1712,2">
              <v:shape style="position:absolute;left:10;top:1930;width:1712;height:2" coordorigin="10,1930" coordsize="1712,0" path="m10,1930l1721,1930e" filled="false" stroked="true" strokeweight=".48001pt" strokecolor="#000000">
                <v:path arrowok="t"/>
              </v:shape>
            </v:group>
            <v:group style="position:absolute;left:1730;top:1930;width:966;height:2" coordorigin="1730,1930" coordsize="966,2">
              <v:shape style="position:absolute;left:1730;top:1930;width:966;height:2" coordorigin="1730,1930" coordsize="966,0" path="m1730,1930l2696,1930e" filled="false" stroked="true" strokeweight=".48001pt" strokecolor="#000000">
                <v:path arrowok="t"/>
              </v:shape>
            </v:group>
            <v:group style="position:absolute;left:2705;top:1930;width:840;height:2" coordorigin="2705,1930" coordsize="840,2">
              <v:shape style="position:absolute;left:2705;top:1930;width:840;height:2" coordorigin="2705,1930" coordsize="840,0" path="m2705,1930l3545,1930e" filled="false" stroked="true" strokeweight=".48001pt" strokecolor="#000000">
                <v:path arrowok="t"/>
              </v:shape>
            </v:group>
            <v:group style="position:absolute;left:3555;top:1930;width:6227;height:2" coordorigin="3555,1930" coordsize="6227,2">
              <v:shape style="position:absolute;left:3555;top:1930;width:6227;height:2" coordorigin="3555,1930" coordsize="6227,0" path="m3555,1930l9782,1930e" filled="false" stroked="true" strokeweight=".48001pt" strokecolor="#000000">
                <v:path arrowok="t"/>
              </v:shape>
            </v:group>
            <v:group style="position:absolute;left:10;top:2330;width:1712;height:2" coordorigin="10,2330" coordsize="1712,2">
              <v:shape style="position:absolute;left:10;top:2330;width:1712;height:2" coordorigin="10,2330" coordsize="1712,0" path="m10,2330l1721,2330e" filled="false" stroked="true" strokeweight=".48001pt" strokecolor="#000000">
                <v:path arrowok="t"/>
              </v:shape>
            </v:group>
            <v:group style="position:absolute;left:1730;top:2330;width:966;height:2" coordorigin="1730,2330" coordsize="966,2">
              <v:shape style="position:absolute;left:1730;top:2330;width:966;height:2" coordorigin="1730,2330" coordsize="966,0" path="m1730,2330l2696,2330e" filled="false" stroked="true" strokeweight=".48001pt" strokecolor="#000000">
                <v:path arrowok="t"/>
              </v:shape>
            </v:group>
            <v:group style="position:absolute;left:2705;top:2330;width:840;height:2" coordorigin="2705,2330" coordsize="840,2">
              <v:shape style="position:absolute;left:2705;top:2330;width:840;height:2" coordorigin="2705,2330" coordsize="840,0" path="m2705,2330l3545,2330e" filled="false" stroked="true" strokeweight=".48001pt" strokecolor="#000000">
                <v:path arrowok="t"/>
              </v:shape>
            </v:group>
            <v:group style="position:absolute;left:3555;top:2330;width:6227;height:2" coordorigin="3555,2330" coordsize="6227,2">
              <v:shape style="position:absolute;left:3555;top:2330;width:6227;height:2" coordorigin="3555,2330" coordsize="6227,0" path="m3555,2330l9782,2330e" filled="false" stroked="true" strokeweight=".48001pt" strokecolor="#000000">
                <v:path arrowok="t"/>
              </v:shape>
            </v:group>
            <v:group style="position:absolute;left:10;top:2734;width:1712;height:2" coordorigin="10,2734" coordsize="1712,2">
              <v:shape style="position:absolute;left:10;top:2734;width:1712;height:2" coordorigin="10,2734" coordsize="1712,0" path="m10,2734l1721,2734e" filled="false" stroked="true" strokeweight=".48001pt" strokecolor="#000000">
                <v:path arrowok="t"/>
              </v:shape>
            </v:group>
            <v:group style="position:absolute;left:1730;top:2734;width:966;height:2" coordorigin="1730,2734" coordsize="966,2">
              <v:shape style="position:absolute;left:1730;top:2734;width:966;height:2" coordorigin="1730,2734" coordsize="966,0" path="m1730,2734l2696,2734e" filled="false" stroked="true" strokeweight=".48001pt" strokecolor="#000000">
                <v:path arrowok="t"/>
              </v:shape>
            </v:group>
            <v:group style="position:absolute;left:2705;top:2734;width:840;height:2" coordorigin="2705,2734" coordsize="840,2">
              <v:shape style="position:absolute;left:2705;top:2734;width:840;height:2" coordorigin="2705,2734" coordsize="840,0" path="m2705,2734l3545,2734e" filled="false" stroked="true" strokeweight=".48001pt" strokecolor="#000000">
                <v:path arrowok="t"/>
              </v:shape>
            </v:group>
            <v:group style="position:absolute;left:3555;top:2734;width:6227;height:2" coordorigin="3555,2734" coordsize="6227,2">
              <v:shape style="position:absolute;left:3555;top:2734;width:6227;height:2" coordorigin="3555,2734" coordsize="6227,0" path="m3555,2734l9782,2734e" filled="false" stroked="true" strokeweight=".48001pt" strokecolor="#000000">
                <v:path arrowok="t"/>
              </v:shape>
            </v:group>
            <v:group style="position:absolute;left:10;top:3135;width:1712;height:2" coordorigin="10,3135" coordsize="1712,2">
              <v:shape style="position:absolute;left:10;top:3135;width:1712;height:2" coordorigin="10,3135" coordsize="1712,0" path="m10,3135l1721,3135e" filled="false" stroked="true" strokeweight=".48001pt" strokecolor="#000000">
                <v:path arrowok="t"/>
              </v:shape>
            </v:group>
            <v:group style="position:absolute;left:1730;top:3135;width:966;height:2" coordorigin="1730,3135" coordsize="966,2">
              <v:shape style="position:absolute;left:1730;top:3135;width:966;height:2" coordorigin="1730,3135" coordsize="966,0" path="m1730,3135l2696,3135e" filled="false" stroked="true" strokeweight=".48001pt" strokecolor="#000000">
                <v:path arrowok="t"/>
              </v:shape>
            </v:group>
            <v:group style="position:absolute;left:2705;top:3135;width:840;height:2" coordorigin="2705,3135" coordsize="840,2">
              <v:shape style="position:absolute;left:2705;top:3135;width:840;height:2" coordorigin="2705,3135" coordsize="840,0" path="m2705,3135l3545,3135e" filled="false" stroked="true" strokeweight=".48001pt" strokecolor="#000000">
                <v:path arrowok="t"/>
              </v:shape>
            </v:group>
            <v:group style="position:absolute;left:3555;top:3135;width:6227;height:2" coordorigin="3555,3135" coordsize="6227,2">
              <v:shape style="position:absolute;left:3555;top:3135;width:6227;height:2" coordorigin="3555,3135" coordsize="6227,0" path="m3555,3135l9782,3135e" filled="false" stroked="true" strokeweight=".48001pt" strokecolor="#000000">
                <v:path arrowok="t"/>
              </v:shape>
            </v:group>
            <v:group style="position:absolute;left:10;top:3538;width:1712;height:2" coordorigin="10,3538" coordsize="1712,2">
              <v:shape style="position:absolute;left:10;top:3538;width:1712;height:2" coordorigin="10,3538" coordsize="1712,0" path="m10,3538l1721,3538e" filled="false" stroked="true" strokeweight=".48001pt" strokecolor="#000000">
                <v:path arrowok="t"/>
              </v:shape>
            </v:group>
            <v:group style="position:absolute;left:1730;top:3538;width:966;height:2" coordorigin="1730,3538" coordsize="966,2">
              <v:shape style="position:absolute;left:1730;top:3538;width:966;height:2" coordorigin="1730,3538" coordsize="966,0" path="m1730,3538l2696,3538e" filled="false" stroked="true" strokeweight=".48001pt" strokecolor="#000000">
                <v:path arrowok="t"/>
              </v:shape>
            </v:group>
            <v:group style="position:absolute;left:2705;top:3538;width:840;height:2" coordorigin="2705,3538" coordsize="840,2">
              <v:shape style="position:absolute;left:2705;top:3538;width:840;height:2" coordorigin="2705,3538" coordsize="840,0" path="m2705,3538l3545,3538e" filled="false" stroked="true" strokeweight=".48001pt" strokecolor="#000000">
                <v:path arrowok="t"/>
              </v:shape>
            </v:group>
            <v:group style="position:absolute;left:3555;top:3538;width:6227;height:2" coordorigin="3555,3538" coordsize="6227,2">
              <v:shape style="position:absolute;left:3555;top:3538;width:6227;height:2" coordorigin="3555,3538" coordsize="6227,0" path="m3555,3538l9782,3538e" filled="false" stroked="true" strokeweight=".48001pt" strokecolor="#000000">
                <v:path arrowok="t"/>
              </v:shape>
            </v:group>
            <v:group style="position:absolute;left:10;top:3939;width:1712;height:2" coordorigin="10,3939" coordsize="1712,2">
              <v:shape style="position:absolute;left:10;top:3939;width:1712;height:2" coordorigin="10,3939" coordsize="1712,0" path="m10,3939l1721,3939e" filled="false" stroked="true" strokeweight=".47998pt" strokecolor="#000000">
                <v:path arrowok="t"/>
              </v:shape>
            </v:group>
            <v:group style="position:absolute;left:1730;top:3939;width:966;height:2" coordorigin="1730,3939" coordsize="966,2">
              <v:shape style="position:absolute;left:1730;top:3939;width:966;height:2" coordorigin="1730,3939" coordsize="966,0" path="m1730,3939l2696,3939e" filled="false" stroked="true" strokeweight=".47998pt" strokecolor="#000000">
                <v:path arrowok="t"/>
              </v:shape>
            </v:group>
            <v:group style="position:absolute;left:2705;top:3939;width:840;height:2" coordorigin="2705,3939" coordsize="840,2">
              <v:shape style="position:absolute;left:2705;top:3939;width:840;height:2" coordorigin="2705,3939" coordsize="840,0" path="m2705,3939l3545,3939e" filled="false" stroked="true" strokeweight=".47998pt" strokecolor="#000000">
                <v:path arrowok="t"/>
              </v:shape>
            </v:group>
            <v:group style="position:absolute;left:3555;top:3939;width:6227;height:2" coordorigin="3555,3939" coordsize="6227,2">
              <v:shape style="position:absolute;left:3555;top:3939;width:6227;height:2" coordorigin="3555,3939" coordsize="6227,0" path="m3555,3939l9782,3939e" filled="false" stroked="true" strokeweight=".47998pt" strokecolor="#000000">
                <v:path arrowok="t"/>
              </v:shape>
            </v:group>
            <v:group style="position:absolute;left:10;top:4342;width:1712;height:2" coordorigin="10,4342" coordsize="1712,2">
              <v:shape style="position:absolute;left:10;top:4342;width:1712;height:2" coordorigin="10,4342" coordsize="1712,0" path="m10,4342l1721,4342e" filled="false" stroked="true" strokeweight=".48004pt" strokecolor="#000000">
                <v:path arrowok="t"/>
              </v:shape>
            </v:group>
            <v:group style="position:absolute;left:1730;top:4342;width:966;height:2" coordorigin="1730,4342" coordsize="966,2">
              <v:shape style="position:absolute;left:1730;top:4342;width:966;height:2" coordorigin="1730,4342" coordsize="966,0" path="m1730,4342l2696,4342e" filled="false" stroked="true" strokeweight=".48004pt" strokecolor="#000000">
                <v:path arrowok="t"/>
              </v:shape>
            </v:group>
            <v:group style="position:absolute;left:2705;top:4342;width:840;height:2" coordorigin="2705,4342" coordsize="840,2">
              <v:shape style="position:absolute;left:2705;top:4342;width:840;height:2" coordorigin="2705,4342" coordsize="840,0" path="m2705,4342l3545,4342e" filled="false" stroked="true" strokeweight=".48004pt" strokecolor="#000000">
                <v:path arrowok="t"/>
              </v:shape>
            </v:group>
            <v:group style="position:absolute;left:3555;top:4342;width:6227;height:2" coordorigin="3555,4342" coordsize="6227,2">
              <v:shape style="position:absolute;left:3555;top:4342;width:6227;height:2" coordorigin="3555,4342" coordsize="6227,0" path="m3555,4342l9782,4342e" filled="false" stroked="true" strokeweight=".48004pt" strokecolor="#000000">
                <v:path arrowok="t"/>
              </v:shape>
            </v:group>
            <v:group style="position:absolute;left:5;top:5;width:2;height:4743" coordorigin="5,5" coordsize="2,4743">
              <v:shape style="position:absolute;left:5;top:5;width:2;height:4743" coordorigin="5,5" coordsize="0,4743" path="m5,5l5,4748e" filled="false" stroked="true" strokeweight=".48pt" strokecolor="#000000">
                <v:path arrowok="t"/>
              </v:shape>
            </v:group>
            <v:group style="position:absolute;left:10;top:4743;width:1712;height:2" coordorigin="10,4743" coordsize="1712,2">
              <v:shape style="position:absolute;left:10;top:4743;width:1712;height:2" coordorigin="10,4743" coordsize="1712,0" path="m10,4743l1721,4743e" filled="false" stroked="true" strokeweight=".47998pt" strokecolor="#000000">
                <v:path arrowok="t"/>
              </v:shape>
            </v:group>
            <v:group style="position:absolute;left:1726;top:5;width:2;height:4743" coordorigin="1726,5" coordsize="2,4743">
              <v:shape style="position:absolute;left:1726;top:5;width:2;height:4743" coordorigin="1726,5" coordsize="0,4743" path="m1726,5l1726,4748e" filled="false" stroked="true" strokeweight=".48pt" strokecolor="#000000">
                <v:path arrowok="t"/>
              </v:shape>
            </v:group>
            <v:group style="position:absolute;left:1730;top:4743;width:966;height:2" coordorigin="1730,4743" coordsize="966,2">
              <v:shape style="position:absolute;left:1730;top:4743;width:966;height:2" coordorigin="1730,4743" coordsize="966,0" path="m1730,4743l2696,4743e" filled="false" stroked="true" strokeweight=".47998pt" strokecolor="#000000">
                <v:path arrowok="t"/>
              </v:shape>
            </v:group>
            <v:group style="position:absolute;left:2701;top:5;width:2;height:4743" coordorigin="2701,5" coordsize="2,4743">
              <v:shape style="position:absolute;left:2701;top:5;width:2;height:4743" coordorigin="2701,5" coordsize="0,4743" path="m2701,5l2701,4748e" filled="false" stroked="true" strokeweight=".48pt" strokecolor="#000000">
                <v:path arrowok="t"/>
              </v:shape>
            </v:group>
            <v:group style="position:absolute;left:2705;top:4743;width:840;height:2" coordorigin="2705,4743" coordsize="840,2">
              <v:shape style="position:absolute;left:2705;top:4743;width:840;height:2" coordorigin="2705,4743" coordsize="840,0" path="m2705,4743l3545,4743e" filled="false" stroked="true" strokeweight=".47998pt" strokecolor="#000000">
                <v:path arrowok="t"/>
              </v:shape>
            </v:group>
            <v:group style="position:absolute;left:3550;top:5;width:2;height:4743" coordorigin="3550,5" coordsize="2,4743">
              <v:shape style="position:absolute;left:3550;top:5;width:2;height:4743" coordorigin="3550,5" coordsize="0,4743" path="m3550,5l3550,4748e" filled="false" stroked="true" strokeweight=".48pt" strokecolor="#000000">
                <v:path arrowok="t"/>
              </v:shape>
            </v:group>
            <v:group style="position:absolute;left:3555;top:4743;width:6227;height:2" coordorigin="3555,4743" coordsize="6227,2">
              <v:shape style="position:absolute;left:3555;top:4743;width:6227;height:2" coordorigin="3555,4743" coordsize="6227,0" path="m3555,4743l9782,4743e" filled="false" stroked="true" strokeweight=".47998pt" strokecolor="#000000">
                <v:path arrowok="t"/>
              </v:shape>
            </v:group>
            <v:group style="position:absolute;left:9787;top:5;width:2;height:4743" coordorigin="9787,5" coordsize="2,4743">
              <v:shape style="position:absolute;left:9787;top:5;width:2;height:4743" coordorigin="9787,5" coordsize="0,4743" path="m9787,5l9787,4748e" filled="false" stroked="true" strokeweight=".47998pt" strokecolor="#000000">
                <v:path arrowok="t"/>
              </v:shape>
              <v:shape style="position:absolute;left:5;top:10;width:1721;height:713" type="#_x0000_t202" filled="false" stroked="false">
                <v:textbox inset="0,0,0,0">
                  <w:txbxContent>
                    <w:p>
                      <w:pPr>
                        <w:spacing w:line="240" w:lineRule="auto" w:before="0"/>
                        <w:rPr>
                          <w:rFonts w:ascii="宋体" w:hAnsi="宋体" w:cs="宋体" w:eastAsia="宋体" w:hint="default"/>
                          <w:sz w:val="16"/>
                          <w:szCs w:val="16"/>
                        </w:rPr>
                      </w:pPr>
                    </w:p>
                    <w:p>
                      <w:pPr>
                        <w:spacing w:before="0"/>
                        <w:ind w:left="501" w:right="0" w:firstLine="0"/>
                        <w:jc w:val="left"/>
                        <w:rPr>
                          <w:rFonts w:ascii="宋体" w:hAnsi="宋体" w:cs="宋体" w:eastAsia="宋体" w:hint="default"/>
                          <w:sz w:val="18"/>
                          <w:szCs w:val="18"/>
                        </w:rPr>
                      </w:pPr>
                      <w:r>
                        <w:rPr>
                          <w:rFonts w:ascii="宋体" w:hAnsi="宋体" w:cs="宋体" w:eastAsia="宋体" w:hint="default"/>
                          <w:sz w:val="18"/>
                          <w:szCs w:val="18"/>
                        </w:rPr>
                        <w:t>接待时间</w:t>
                      </w:r>
                    </w:p>
                  </w:txbxContent>
                </v:textbox>
                <w10:wrap type="none"/>
              </v:shape>
              <v:shape style="position:absolute;left:1726;top:10;width:975;height:713" type="#_x0000_t202" filled="false" stroked="false">
                <v:textbox inset="0,0,0,0">
                  <w:txbxContent>
                    <w:p>
                      <w:pPr>
                        <w:spacing w:line="240" w:lineRule="auto" w:before="0"/>
                        <w:rPr>
                          <w:rFonts w:ascii="宋体" w:hAnsi="宋体" w:cs="宋体" w:eastAsia="宋体" w:hint="default"/>
                          <w:sz w:val="16"/>
                          <w:szCs w:val="16"/>
                        </w:rPr>
                      </w:pPr>
                    </w:p>
                    <w:p>
                      <w:pPr>
                        <w:spacing w:before="0"/>
                        <w:ind w:left="127" w:right="0" w:firstLine="0"/>
                        <w:jc w:val="left"/>
                        <w:rPr>
                          <w:rFonts w:ascii="宋体" w:hAnsi="宋体" w:cs="宋体" w:eastAsia="宋体" w:hint="default"/>
                          <w:sz w:val="18"/>
                          <w:szCs w:val="18"/>
                        </w:rPr>
                      </w:pPr>
                      <w:r>
                        <w:rPr>
                          <w:rFonts w:ascii="宋体" w:hAnsi="宋体" w:cs="宋体" w:eastAsia="宋体" w:hint="default"/>
                          <w:sz w:val="18"/>
                          <w:szCs w:val="18"/>
                        </w:rPr>
                        <w:t>接待方式</w:t>
                      </w:r>
                    </w:p>
                  </w:txbxContent>
                </v:textbox>
                <w10:wrap type="none"/>
              </v:shape>
              <v:shape style="position:absolute;left:2701;top:10;width:850;height:713" type="#_x0000_t202" filled="false" stroked="false">
                <v:textbox inset="0,0,0,0">
                  <w:txbxContent>
                    <w:p>
                      <w:pPr>
                        <w:spacing w:line="316" w:lineRule="auto" w:before="53"/>
                        <w:ind w:left="244" w:right="62"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xbxContent>
                </v:textbox>
                <w10:wrap type="none"/>
              </v:shape>
              <v:shape style="position:absolute;left:3550;top:10;width:6237;height:713" type="#_x0000_t202" filled="false" stroked="false">
                <v:textbox inset="0,0,0,0">
                  <w:txbxContent>
                    <w:p>
                      <w:pPr>
                        <w:spacing w:line="240" w:lineRule="auto" w:before="0"/>
                        <w:rPr>
                          <w:rFonts w:ascii="宋体" w:hAnsi="宋体" w:cs="宋体" w:eastAsia="宋体" w:hint="default"/>
                          <w:sz w:val="16"/>
                          <w:szCs w:val="16"/>
                        </w:rPr>
                      </w:pPr>
                    </w:p>
                    <w:p>
                      <w:pPr>
                        <w:spacing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调研的基本情况索引</w:t>
                      </w:r>
                    </w:p>
                  </w:txbxContent>
                </v:textbox>
                <w10:wrap type="none"/>
              </v:shape>
              <v:shape style="position:absolute;left:5;top:722;width:1721;height:404"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xbxContent>
                </v:textbox>
                <w10:wrap type="none"/>
              </v:shape>
              <v:shape style="position:absolute;left:1726;top:722;width:975;height:404"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722;width:850;height:404"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722;width:623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1126;width:1721;height:401"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xbxContent>
                </v:textbox>
                <w10:wrap type="none"/>
              </v:shape>
              <v:shape style="position:absolute;left:1726;top:1126;width:975;height:401"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1126;width:850;height:401"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1126;width:6237;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1526;width:1721;height:404"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xbxContent>
                </v:textbox>
                <w10:wrap type="none"/>
              </v:shape>
              <v:shape style="position:absolute;left:1726;top:1526;width:975;height:404"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1526;width:850;height:404"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1526;width:623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xbxContent>
                </v:textbox>
                <w10:wrap type="none"/>
              </v:shape>
              <v:shape style="position:absolute;left:5;top:1930;width:1721;height:401"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xbxContent>
                </v:textbox>
                <w10:wrap type="none"/>
              </v:shape>
              <v:shape style="position:absolute;left:1726;top:1930;width:975;height:401"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1930;width:850;height:401"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1930;width:6237;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2330;width:1721;height:404"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xbxContent>
                </v:textbox>
                <w10:wrap type="none"/>
              </v:shape>
              <v:shape style="position:absolute;left:1726;top:2330;width:975;height:404"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2330;width:850;height:404"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2330;width:623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2734;width:1721;height:402" type="#_x0000_t202" filled="false" stroked="false">
                <v:textbox inset="0,0,0,0">
                  <w:txbxContent>
                    <w:p>
                      <w:pPr>
                        <w:spacing w:before="54"/>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xbxContent>
                </v:textbox>
                <w10:wrap type="none"/>
              </v:shape>
              <v:shape style="position:absolute;left:1726;top:2734;width:975;height:402" type="#_x0000_t202" filled="false" stroked="false">
                <v:textbox inset="0,0,0,0">
                  <w:txbxContent>
                    <w:p>
                      <w:pPr>
                        <w:spacing w:before="54"/>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2734;width:850;height:402" type="#_x0000_t202" filled="false" stroked="false">
                <v:textbox inset="0,0,0,0">
                  <w:txbxContent>
                    <w:p>
                      <w:pPr>
                        <w:spacing w:before="54"/>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2734;width:6237;height:402"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3135;width:1721;height:404"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xbxContent>
                </v:textbox>
                <w10:wrap type="none"/>
              </v:shape>
              <v:shape style="position:absolute;left:1726;top:3135;width:975;height:404"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3135;width:850;height:404"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3135;width:623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3538;width:1721;height:401"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xbxContent>
                </v:textbox>
                <w10:wrap type="none"/>
              </v:shape>
              <v:shape style="position:absolute;left:1726;top:3538;width:975;height:401"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3538;width:850;height:401"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3538;width:6237;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日投资者关系活动记录表</w:t>
                      </w:r>
                    </w:p>
                  </w:txbxContent>
                </v:textbox>
                <w10:wrap type="none"/>
              </v:shape>
              <v:shape style="position:absolute;left:5;top:3939;width:1721;height:404"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xbxContent>
                </v:textbox>
                <w10:wrap type="none"/>
              </v:shape>
              <v:shape style="position:absolute;left:1726;top:3939;width:975;height:404"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3939;width:850;height:404"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3939;width:623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4342;width:1721;height:401" type="#_x0000_t202" filled="false" stroked="false">
                <v:textbox inset="0,0,0,0">
                  <w:txbxContent>
                    <w:p>
                      <w:pPr>
                        <w:spacing w:before="53"/>
                        <w:ind w:left="1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xbxContent>
                </v:textbox>
                <w10:wrap type="none"/>
              </v:shape>
              <v:shape style="position:absolute;left:1726;top:4342;width:975;height:401" type="#_x0000_t202" filled="false" stroked="false">
                <v:textbox inset="0,0,0,0">
                  <w:txbxContent>
                    <w:p>
                      <w:pPr>
                        <w:spacing w:before="53"/>
                        <w:ind w:left="1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701;top:4342;width:850;height:401" type="#_x0000_t202" filled="false" stroked="false">
                <v:textbox inset="0,0,0,0">
                  <w:txbxContent>
                    <w:p>
                      <w:pPr>
                        <w:spacing w:before="53"/>
                        <w:ind w:left="244"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550;top:4342;width:6237;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9671;top:832;width:180;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671;top:2039;width:180;height:25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94"/>
          <w:sz w:val="20"/>
          <w:szCs w:val="20"/>
        </w:rPr>
      </w:r>
    </w:p>
    <w:p>
      <w:pPr>
        <w:spacing w:after="0" w:line="4752" w:lineRule="exact"/>
        <w:rPr>
          <w:rFonts w:ascii="宋体" w:hAnsi="宋体" w:cs="宋体" w:eastAsia="宋体" w:hint="default"/>
          <w:sz w:val="20"/>
          <w:szCs w:val="20"/>
        </w:rPr>
        <w:sectPr>
          <w:pgSz w:w="11910" w:h="16840"/>
          <w:pgMar w:header="745" w:footer="980" w:top="1060" w:bottom="11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92"/>
        <w:jc w:val="center"/>
        <w:rPr>
          <w:b w:val="0"/>
          <w:bCs w:val="0"/>
        </w:rPr>
      </w:pPr>
      <w:bookmarkStart w:name="_TOC_250006" w:id="5"/>
      <w:r>
        <w:rPr/>
        <w:t>第五节</w:t>
      </w:r>
      <w:r>
        <w:rPr>
          <w:spacing w:val="-1"/>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由于公司</w:t>
      </w:r>
      <w:r>
        <w:rPr>
          <w:rFonts w:ascii="Times New Roman" w:hAnsi="Times New Roman" w:cs="Times New Roman" w:eastAsia="Times New Roman" w:hint="default"/>
          <w:spacing w:val="-2"/>
        </w:rPr>
        <w:t>2014</w:t>
      </w:r>
      <w:r>
        <w:rPr>
          <w:spacing w:val="-2"/>
        </w:rPr>
        <w:t>年度经营亏损，</w:t>
      </w:r>
      <w:r>
        <w:rPr>
          <w:rFonts w:ascii="Times New Roman" w:hAnsi="Times New Roman" w:cs="Times New Roman" w:eastAsia="Times New Roman" w:hint="default"/>
          <w:spacing w:val="-2"/>
        </w:rPr>
        <w:t>2014</w:t>
      </w:r>
      <w:r>
        <w:rPr>
          <w:spacing w:val="-2"/>
        </w:rPr>
        <w:t>年度未派发现金红利；本报告期内，公司按照《公司章程》和分红管理办法等相关规</w:t>
      </w:r>
    </w:p>
    <w:p>
      <w:pPr>
        <w:pStyle w:val="BodyText"/>
        <w:spacing w:line="230" w:lineRule="exact"/>
        <w:ind w:right="0"/>
        <w:jc w:val="left"/>
      </w:pPr>
      <w:r>
        <w:rPr/>
        <w:t>定，实施了</w:t>
      </w:r>
      <w:r>
        <w:rPr>
          <w:rFonts w:ascii="Times New Roman" w:hAnsi="Times New Roman" w:cs="Times New Roman" w:eastAsia="Times New Roman" w:hint="default"/>
        </w:rPr>
        <w:t>2014</w:t>
      </w:r>
      <w:r>
        <w:rPr/>
        <w:t>年度利润分配方案。</w:t>
      </w:r>
    </w:p>
    <w:p>
      <w:pPr>
        <w:spacing w:line="240" w:lineRule="auto" w:before="4"/>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50" w:lineRule="auto" w:before="115"/>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4101"/>
        <w:gridCol w:w="5470"/>
      </w:tblGrid>
      <w:tr>
        <w:trPr>
          <w:trHeight w:val="404"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166,400,000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4,992,000.00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168,978,011.91</w:t>
            </w:r>
          </w:p>
        </w:tc>
      </w:tr>
      <w:tr>
        <w:trPr>
          <w:trHeight w:val="407"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4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8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经北京兴华会计师事务所（特殊普通合伙）出具的（</w:t>
            </w:r>
            <w:r>
              <w:rPr>
                <w:rFonts w:ascii="Times New Roman" w:hAnsi="Times New Roman" w:cs="Times New Roman" w:eastAsia="Times New Roman" w:hint="default"/>
                <w:sz w:val="18"/>
                <w:szCs w:val="18"/>
              </w:rPr>
              <w:t>2016</w:t>
            </w:r>
            <w:r>
              <w:rPr>
                <w:rFonts w:ascii="宋体" w:hAnsi="宋体" w:cs="宋体" w:eastAsia="宋体" w:hint="default"/>
                <w:sz w:val="18"/>
                <w:szCs w:val="18"/>
              </w:rPr>
              <w:t>）京会兴审字第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01010036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号《审计报告》，公司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33,227,228.98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日，公司资本公积金为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733,417,178.85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pacing w:val="-3"/>
                <w:sz w:val="18"/>
                <w:szCs w:val="18"/>
              </w:rPr>
              <w:t>元（含税），共分配现金股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万元（含税），剩余未分配利润结转以后年度。</w:t>
            </w:r>
          </w:p>
        </w:tc>
      </w:tr>
    </w:tbl>
    <w:p>
      <w:pPr>
        <w:pStyle w:val="BodyText"/>
        <w:spacing w:line="240" w:lineRule="auto" w:before="73"/>
        <w:ind w:right="0"/>
        <w:jc w:val="left"/>
      </w:pPr>
      <w:r>
        <w:rPr/>
        <w:t>公司近</w:t>
      </w:r>
      <w:r>
        <w:rPr>
          <w:spacing w:val="-46"/>
        </w:rPr>
        <w:t> </w:t>
      </w:r>
      <w:r>
        <w:rPr>
          <w:rFonts w:ascii="Times New Roman" w:hAnsi="Times New Roman" w:cs="Times New Roman" w:eastAsia="Times New Roman" w:hint="default"/>
        </w:rPr>
        <w:t>3 </w:t>
      </w:r>
      <w:r>
        <w:rPr/>
        <w:t>年（包括本报告期）的普通股股利分配方案（预案）、资本公积金转增股本方案（预案）情况：</w:t>
      </w:r>
    </w:p>
    <w:p>
      <w:pPr>
        <w:pStyle w:val="BodyText"/>
        <w:spacing w:line="240" w:lineRule="auto" w:before="101"/>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年利润分配方案：以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16,640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w:t>
      </w:r>
      <w:r>
        <w:rPr/>
        <w:t>元（含税），共分配</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t>现金股利</w:t>
      </w:r>
      <w:r>
        <w:rPr>
          <w:rFonts w:ascii="Times New Roman" w:hAnsi="Times New Roman" w:cs="Times New Roman" w:eastAsia="Times New Roman" w:hint="default"/>
        </w:rPr>
        <w:t>499.20</w:t>
      </w:r>
      <w:r>
        <w:rPr/>
        <w:t>万元（含税），剩余未分配利润结转以后年度。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年利润分配方案：以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股，合计</w:t>
      </w:r>
      <w:r>
        <w:rPr>
          <w:spacing w:val="-66"/>
        </w:rPr>
        <w:t> </w:t>
      </w:r>
      <w:r>
        <w:rPr>
          <w:spacing w:val="-66"/>
        </w:rPr>
      </w:r>
      <w:r>
        <w:rPr/>
        <w:t>转增股本</w:t>
      </w:r>
      <w:r>
        <w:rPr>
          <w:rFonts w:ascii="Times New Roman" w:hAnsi="Times New Roman" w:cs="Times New Roman" w:eastAsia="Times New Roman" w:hint="default"/>
        </w:rPr>
        <w:t>6,240</w:t>
      </w:r>
      <w:r>
        <w:rPr/>
        <w:t>万股；</w:t>
      </w:r>
      <w:r>
        <w:rPr>
          <w:rFonts w:ascii="Times New Roman" w:hAnsi="Times New Roman" w:cs="Times New Roman" w:eastAsia="Times New Roman" w:hint="default"/>
        </w:rPr>
        <w:t>2014</w:t>
      </w:r>
      <w:r>
        <w:rPr/>
        <w:t>年度不派发现金红利。</w:t>
      </w:r>
    </w:p>
    <w:p>
      <w:pPr>
        <w:pStyle w:val="BodyText"/>
        <w:spacing w:line="300" w:lineRule="auto" w:before="35"/>
        <w:ind w:right="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年利润分配方案：以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元（含税），共分配现</w:t>
      </w:r>
      <w:r>
        <w:rPr>
          <w:spacing w:val="-78"/>
        </w:rPr>
        <w:t> </w:t>
      </w:r>
      <w:r>
        <w:rPr>
          <w:spacing w:val="-78"/>
        </w:rPr>
      </w:r>
      <w:r>
        <w:rPr/>
        <w:t>金股利</w:t>
      </w:r>
      <w:r>
        <w:rPr>
          <w:rFonts w:ascii="Times New Roman" w:hAnsi="Times New Roman" w:cs="Times New Roman" w:eastAsia="Times New Roman" w:hint="default"/>
        </w:rPr>
        <w:t>1,040.00</w:t>
      </w:r>
      <w:r>
        <w:rPr/>
        <w:t>万元（含税），剩余未分配利润结转以后年度。</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29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28"/>
        <w:gridCol w:w="1286"/>
        <w:gridCol w:w="2411"/>
        <w:gridCol w:w="2552"/>
        <w:gridCol w:w="1277"/>
        <w:gridCol w:w="1205"/>
      </w:tblGrid>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0" w:right="30" w:hanging="92"/>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4"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86" w:type="dxa"/>
            <w:vMerge/>
            <w:tcBorders>
              <w:left w:val="single" w:sz="4" w:space="0" w:color="000000"/>
              <w:right w:val="single" w:sz="4" w:space="0" w:color="000000"/>
            </w:tcBorders>
            <w:shd w:val="clear" w:color="auto" w:fill="D2D2D2"/>
          </w:tcPr>
          <w:p>
            <w:pPr/>
          </w:p>
        </w:tc>
        <w:tc>
          <w:tcPr>
            <w:tcW w:w="2411" w:type="dxa"/>
            <w:vMerge/>
            <w:tcBorders>
              <w:left w:val="single" w:sz="4" w:space="0" w:color="000000"/>
              <w:right w:val="single" w:sz="4" w:space="0" w:color="000000"/>
            </w:tcBorders>
            <w:shd w:val="clear" w:color="auto" w:fill="D2D2D2"/>
          </w:tcPr>
          <w:p>
            <w:pPr/>
          </w:p>
        </w:tc>
        <w:tc>
          <w:tcPr>
            <w:tcW w:w="255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2411" w:type="dxa"/>
            <w:vMerge/>
            <w:tcBorders>
              <w:left w:val="single" w:sz="4" w:space="0" w:color="000000"/>
              <w:bottom w:val="single" w:sz="4" w:space="0" w:color="000000"/>
              <w:right w:val="single" w:sz="4" w:space="0" w:color="000000"/>
            </w:tcBorders>
            <w:shd w:val="clear" w:color="auto" w:fill="D2D2D2"/>
          </w:tcPr>
          <w:p>
            <w:pPr/>
          </w:p>
        </w:tc>
        <w:tc>
          <w:tcPr>
            <w:tcW w:w="255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4,992,000.00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32,048,918.72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-10,029,719.23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25,569,724.44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6"/>
        <w:rPr>
          <w:rFonts w:ascii="宋体" w:hAnsi="宋体" w:cs="宋体" w:eastAsia="宋体" w:hint="default"/>
          <w:b/>
          <w:bCs/>
          <w:sz w:val="25"/>
          <w:szCs w:val="25"/>
        </w:rPr>
      </w:pPr>
    </w:p>
    <w:p>
      <w:pPr>
        <w:pStyle w:val="Heading3"/>
        <w:spacing w:line="273" w:lineRule="auto"/>
        <w:ind w:right="0"/>
        <w:jc w:val="left"/>
        <w:rPr>
          <w:b w:val="0"/>
          <w:bCs w:val="0"/>
        </w:rPr>
      </w:pPr>
      <w:r>
        <w:rPr>
          <w:rFonts w:ascii="Times New Roman" w:hAnsi="Times New Roman" w:cs="Times New Roman" w:eastAsia="Times New Roman" w:hint="default"/>
          <w:spacing w:val="-1"/>
          <w:w w:val="95"/>
        </w:rPr>
        <w:t>1</w:t>
      </w:r>
      <w:r>
        <w:rPr>
          <w:spacing w:val="-1"/>
          <w:w w:val="95"/>
        </w:rPr>
        <w:t>、公司、股东、实际控制人、收购人、董事、监事、高级管理人员或其他关联方在报告期内履行完毕及截至报</w:t>
      </w:r>
      <w:r>
        <w:rPr>
          <w:spacing w:val="39"/>
          <w:w w:val="95"/>
        </w:rPr>
        <w:t> </w:t>
      </w:r>
      <w:r>
        <w:rPr>
          <w:spacing w:val="39"/>
          <w:w w:val="95"/>
        </w:rPr>
      </w:r>
      <w:r>
        <w:rPr/>
        <w:t>告期末尚未履行完毕的承诺事项</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08"/>
        <w:jc w:val="right"/>
      </w:pPr>
      <w:r>
        <w:rPr/>
        <w:pict>
          <v:shape style="position:absolute;margin-left:56.484001pt;margin-top:-193.618271pt;width:488.7pt;height:330.5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719"/>
                    <w:gridCol w:w="852"/>
                    <w:gridCol w:w="4112"/>
                    <w:gridCol w:w="842"/>
                    <w:gridCol w:w="843"/>
                    <w:gridCol w:w="842"/>
                  </w:tblGrid>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3"/>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719" w:type="dxa"/>
                        <w:tcBorders>
                          <w:top w:val="single" w:sz="4" w:space="0" w:color="000000"/>
                          <w:left w:val="single" w:sz="9"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719" w:type="dxa"/>
                        <w:tcBorders>
                          <w:top w:val="single" w:sz="4" w:space="0" w:color="000000"/>
                          <w:left w:val="single" w:sz="9"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28" w:right="20"/>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4112"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、其本人（包括其控制的全资、控股企业或其他关 </w:t>
                        </w:r>
                        <w:r>
                          <w:rPr>
                            <w:rFonts w:ascii="宋体" w:hAnsi="宋体" w:cs="宋体" w:eastAsia="宋体" w:hint="default"/>
                            <w:spacing w:val="-4"/>
                            <w:sz w:val="18"/>
                            <w:szCs w:val="18"/>
                          </w:rPr>
                          <w:t>联企业，下同）未经营与公司现从事的集成电路的设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计、开发及产业化业务相同或类似的业务，与公司不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构成同业竞争。而且在公司依法存续期间，承诺不经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营前述业务，以避免与公司构成同业竞争。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、若因 </w:t>
                        </w:r>
                        <w:r>
                          <w:rPr>
                            <w:rFonts w:ascii="宋体" w:hAnsi="宋体" w:cs="宋体" w:eastAsia="宋体" w:hint="default"/>
                            <w:spacing w:val="-4"/>
                            <w:sz w:val="18"/>
                            <w:szCs w:val="18"/>
                          </w:rPr>
                          <w:t>承诺人或公司的业务发展，而导致其经营的业务与公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司的业务发生重合而可能构成竞争，其同意由公司在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同等条件下优先收购该等业务所涉资产或股权，和</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或通过合法途径促使其所控制的全资、控股企业或其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他关联企业向公司转让该等资产或控股权，和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 </w:t>
                        </w:r>
                        <w:r>
                          <w:rPr>
                            <w:rFonts w:ascii="宋体" w:hAnsi="宋体" w:cs="宋体" w:eastAsia="宋体" w:hint="default"/>
                            <w:spacing w:val="-4"/>
                            <w:sz w:val="18"/>
                            <w:szCs w:val="18"/>
                          </w:rPr>
                          <w:t>过其他公平、合理的途径对其经营的业务进行调整以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避免与公司的业务构成同业竞争。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 </w:t>
                        </w:r>
                        <w:r>
                          <w:rPr>
                            <w:rFonts w:ascii="宋体" w:hAnsi="宋体" w:cs="宋体" w:eastAsia="宋体" w:hint="default"/>
                            <w:spacing w:val="-4"/>
                            <w:sz w:val="18"/>
                            <w:szCs w:val="18"/>
                          </w:rPr>
                          <w:t>本承诺而给公司造成损失的，其对因此给公司造成的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损失予以赔偿。</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报告期 </w:t>
                        </w:r>
                        <w:r>
                          <w:rPr>
                            <w:rFonts w:ascii="宋体" w:hAnsi="宋体" w:cs="宋体" w:eastAsia="宋体" w:hint="default"/>
                            <w:spacing w:val="-6"/>
                            <w:sz w:val="18"/>
                            <w:szCs w:val="18"/>
                          </w:rPr>
                          <w:t>内，刘强</w:t>
                        </w:r>
                        <w:r>
                          <w:rPr>
                            <w:rFonts w:ascii="宋体" w:hAnsi="宋体" w:cs="宋体" w:eastAsia="宋体" w:hint="default"/>
                            <w:sz w:val="18"/>
                            <w:szCs w:val="18"/>
                          </w:rPr>
                          <w:t> 李杰均遵 守了所做 的承诺。</w:t>
                        </w:r>
                      </w:p>
                    </w:tc>
                  </w:tr>
                  <w:tr>
                    <w:trPr>
                      <w:trHeight w:val="704"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71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r>
                  <w:tr>
                    <w:trPr>
                      <w:trHeight w:val="1877"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08"/>
        <w:jc w:val="right"/>
      </w:pPr>
      <w:r>
        <w:rPr/>
        <w:pict>
          <v:shape style="position:absolute;margin-left:56.484001pt;margin-top:-57.548294pt;width:488.7pt;height:578.1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709"/>
                    <w:gridCol w:w="852"/>
                    <w:gridCol w:w="4112"/>
                    <w:gridCol w:w="842"/>
                    <w:gridCol w:w="843"/>
                    <w:gridCol w:w="842"/>
                  </w:tblGrid>
                  <w:tr>
                    <w:trPr>
                      <w:trHeight w:val="3209"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0"/>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股份锁定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在其所承诺的限售期满后，每年转让的股份不得超过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其所持公司股份总数的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股的，可一次全部转让，不受前述转让比例的 </w:t>
                        </w:r>
                        <w:r>
                          <w:rPr>
                            <w:rFonts w:ascii="宋体" w:hAnsi="宋体" w:cs="宋体" w:eastAsia="宋体" w:hint="default"/>
                            <w:spacing w:val="-4"/>
                            <w:sz w:val="18"/>
                            <w:szCs w:val="18"/>
                          </w:rPr>
                          <w:t>限制。在其本人及其关联方担任公司董事、监事、高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级管理人员期间每年转让的股份不超过其直接和间 接持有的公司股份总数的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 </w:t>
                        </w:r>
                        <w:r>
                          <w:rPr>
                            <w:rFonts w:ascii="宋体" w:hAnsi="宋体" w:cs="宋体" w:eastAsia="宋体" w:hint="default"/>
                            <w:spacing w:val="-4"/>
                            <w:sz w:val="18"/>
                            <w:szCs w:val="18"/>
                          </w:rPr>
                          <w:t>转让其直接和间接持有的公司股份；离职半年后的十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二个月内通过证券交易所挂牌交易出售公司股份数 量占其直接和间接持有的公司股份总数的比例不超 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承诺期限 为直至所 持股份全 部解锁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6"/>
                          <w:jc w:val="left"/>
                          <w:rPr>
                            <w:rFonts w:ascii="宋体" w:hAnsi="宋体" w:cs="宋体" w:eastAsia="宋体" w:hint="default"/>
                            <w:sz w:val="18"/>
                            <w:szCs w:val="18"/>
                          </w:rPr>
                        </w:pPr>
                        <w:r>
                          <w:rPr>
                            <w:rFonts w:ascii="宋体" w:hAnsi="宋体" w:cs="宋体" w:eastAsia="宋体" w:hint="default"/>
                            <w:sz w:val="18"/>
                            <w:szCs w:val="18"/>
                          </w:rPr>
                          <w:t>报告期 </w:t>
                        </w:r>
                        <w:r>
                          <w:rPr>
                            <w:rFonts w:ascii="宋体" w:hAnsi="宋体" w:cs="宋体" w:eastAsia="宋体" w:hint="default"/>
                            <w:spacing w:val="-6"/>
                            <w:sz w:val="18"/>
                            <w:szCs w:val="18"/>
                          </w:rPr>
                          <w:t>内，刘强</w:t>
                        </w:r>
                        <w:r>
                          <w:rPr>
                            <w:rFonts w:ascii="宋体" w:hAnsi="宋体" w:cs="宋体" w:eastAsia="宋体" w:hint="default"/>
                            <w:sz w:val="18"/>
                            <w:szCs w:val="18"/>
                          </w:rPr>
                          <w:t> 李杰均遵 守了所做 的承诺。</w:t>
                        </w:r>
                      </w:p>
                    </w:tc>
                  </w:tr>
                  <w:tr>
                    <w:trPr>
                      <w:trHeight w:val="1964" w:hRule="exact"/>
                    </w:trPr>
                    <w:tc>
                      <w:tcPr>
                        <w:tcW w:w="15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对君正时 代补缴住 房公积金 风险的承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君正时代成立初期未为非深圳户籍员工缴交住房公 </w:t>
                        </w:r>
                        <w:r>
                          <w:rPr>
                            <w:rFonts w:ascii="宋体" w:hAnsi="宋体" w:cs="宋体" w:eastAsia="宋体" w:hint="default"/>
                            <w:spacing w:val="-4"/>
                            <w:sz w:val="18"/>
                            <w:szCs w:val="18"/>
                          </w:rPr>
                          <w:t>积金。为此，公司实际控制人刘强、李杰承诺：如主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管部门要求君正时代为上述员工补缴住房公积金或 </w:t>
                        </w:r>
                        <w:r>
                          <w:rPr>
                            <w:rFonts w:ascii="宋体" w:hAnsi="宋体" w:cs="宋体" w:eastAsia="宋体" w:hint="default"/>
                            <w:spacing w:val="-4"/>
                            <w:sz w:val="18"/>
                            <w:szCs w:val="18"/>
                          </w:rPr>
                          <w:t>因该事项致使君正时代遭受任何经济损失，刘强、李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杰将承担有关的费用，并及时、足额将有关费用支付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给君正时代。</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报告期 </w:t>
                        </w:r>
                        <w:r>
                          <w:rPr>
                            <w:rFonts w:ascii="宋体" w:hAnsi="宋体" w:cs="宋体" w:eastAsia="宋体" w:hint="default"/>
                            <w:spacing w:val="-6"/>
                            <w:sz w:val="18"/>
                            <w:szCs w:val="18"/>
                          </w:rPr>
                          <w:t>内，刘强</w:t>
                        </w:r>
                        <w:r>
                          <w:rPr>
                            <w:rFonts w:ascii="宋体" w:hAnsi="宋体" w:cs="宋体" w:eastAsia="宋体" w:hint="default"/>
                            <w:sz w:val="18"/>
                            <w:szCs w:val="18"/>
                          </w:rPr>
                          <w:t> 李杰均遵 守了所做 的承诺。</w:t>
                        </w:r>
                      </w:p>
                    </w:tc>
                  </w:tr>
                  <w:tr>
                    <w:trPr>
                      <w:trHeight w:val="3209"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0"/>
                          <w:jc w:val="left"/>
                          <w:rPr>
                            <w:rFonts w:ascii="宋体" w:hAnsi="宋体" w:cs="宋体" w:eastAsia="宋体" w:hint="default"/>
                            <w:sz w:val="18"/>
                            <w:szCs w:val="18"/>
                          </w:rPr>
                        </w:pPr>
                        <w:r>
                          <w:rPr>
                            <w:rFonts w:ascii="宋体" w:hAnsi="宋体" w:cs="宋体" w:eastAsia="宋体" w:hint="default"/>
                            <w:spacing w:val="-17"/>
                            <w:sz w:val="18"/>
                            <w:szCs w:val="18"/>
                          </w:rPr>
                          <w:t>张紧、冼</w:t>
                        </w:r>
                        <w:r>
                          <w:rPr>
                            <w:rFonts w:ascii="宋体" w:hAnsi="宋体" w:cs="宋体" w:eastAsia="宋体" w:hint="default"/>
                            <w:sz w:val="18"/>
                            <w:szCs w:val="18"/>
                          </w:rPr>
                          <w:t> 永辉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股份锁定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在其所承诺限售期满后，每年转让的股份不得超过其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所持公司股份总数的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股的，可一次全部转让，不受前述转让比例的 </w:t>
                        </w:r>
                        <w:r>
                          <w:rPr>
                            <w:rFonts w:ascii="宋体" w:hAnsi="宋体" w:cs="宋体" w:eastAsia="宋体" w:hint="default"/>
                            <w:spacing w:val="-4"/>
                            <w:sz w:val="18"/>
                            <w:szCs w:val="18"/>
                          </w:rPr>
                          <w:t>限制。在其本人及其关联方担任公司董事、监事、高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级管理人员期间每年转让的股份不超过其直接和间 接持有的公司股份总数的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 </w:t>
                        </w:r>
                        <w:r>
                          <w:rPr>
                            <w:rFonts w:ascii="宋体" w:hAnsi="宋体" w:cs="宋体" w:eastAsia="宋体" w:hint="default"/>
                            <w:spacing w:val="-4"/>
                            <w:sz w:val="18"/>
                            <w:szCs w:val="18"/>
                          </w:rPr>
                          <w:t>转让其直接和间接持有的公司股份；离职半年后的十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二个月内通过证券交易所挂牌交易出售公司股份数 量占其直接和间接持有的公司股份总数的比例不超 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7"/>
                          <w:jc w:val="left"/>
                          <w:rPr>
                            <w:rFonts w:ascii="宋体" w:hAnsi="宋体" w:cs="宋体" w:eastAsia="宋体" w:hint="default"/>
                            <w:sz w:val="18"/>
                            <w:szCs w:val="18"/>
                          </w:rPr>
                        </w:pPr>
                        <w:r>
                          <w:rPr>
                            <w:rFonts w:ascii="宋体" w:hAnsi="宋体" w:cs="宋体" w:eastAsia="宋体" w:hint="default"/>
                            <w:sz w:val="18"/>
                            <w:szCs w:val="18"/>
                          </w:rPr>
                          <w:t>此承诺期 限为直至 所持股份 全部解 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报告期 </w:t>
                        </w:r>
                        <w:r>
                          <w:rPr>
                            <w:rFonts w:ascii="宋体" w:hAnsi="宋体" w:cs="宋体" w:eastAsia="宋体" w:hint="default"/>
                            <w:spacing w:val="-6"/>
                            <w:sz w:val="18"/>
                            <w:szCs w:val="18"/>
                          </w:rPr>
                          <w:t>内，张紧</w:t>
                        </w:r>
                        <w:r>
                          <w:rPr>
                            <w:rFonts w:ascii="宋体" w:hAnsi="宋体" w:cs="宋体" w:eastAsia="宋体" w:hint="default"/>
                            <w:sz w:val="18"/>
                            <w:szCs w:val="18"/>
                          </w:rPr>
                          <w:t> 冼永辉均 遵守了所 做的承 诺。</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2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2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71" w:lineRule="auto" w:before="37"/>
        <w:ind w:right="0"/>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8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日，本公司与北京君诚易恒科技有限公司其他股东签订股权转让协议，转让本公司所持有的北京君诚易</w:t>
      </w:r>
    </w:p>
    <w:p>
      <w:pPr>
        <w:pStyle w:val="BodyText"/>
        <w:spacing w:line="240" w:lineRule="auto" w:before="63"/>
        <w:ind w:right="0"/>
        <w:jc w:val="left"/>
        <w:rPr>
          <w:rFonts w:ascii="Times New Roman" w:hAnsi="Times New Roman" w:cs="Times New Roman" w:eastAsia="Times New Roman" w:hint="default"/>
        </w:rPr>
      </w:pPr>
      <w:r>
        <w:rPr/>
        <w:t>恒科技有限公司</w:t>
      </w:r>
      <w:r>
        <w:rPr>
          <w:spacing w:val="-47"/>
        </w:rPr>
        <w:t> </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2"/>
        </w:rPr>
        <w:t>%</w:t>
      </w:r>
      <w:r>
        <w:rPr/>
        <w:t>的股权</w:t>
      </w:r>
      <w:r>
        <w:rPr>
          <w:spacing w:val="-92"/>
        </w:rPr>
        <w:t>，</w:t>
      </w:r>
      <w:r>
        <w:rPr/>
        <w:t>工商变更手续已于</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日完成</w:t>
      </w:r>
      <w:r>
        <w:rPr>
          <w:spacing w:val="-92"/>
        </w:rPr>
        <w:t>。</w:t>
      </w:r>
      <w:r>
        <w:rPr/>
        <w:t>转让后本公司持</w:t>
      </w:r>
      <w:r>
        <w:rPr>
          <w:spacing w:val="-3"/>
        </w:rPr>
        <w:t>有</w:t>
      </w:r>
      <w:r>
        <w:rPr/>
        <w:t>北京君诚易恒科技有限公司</w:t>
      </w:r>
      <w:r>
        <w:rPr>
          <w:spacing w:val="-46"/>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p>
    <w:p>
      <w:pPr>
        <w:pStyle w:val="BodyText"/>
        <w:spacing w:line="300" w:lineRule="auto" w:before="63"/>
        <w:ind w:right="139"/>
        <w:jc w:val="left"/>
      </w:pPr>
      <w:r>
        <w:rPr/>
        <w:t>的股权，本公司对其由控制变为具有重大影响。因此本期只合并北京君诚易恒科技有限公司</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1-12</w:t>
      </w:r>
      <w:r>
        <w:rPr>
          <w:rFonts w:ascii="Times New Roman" w:hAnsi="Times New Roman" w:cs="Times New Roman" w:eastAsia="Times New Roman" w:hint="default"/>
          <w:spacing w:val="-8"/>
        </w:rPr>
        <w:t> </w:t>
      </w:r>
      <w:r>
        <w:rPr>
          <w:spacing w:val="-3"/>
        </w:rPr>
        <w:t>月利润表，期末不</w:t>
      </w:r>
      <w:r>
        <w:rPr/>
        <w:t> 再合并资产负债表。</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是否改聘会计师事务所</w:t>
      </w:r>
    </w:p>
    <w:p>
      <w:pPr>
        <w:pStyle w:val="BodyText"/>
        <w:spacing w:line="340" w:lineRule="auto" w:before="115"/>
        <w:ind w:right="5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报告期内公司及控股股东、实际控制人的诚信状况良好，不存在未履行法院生效判决、所负数额较大的债务到期未清偿</w:t>
      </w:r>
    </w:p>
    <w:p>
      <w:pPr>
        <w:pStyle w:val="BodyText"/>
        <w:spacing w:line="240" w:lineRule="auto" w:before="2"/>
        <w:ind w:right="0"/>
        <w:jc w:val="left"/>
      </w:pPr>
      <w:r>
        <w:rPr/>
        <w:t>等情况。</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40" w:lineRule="auto" w:before="43"/>
        <w:ind w:right="4958"/>
        <w:jc w:val="left"/>
      </w:pPr>
      <w:r>
        <w:rPr/>
        <w:t>本报告期公司对外租赁部分房产，租赁收入总计</w:t>
      </w:r>
      <w:r>
        <w:rPr>
          <w:rFonts w:ascii="Times New Roman" w:hAnsi="Times New Roman" w:cs="Times New Roman" w:eastAsia="Times New Roman" w:hint="default"/>
        </w:rPr>
        <w:t>777.62</w:t>
      </w:r>
      <w:r>
        <w:rPr/>
        <w:t>万元。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38"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5"/>
        <w:gridCol w:w="497"/>
        <w:gridCol w:w="637"/>
        <w:gridCol w:w="994"/>
        <w:gridCol w:w="888"/>
        <w:gridCol w:w="953"/>
        <w:gridCol w:w="794"/>
        <w:gridCol w:w="805"/>
        <w:gridCol w:w="670"/>
        <w:gridCol w:w="802"/>
        <w:gridCol w:w="804"/>
        <w:gridCol w:w="662"/>
      </w:tblGrid>
      <w:tr>
        <w:trPr>
          <w:trHeight w:val="1650"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0"/>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 w:right="34"/>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9"/>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316" w:lineRule="auto" w:before="19"/>
              <w:ind w:left="151" w:right="146"/>
              <w:jc w:val="both"/>
              <w:rPr>
                <w:rFonts w:ascii="宋体" w:hAnsi="宋体" w:cs="宋体" w:eastAsia="宋体" w:hint="default"/>
                <w:sz w:val="18"/>
                <w:szCs w:val="18"/>
              </w:rPr>
            </w:pPr>
            <w:r>
              <w:rPr>
                <w:rFonts w:ascii="宋体" w:hAnsi="宋体" w:cs="宋体" w:eastAsia="宋体" w:hint="default"/>
                <w:sz w:val="18"/>
                <w:szCs w:val="18"/>
              </w:rPr>
              <w:t>（如 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0" w:right="3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0"/>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兴业银行合 肥长江中路 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102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兴业银行合 肥长江中路 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84.97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3"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97.05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97.05</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28.79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兴业银行合 肥长江中路 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105.10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5"/>
              <w:jc w:val="left"/>
              <w:rPr>
                <w:rFonts w:ascii="宋体" w:hAnsi="宋体" w:cs="宋体" w:eastAsia="宋体" w:hint="default"/>
                <w:sz w:val="18"/>
                <w:szCs w:val="18"/>
              </w:rPr>
            </w:pPr>
            <w:r>
              <w:rPr>
                <w:rFonts w:ascii="宋体" w:hAnsi="宋体" w:cs="宋体" w:eastAsia="宋体" w:hint="default"/>
                <w:spacing w:val="22"/>
                <w:sz w:val="18"/>
                <w:szCs w:val="18"/>
              </w:rPr>
              <w:t>全部收</w:t>
            </w:r>
            <w:r>
              <w:rPr>
                <w:rFonts w:ascii="宋体" w:hAnsi="宋体" w:cs="宋体" w:eastAsia="宋体" w:hint="default"/>
                <w:spacing w:val="-57"/>
                <w:sz w:val="18"/>
                <w:szCs w:val="18"/>
              </w:rPr>
              <w:t> </w:t>
            </w:r>
            <w:r>
              <w:rPr>
                <w:rFonts w:ascii="宋体" w:hAnsi="宋体" w:cs="宋体" w:eastAsia="宋体" w:hint="default"/>
                <w:sz w:val="18"/>
                <w:szCs w:val="18"/>
              </w:rPr>
              <w:t>回</w:t>
            </w:r>
          </w:p>
        </w:tc>
      </w:tr>
      <w:tr>
        <w:trPr>
          <w:trHeight w:val="357"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17.72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17.72</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全部收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5"/>
        <w:gridCol w:w="497"/>
        <w:gridCol w:w="637"/>
        <w:gridCol w:w="994"/>
        <w:gridCol w:w="888"/>
        <w:gridCol w:w="953"/>
        <w:gridCol w:w="794"/>
        <w:gridCol w:w="805"/>
        <w:gridCol w:w="670"/>
        <w:gridCol w:w="802"/>
        <w:gridCol w:w="804"/>
        <w:gridCol w:w="662"/>
      </w:tblGrid>
      <w:tr>
        <w:trPr>
          <w:trHeight w:val="98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9"/>
              <w:jc w:val="both"/>
              <w:rPr>
                <w:rFonts w:ascii="宋体" w:hAnsi="宋体" w:cs="宋体" w:eastAsia="宋体" w:hint="default"/>
                <w:sz w:val="18"/>
                <w:szCs w:val="18"/>
              </w:rPr>
            </w:pPr>
            <w:r>
              <w:rPr>
                <w:rFonts w:ascii="宋体" w:hAnsi="宋体" w:cs="宋体" w:eastAsia="宋体" w:hint="default"/>
                <w:sz w:val="18"/>
                <w:szCs w:val="18"/>
              </w:rPr>
              <w:t>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回</w:t>
            </w: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8,150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29.7</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3"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招商银行股</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份有限公司 北京万通中</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118.43</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3"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心支行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108.08</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36.17</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36.17</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3"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16.76</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6"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97.2</w:t>
            </w:r>
            <w:r>
              <w:rPr>
                <w:rFonts w:ascii="Times New Roman"/>
                <w:sz w:val="18"/>
              </w:rPr>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中国民生银</w:t>
            </w:r>
          </w:p>
        </w:tc>
        <w:tc>
          <w:tcPr>
            <w:tcW w:w="497"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9"/>
              <w:jc w:val="left"/>
              <w:rPr>
                <w:rFonts w:ascii="宋体" w:hAnsi="宋体" w:cs="宋体" w:eastAsia="宋体" w:hint="default"/>
                <w:sz w:val="18"/>
                <w:szCs w:val="18"/>
              </w:rPr>
            </w:pPr>
            <w:r>
              <w:rPr>
                <w:rFonts w:ascii="宋体" w:hAnsi="宋体" w:cs="宋体" w:eastAsia="宋体" w:hint="default"/>
                <w:sz w:val="18"/>
                <w:szCs w:val="18"/>
              </w:rPr>
              <w:t>行股份有限 公司北京成</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8,200</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c>
          <w:tcPr>
            <w:tcW w:w="670"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35.38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35.38</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353" w:hRule="exact"/>
        </w:trPr>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府路支行</w:t>
            </w:r>
          </w:p>
        </w:tc>
        <w:tc>
          <w:tcPr>
            <w:tcW w:w="497"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5"/>
        <w:gridCol w:w="497"/>
        <w:gridCol w:w="637"/>
        <w:gridCol w:w="994"/>
        <w:gridCol w:w="888"/>
        <w:gridCol w:w="953"/>
        <w:gridCol w:w="794"/>
        <w:gridCol w:w="805"/>
        <w:gridCol w:w="670"/>
        <w:gridCol w:w="802"/>
        <w:gridCol w:w="804"/>
        <w:gridCol w:w="662"/>
      </w:tblGrid>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133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中国民生银 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3,900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3,900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12.72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12.72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6" w:right="84"/>
              <w:jc w:val="left"/>
              <w:rPr>
                <w:rFonts w:ascii="宋体" w:hAnsi="宋体" w:cs="宋体" w:eastAsia="宋体" w:hint="default"/>
                <w:sz w:val="18"/>
                <w:szCs w:val="18"/>
              </w:rPr>
            </w:pPr>
            <w:r>
              <w:rPr>
                <w:rFonts w:ascii="宋体" w:hAnsi="宋体" w:cs="宋体" w:eastAsia="宋体" w:hint="default"/>
                <w:sz w:val="18"/>
                <w:szCs w:val="18"/>
              </w:rPr>
              <w:t>全部收 回</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华夏银行天 津分行营业 部</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134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厦门国际银 行股份有限 公司北京中 关村支行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10,701.82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108.21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133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中国民生银 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72.7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133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中国民生银 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11,900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70.86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无固定期 限</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133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中国民生银 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8,300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54.13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133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中国民生银 行股份有限 公司北京成 府路支行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14.78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华夏银行北 京知春支行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71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北京银行上 地支行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无固定期 限</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兴业银行北</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497"/>
        <w:gridCol w:w="637"/>
        <w:gridCol w:w="994"/>
        <w:gridCol w:w="888"/>
        <w:gridCol w:w="953"/>
        <w:gridCol w:w="794"/>
        <w:gridCol w:w="805"/>
        <w:gridCol w:w="670"/>
        <w:gridCol w:w="802"/>
        <w:gridCol w:w="804"/>
        <w:gridCol w:w="662"/>
      </w:tblGrid>
      <w:tr>
        <w:trPr>
          <w:trHeight w:val="67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199"/>
              <w:jc w:val="left"/>
              <w:rPr>
                <w:rFonts w:ascii="宋体" w:hAnsi="宋体" w:cs="宋体" w:eastAsia="宋体" w:hint="default"/>
                <w:sz w:val="18"/>
                <w:szCs w:val="18"/>
              </w:rPr>
            </w:pPr>
            <w:r>
              <w:rPr>
                <w:rFonts w:ascii="宋体" w:hAnsi="宋体" w:cs="宋体" w:eastAsia="宋体" w:hint="default"/>
                <w:sz w:val="18"/>
                <w:szCs w:val="18"/>
              </w:rPr>
              <w:t>京世纪坛支 行</w:t>
            </w:r>
          </w:p>
        </w:tc>
        <w:tc>
          <w:tcPr>
            <w:tcW w:w="497"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9"/>
              <w:jc w:val="both"/>
              <w:rPr>
                <w:rFonts w:ascii="宋体" w:hAnsi="宋体" w:cs="宋体" w:eastAsia="宋体" w:hint="default"/>
                <w:sz w:val="18"/>
                <w:szCs w:val="18"/>
              </w:rPr>
            </w:pPr>
            <w:r>
              <w:rPr>
                <w:rFonts w:ascii="宋体" w:hAnsi="宋体" w:cs="宋体" w:eastAsia="宋体" w:hint="default"/>
                <w:sz w:val="18"/>
                <w:szCs w:val="18"/>
              </w:rPr>
              <w:t>兴业银行合 肥长江中路 支行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市场利率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8"/>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403"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257,451.82</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1,787.35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1,186.50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自有资金及募集资金</w:t>
            </w:r>
          </w:p>
        </w:tc>
      </w:tr>
      <w:tr>
        <w:trPr>
          <w:trHeight w:val="715"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逾期未收回的本金和收益累 计金额</w:t>
            </w:r>
          </w:p>
        </w:tc>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67"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372"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26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 露日期（如有</w:t>
            </w:r>
            <w:r>
              <w:rPr>
                <w:rFonts w:ascii="Times New Roman" w:hAnsi="Times New Roman" w:cs="Times New Roman" w:eastAsia="Times New Roman" w:hint="default"/>
                <w:sz w:val="18"/>
                <w:szCs w:val="18"/>
              </w:rPr>
              <w:t>)</w:t>
            </w:r>
          </w:p>
        </w:tc>
        <w:tc>
          <w:tcPr>
            <w:tcW w:w="7372"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1" w:hRule="exact"/>
        </w:trPr>
        <w:tc>
          <w:tcPr>
            <w:tcW w:w="2267" w:type="dxa"/>
            <w:gridSpan w:val="3"/>
            <w:vMerge/>
            <w:tcBorders>
              <w:left w:val="single" w:sz="4" w:space="0" w:color="000000"/>
              <w:bottom w:val="single" w:sz="4" w:space="0" w:color="000000"/>
              <w:right w:val="single" w:sz="4" w:space="0" w:color="000000"/>
            </w:tcBorders>
            <w:shd w:val="clear" w:color="auto" w:fill="D2D2D2"/>
          </w:tcPr>
          <w:p>
            <w:pPr/>
          </w:p>
        </w:tc>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5"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 露日期（如有</w:t>
            </w:r>
            <w:r>
              <w:rPr>
                <w:rFonts w:ascii="Times New Roman" w:hAnsi="Times New Roman" w:cs="Times New Roman" w:eastAsia="Times New Roman" w:hint="default"/>
                <w:sz w:val="18"/>
                <w:szCs w:val="18"/>
              </w:rPr>
              <w:t>)</w:t>
            </w:r>
          </w:p>
        </w:tc>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3"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公司将在确保不影响公司正常运营及募集资金项目建设和募集资金使用的情况下，对闲置自有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资金和募集资金进行现金管理，投资于安全性高、流动性好的投资产品。</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十七、其他重大事项的说明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4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日，本公司与北京君诚易恒科技有限公司其他股东签订股权转让协议，转让本公司所持有的北京君诚易恒 </w:t>
      </w:r>
      <w:r>
        <w:rPr>
          <w:spacing w:val="-1"/>
        </w:rPr>
        <w:t>科技有限公司</w:t>
      </w:r>
      <w:r>
        <w:rPr>
          <w:rFonts w:ascii="Times New Roman" w:hAnsi="Times New Roman" w:cs="Times New Roman" w:eastAsia="Times New Roman" w:hint="default"/>
          <w:spacing w:val="-1"/>
        </w:rPr>
        <w:t>35%</w:t>
      </w:r>
      <w:r>
        <w:rPr>
          <w:spacing w:val="-1"/>
        </w:rPr>
        <w:t>的股权，工商变更手续已于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日完成。转让后本公司持有北京君诚易恒科技有限公司</w:t>
      </w:r>
      <w:r>
        <w:rPr>
          <w:rFonts w:ascii="Times New Roman" w:hAnsi="Times New Roman" w:cs="Times New Roman" w:eastAsia="Times New Roman" w:hint="default"/>
          <w:spacing w:val="-1"/>
        </w:rPr>
        <w:t>40%</w:t>
      </w:r>
      <w:r>
        <w:rPr>
          <w:spacing w:val="-1"/>
        </w:rPr>
        <w:t>的股</w:t>
      </w:r>
      <w:r>
        <w:rPr>
          <w:spacing w:val="-58"/>
        </w:rPr>
        <w:t> </w:t>
      </w:r>
      <w:r>
        <w:rPr>
          <w:spacing w:val="-1"/>
        </w:rPr>
        <w:t>权，本公司对其由控制变为具有重大影响。因此本期只合并北京君诚易恒科技有限公司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1-12</w:t>
      </w:r>
      <w:r>
        <w:rPr>
          <w:spacing w:val="-1"/>
        </w:rPr>
        <w:t>月利润表，期末不再合并</w:t>
      </w:r>
      <w:r>
        <w:rPr>
          <w:spacing w:val="-84"/>
        </w:rPr>
        <w:t> </w:t>
      </w:r>
      <w:r>
        <w:rPr>
          <w:spacing w:val="-84"/>
        </w:rPr>
      </w:r>
      <w:r>
        <w:rPr/>
        <w:t>资产负债表。</w:t>
      </w:r>
    </w:p>
    <w:p>
      <w:pPr>
        <w:spacing w:after="0" w:line="300"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3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21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13"/>
        <w:jc w:val="left"/>
        <w:rPr>
          <w:b w:val="0"/>
          <w:bCs w:val="0"/>
        </w:rPr>
      </w:pP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21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210"/>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144"/>
        <w:gridCol w:w="852"/>
        <w:gridCol w:w="567"/>
        <w:gridCol w:w="569"/>
        <w:gridCol w:w="991"/>
        <w:gridCol w:w="850"/>
        <w:gridCol w:w="1039"/>
        <w:gridCol w:w="1088"/>
        <w:gridCol w:w="794"/>
      </w:tblGrid>
      <w:tr>
        <w:trPr>
          <w:trHeight w:val="403"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46,049,661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25,892,535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-2,776,261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23,116,274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69,165,935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41.57%</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46,049,661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25,892,535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-2,776,261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23,116,274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69,165,935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41.57%</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46,049,661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44.28%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25,892,535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-2,776,261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23,116,274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69,165,935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41.57%</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57,950,339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36,507,465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2,776,261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39,283,726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97,234,065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58.43%</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57,950,339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36,507,465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2,776,261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39,283,726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97,234,065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58.43%</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213"/>
        <w:jc w:val="left"/>
      </w:pPr>
      <w:r>
        <w:rPr/>
        <w:t>股份变动的原因</w:t>
      </w:r>
    </w:p>
    <w:p>
      <w:pPr>
        <w:pStyle w:val="BodyText"/>
        <w:spacing w:line="338" w:lineRule="auto" w:before="117"/>
        <w:ind w:left="513" w:right="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报告期内，公司实施了</w:t>
      </w:r>
      <w:r>
        <w:rPr>
          <w:rFonts w:ascii="Times New Roman" w:hAnsi="Times New Roman" w:cs="Times New Roman" w:eastAsia="Times New Roman" w:hint="default"/>
          <w:spacing w:val="-2"/>
        </w:rPr>
        <w:t>2014</w:t>
      </w:r>
      <w:r>
        <w:rPr>
          <w:spacing w:val="-2"/>
        </w:rPr>
        <w:t>年度利润分配方案：以公司总股本</w:t>
      </w:r>
      <w:r>
        <w:rPr>
          <w:rFonts w:ascii="Times New Roman" w:hAnsi="Times New Roman" w:cs="Times New Roman" w:eastAsia="Times New Roman" w:hint="default"/>
          <w:spacing w:val="-2"/>
        </w:rPr>
        <w:t>104,000,000</w:t>
      </w:r>
      <w:r>
        <w:rPr>
          <w:spacing w:val="-2"/>
        </w:rPr>
        <w:t>股为基数，以资本公积金向全体股东每</w:t>
      </w:r>
      <w:r>
        <w:rPr>
          <w:rFonts w:ascii="Times New Roman" w:hAnsi="Times New Roman" w:cs="Times New Roman" w:eastAsia="Times New Roman" w:hint="default"/>
          <w:spacing w:val="-2"/>
        </w:rPr>
        <w:t>10</w:t>
      </w:r>
      <w:r>
        <w:rPr>
          <w:spacing w:val="-2"/>
        </w:rPr>
        <w:t>股转</w:t>
      </w:r>
    </w:p>
    <w:p>
      <w:pPr>
        <w:pStyle w:val="BodyText"/>
        <w:spacing w:line="230" w:lineRule="exact"/>
        <w:ind w:right="213"/>
        <w:jc w:val="left"/>
      </w:pPr>
      <w:r>
        <w:rPr/>
        <w:t>增</w:t>
      </w:r>
      <w:r>
        <w:rPr>
          <w:rFonts w:ascii="Times New Roman" w:hAnsi="Times New Roman" w:cs="Times New Roman" w:eastAsia="Times New Roman" w:hint="default"/>
        </w:rPr>
        <w:t>6</w:t>
      </w:r>
      <w:r>
        <w:rPr/>
        <w:t>股，转增后公司总股本增加至</w:t>
      </w:r>
      <w:r>
        <w:rPr>
          <w:rFonts w:ascii="Times New Roman" w:hAnsi="Times New Roman" w:cs="Times New Roman" w:eastAsia="Times New Roman" w:hint="default"/>
        </w:rPr>
        <w:t>166,400,000</w:t>
      </w:r>
      <w:r>
        <w:rPr/>
        <w:t>股。</w:t>
      </w:r>
    </w:p>
    <w:p>
      <w:pPr>
        <w:pStyle w:val="BodyText"/>
        <w:spacing w:line="240" w:lineRule="auto" w:before="103"/>
        <w:ind w:right="213"/>
        <w:jc w:val="left"/>
      </w:pPr>
      <w:r>
        <w:rPr/>
        <w:t>股份变动的批准情况</w:t>
      </w:r>
    </w:p>
    <w:p>
      <w:pPr>
        <w:pStyle w:val="BodyText"/>
        <w:spacing w:line="338" w:lineRule="auto" w:before="117"/>
        <w:ind w:left="513" w:right="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日召开的公司第二届董事会第十五次会议和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日召开的公司</w:t>
      </w:r>
      <w:r>
        <w:rPr>
          <w:rFonts w:ascii="Times New Roman" w:hAnsi="Times New Roman" w:cs="Times New Roman" w:eastAsia="Times New Roman" w:hint="default"/>
          <w:spacing w:val="-2"/>
        </w:rPr>
        <w:t>2014</w:t>
      </w:r>
      <w:r>
        <w:rPr>
          <w:spacing w:val="-2"/>
        </w:rPr>
        <w:t>年度股东大会审议通过，公司</w:t>
      </w:r>
    </w:p>
    <w:p>
      <w:pPr>
        <w:pStyle w:val="BodyText"/>
        <w:spacing w:line="230" w:lineRule="exact"/>
        <w:ind w:right="116"/>
        <w:jc w:val="left"/>
      </w:pPr>
      <w:r>
        <w:rPr>
          <w:rFonts w:ascii="Times New Roman" w:hAnsi="Times New Roman" w:cs="Times New Roman" w:eastAsia="Times New Roman" w:hint="default"/>
        </w:rPr>
        <w:t>2014</w:t>
      </w:r>
      <w:r>
        <w:rPr/>
        <w:t>年度利润分配方案为：以公司总股本</w:t>
      </w:r>
      <w:r>
        <w:rPr>
          <w:rFonts w:ascii="Times New Roman" w:hAnsi="Times New Roman" w:cs="Times New Roman" w:eastAsia="Times New Roman" w:hint="default"/>
        </w:rPr>
        <w:t>104,000,000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股，转增后公司总股</w:t>
      </w:r>
    </w:p>
    <w:p>
      <w:pPr>
        <w:pStyle w:val="BodyText"/>
        <w:spacing w:line="340" w:lineRule="auto" w:before="63"/>
        <w:ind w:right="4073"/>
        <w:jc w:val="left"/>
      </w:pPr>
      <w:r>
        <w:rPr/>
        <w:t>本增加至</w:t>
      </w:r>
      <w:r>
        <w:rPr>
          <w:rFonts w:ascii="Times New Roman" w:hAnsi="Times New Roman" w:cs="Times New Roman" w:eastAsia="Times New Roman" w:hint="default"/>
        </w:rPr>
        <w:t>166,400,000</w:t>
      </w:r>
      <w:r>
        <w:rPr/>
        <w:t>股。报告期内，公司实施了</w:t>
      </w:r>
      <w:r>
        <w:rPr>
          <w:rFonts w:ascii="Times New Roman" w:hAnsi="Times New Roman" w:cs="Times New Roman" w:eastAsia="Times New Roman" w:hint="default"/>
        </w:rPr>
        <w:t>2014</w:t>
      </w:r>
      <w:r>
        <w:rPr/>
        <w:t>年度利润分配方案。 股份变动的过户情况</w:t>
      </w:r>
    </w:p>
    <w:p>
      <w:pPr>
        <w:pStyle w:val="BodyText"/>
        <w:spacing w:line="240" w:lineRule="auto" w:before="41"/>
        <w:ind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21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日，公司实施完成了</w:t>
      </w:r>
      <w:r>
        <w:rPr>
          <w:rFonts w:ascii="Times New Roman" w:hAnsi="Times New Roman" w:cs="Times New Roman" w:eastAsia="Times New Roman" w:hint="default"/>
          <w:spacing w:val="-2"/>
        </w:rPr>
        <w:t>2014</w:t>
      </w:r>
      <w:r>
        <w:rPr>
          <w:spacing w:val="-2"/>
        </w:rPr>
        <w:t>年度利润分配方案。公司总股本由</w:t>
      </w:r>
      <w:r>
        <w:rPr>
          <w:rFonts w:ascii="Times New Roman" w:hAnsi="Times New Roman" w:cs="Times New Roman" w:eastAsia="Times New Roman" w:hint="default"/>
          <w:spacing w:val="-2"/>
        </w:rPr>
        <w:t>104,000,000</w:t>
      </w:r>
      <w:r>
        <w:rPr>
          <w:spacing w:val="-2"/>
        </w:rPr>
        <w:t>股增加至</w:t>
      </w:r>
      <w:r>
        <w:rPr>
          <w:rFonts w:ascii="Times New Roman" w:hAnsi="Times New Roman" w:cs="Times New Roman" w:eastAsia="Times New Roman" w:hint="default"/>
          <w:spacing w:val="-2"/>
        </w:rPr>
        <w:t>166,400,000</w:t>
      </w:r>
      <w:r>
        <w:rPr>
          <w:spacing w:val="-2"/>
        </w:rPr>
        <w:t>股。上述股份已</w:t>
      </w:r>
      <w:r>
        <w:rPr/>
        <w:t> 完成过户登记手续。</w:t>
      </w:r>
    </w:p>
    <w:p>
      <w:pPr>
        <w:pStyle w:val="BodyText"/>
        <w:spacing w:line="240" w:lineRule="auto" w:before="73"/>
        <w:ind w:right="213"/>
        <w:jc w:val="left"/>
      </w:pPr>
      <w:r>
        <w:rPr/>
        <w:t>股份变动对最近一年和最近一期基本每股收益和稀释每股收益、归属于公司普通股股东的每股净资产等财务指标的影响</w:t>
      </w:r>
    </w:p>
    <w:p>
      <w:pPr>
        <w:pStyle w:val="BodyText"/>
        <w:spacing w:line="338" w:lineRule="auto" w:before="117"/>
        <w:ind w:right="5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21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left="0" w:right="3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5"/>
        <w:jc w:val="right"/>
      </w:pPr>
      <w:r>
        <w:rPr/>
        <w:pict>
          <v:shape style="position:absolute;margin-left:56.424pt;margin-top:-51.988266pt;width:491.75pt;height:406.7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315"/>
                    <w:gridCol w:w="1697"/>
                    <w:gridCol w:w="1702"/>
                    <w:gridCol w:w="1316"/>
                    <w:gridCol w:w="955"/>
                    <w:gridCol w:w="198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60" w:hRule="exact"/>
                    </w:trPr>
                    <w:tc>
                      <w:tcPr>
                        <w:tcW w:w="852"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首次解除限</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17,640,317</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9,909,190</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26,424,507</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售，以后每年按照所持股</w:t>
                        </w:r>
                      </w:p>
                    </w:tc>
                  </w:tr>
                  <w:tr>
                    <w:trPr>
                      <w:trHeight w:val="355" w:hRule="exact"/>
                    </w:trPr>
                    <w:tc>
                      <w:tcPr>
                        <w:tcW w:w="852"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60" w:hRule="exact"/>
                    </w:trPr>
                    <w:tc>
                      <w:tcPr>
                        <w:tcW w:w="852"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首次解除限</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4,372,800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2,641,230</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6,990,030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售，以后每年按照所持股</w:t>
                        </w:r>
                      </w:p>
                    </w:tc>
                  </w:tr>
                  <w:tr>
                    <w:trPr>
                      <w:trHeight w:val="355" w:hRule="exact"/>
                    </w:trPr>
                    <w:tc>
                      <w:tcPr>
                        <w:tcW w:w="852"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2,588,655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6,886,455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61" w:hRule="exact"/>
                    </w:trPr>
                    <w:tc>
                      <w:tcPr>
                        <w:tcW w:w="852"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首次解除限</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187,500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806,925</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2,081,925</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pacing w:val="-6"/>
                            <w:sz w:val="18"/>
                            <w:szCs w:val="18"/>
                          </w:rPr>
                          <w:t>售，以后每年按照所持股</w:t>
                        </w:r>
                      </w:p>
                    </w:tc>
                  </w:tr>
                  <w:tr>
                    <w:trPr>
                      <w:trHeight w:val="355" w:hRule="exact"/>
                    </w:trPr>
                    <w:tc>
                      <w:tcPr>
                        <w:tcW w:w="852"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9" w:hRule="exact"/>
                    </w:trPr>
                    <w:tc>
                      <w:tcPr>
                        <w:tcW w:w="852"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首次解除限</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1,372,500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858,825</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2,231,325</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pacing w:val="-6"/>
                            <w:sz w:val="18"/>
                            <w:szCs w:val="18"/>
                          </w:rPr>
                          <w:t>售，以后每年按照所持股</w:t>
                        </w:r>
                      </w:p>
                    </w:tc>
                  </w:tr>
                  <w:tr>
                    <w:trPr>
                      <w:trHeight w:val="354" w:hRule="exact"/>
                    </w:trPr>
                    <w:tc>
                      <w:tcPr>
                        <w:tcW w:w="852"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1,344,375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744,994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906,443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658,125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513,750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46,049,661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26,011,710</w:t>
                        </w:r>
                      </w:p>
                    </w:tc>
                    <w:tc>
                      <w:tcPr>
                        <w:tcW w:w="13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69,165,935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26"/>
        <w:ind w:right="323"/>
        <w:jc w:val="left"/>
        <w:rPr>
          <w:b w:val="0"/>
          <w:bCs w:val="0"/>
        </w:rPr>
      </w:pP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32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3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3" w:right="323"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公司在报告期内实施了</w:t>
      </w:r>
      <w:r>
        <w:rPr>
          <w:rFonts w:ascii="Times New Roman" w:hAnsi="Times New Roman" w:cs="Times New Roman" w:eastAsia="Times New Roman" w:hint="default"/>
        </w:rPr>
        <w:t>2014</w:t>
      </w:r>
      <w:r>
        <w:rPr/>
        <w:t>年度分配方案，以公司总股本</w:t>
      </w:r>
      <w:r>
        <w:rPr>
          <w:rFonts w:ascii="Times New Roman" w:hAnsi="Times New Roman" w:cs="Times New Roman" w:eastAsia="Times New Roman" w:hint="default"/>
        </w:rPr>
        <w:t>104,000,000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p>
    <w:p>
      <w:pPr>
        <w:pStyle w:val="BodyText"/>
        <w:spacing w:line="228" w:lineRule="exact"/>
        <w:ind w:right="323"/>
        <w:jc w:val="left"/>
      </w:pPr>
      <w:r>
        <w:rPr/>
        <w:t>股，转增后公司总股本增加至</w:t>
      </w:r>
      <w:r>
        <w:rPr>
          <w:rFonts w:ascii="Times New Roman" w:hAnsi="Times New Roman" w:cs="Times New Roman" w:eastAsia="Times New Roman" w:hint="default"/>
        </w:rPr>
        <w:t>166,400,000</w:t>
      </w:r>
      <w:r>
        <w:rPr/>
        <w:t>股。</w:t>
      </w:r>
    </w:p>
    <w:p>
      <w:pPr>
        <w:spacing w:line="240" w:lineRule="auto" w:before="9"/>
        <w:rPr>
          <w:rFonts w:ascii="宋体" w:hAnsi="宋体" w:cs="宋体" w:eastAsia="宋体" w:hint="default"/>
          <w:sz w:val="26"/>
          <w:szCs w:val="26"/>
        </w:rPr>
      </w:pPr>
    </w:p>
    <w:p>
      <w:pPr>
        <w:pStyle w:val="Heading3"/>
        <w:spacing w:line="240" w:lineRule="auto"/>
        <w:ind w:right="3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shape style="position:absolute;margin-left:449.256989pt;margin-top:70.671692pt;width:85.75pt;height:31.2pt;mso-position-horizontal-relative:page;mso-position-vertical-relative:paragraph;z-index:-81133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5pt;margin-top:70.671692pt;width:52.5pt;height:31.2pt;mso-position-horizontal-relative:page;mso-position-vertical-relative:paragraph;z-index:-811312" coordorigin="9650,1413" coordsize="1050,624">
            <v:shape style="position:absolute;left:9650;top:1413;width:1050;height:624" coordorigin="9650,1413" coordsize="1050,624" path="m9650,2037l10699,2037,10699,1413,9650,1413,9650,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5"/>
        <w:gridCol w:w="199"/>
        <w:gridCol w:w="809"/>
        <w:gridCol w:w="125"/>
        <w:gridCol w:w="994"/>
        <w:gridCol w:w="319"/>
        <w:gridCol w:w="672"/>
        <w:gridCol w:w="548"/>
        <w:gridCol w:w="444"/>
        <w:gridCol w:w="860"/>
        <w:gridCol w:w="133"/>
        <w:gridCol w:w="632"/>
        <w:gridCol w:w="322"/>
        <w:gridCol w:w="180"/>
        <w:gridCol w:w="847"/>
        <w:gridCol w:w="280"/>
        <w:gridCol w:w="150"/>
        <w:gridCol w:w="920"/>
      </w:tblGrid>
      <w:tr>
        <w:trPr>
          <w:trHeight w:val="161" w:hRule="exact"/>
        </w:trPr>
        <w:tc>
          <w:tcPr>
            <w:tcW w:w="1334" w:type="dxa"/>
            <w:gridSpan w:val="2"/>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15,152</w:t>
            </w:r>
          </w:p>
        </w:tc>
        <w:tc>
          <w:tcPr>
            <w:tcW w:w="1438" w:type="dxa"/>
            <w:gridSpan w:val="3"/>
            <w:vMerge w:val="restart"/>
            <w:tcBorders>
              <w:top w:val="single" w:sz="4" w:space="0" w:color="000000"/>
              <w:left w:val="single" w:sz="4" w:space="0" w:color="000000"/>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15,356</w:t>
            </w:r>
          </w:p>
        </w:tc>
        <w:tc>
          <w:tcPr>
            <w:tcW w:w="13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gridSpan w:val="2"/>
            <w:vMerge/>
            <w:tcBorders>
              <w:left w:val="single" w:sz="4" w:space="0" w:color="000000"/>
              <w:right w:val="single" w:sz="4" w:space="0" w:color="000000"/>
            </w:tcBorders>
            <w:shd w:val="clear" w:color="auto" w:fill="D2D2D2"/>
          </w:tcPr>
          <w:p>
            <w:pPr/>
          </w:p>
        </w:tc>
        <w:tc>
          <w:tcPr>
            <w:tcW w:w="809" w:type="dxa"/>
            <w:vMerge/>
            <w:tcBorders>
              <w:left w:val="single" w:sz="9" w:space="0" w:color="D2D2D2"/>
              <w:right w:val="single" w:sz="10" w:space="0" w:color="D2D2D2"/>
            </w:tcBorders>
          </w:tcPr>
          <w:p>
            <w:pPr/>
          </w:p>
        </w:tc>
        <w:tc>
          <w:tcPr>
            <w:tcW w:w="1438" w:type="dxa"/>
            <w:gridSpan w:val="3"/>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0"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3"/>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12" w:space="0" w:color="D2D2D2"/>
              <w:right w:val="single" w:sz="4" w:space="0" w:color="000000"/>
            </w:tcBorders>
          </w:tcPr>
          <w:p>
            <w:pPr/>
          </w:p>
        </w:tc>
      </w:tr>
      <w:tr>
        <w:trPr>
          <w:trHeight w:val="156" w:hRule="exact"/>
        </w:trPr>
        <w:tc>
          <w:tcPr>
            <w:tcW w:w="1334" w:type="dxa"/>
            <w:gridSpan w:val="2"/>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9" w:space="0" w:color="D2D2D2"/>
              <w:right w:val="single" w:sz="10" w:space="0" w:color="D2D2D2"/>
            </w:tcBorders>
          </w:tcPr>
          <w:p>
            <w:pPr/>
          </w:p>
        </w:tc>
        <w:tc>
          <w:tcPr>
            <w:tcW w:w="143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2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12" w:space="0" w:color="D2D2D2"/>
              <w:right w:val="single" w:sz="4" w:space="0" w:color="000000"/>
            </w:tcBorders>
          </w:tcPr>
          <w:p>
            <w:pPr/>
          </w:p>
        </w:tc>
      </w:tr>
      <w:tr>
        <w:trPr>
          <w:trHeight w:val="703" w:hRule="exact"/>
        </w:trPr>
        <w:tc>
          <w:tcPr>
            <w:tcW w:w="133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vMerge/>
            <w:tcBorders>
              <w:left w:val="single" w:sz="9" w:space="0" w:color="D2D2D2"/>
              <w:right w:val="single" w:sz="10" w:space="0" w:color="D2D2D2"/>
            </w:tcBorders>
          </w:tcPr>
          <w:p>
            <w:pPr/>
          </w:p>
        </w:tc>
        <w:tc>
          <w:tcPr>
            <w:tcW w:w="1438" w:type="dxa"/>
            <w:gridSpan w:val="3"/>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12" w:space="0" w:color="D2D2D2"/>
              <w:right w:val="single" w:sz="4" w:space="0" w:color="000000"/>
            </w:tcBorders>
          </w:tcPr>
          <w:p>
            <w:pPr/>
          </w:p>
        </w:tc>
      </w:tr>
      <w:tr>
        <w:trPr>
          <w:trHeight w:val="156" w:hRule="exact"/>
        </w:trPr>
        <w:tc>
          <w:tcPr>
            <w:tcW w:w="1334" w:type="dxa"/>
            <w:gridSpan w:val="2"/>
            <w:vMerge w:val="restart"/>
            <w:tcBorders>
              <w:top w:val="nil" w:sz="6" w:space="0" w:color="auto"/>
              <w:left w:val="single" w:sz="4" w:space="0" w:color="000000"/>
              <w:right w:val="single" w:sz="4" w:space="0" w:color="000000"/>
            </w:tcBorders>
            <w:shd w:val="clear" w:color="auto" w:fill="D2D2D2"/>
          </w:tcPr>
          <w:p>
            <w:pPr/>
          </w:p>
        </w:tc>
        <w:tc>
          <w:tcPr>
            <w:tcW w:w="809" w:type="dxa"/>
            <w:vMerge/>
            <w:tcBorders>
              <w:left w:val="single" w:sz="9" w:space="0" w:color="D2D2D2"/>
              <w:right w:val="single" w:sz="10" w:space="0" w:color="D2D2D2"/>
            </w:tcBorders>
          </w:tcPr>
          <w:p>
            <w:pPr/>
          </w:p>
        </w:tc>
        <w:tc>
          <w:tcPr>
            <w:tcW w:w="1438" w:type="dxa"/>
            <w:gridSpan w:val="3"/>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12" w:space="0" w:color="D2D2D2"/>
              <w:right w:val="single" w:sz="4" w:space="0" w:color="000000"/>
            </w:tcBorders>
          </w:tcPr>
          <w:p>
            <w:pPr/>
          </w:p>
        </w:tc>
      </w:tr>
      <w:tr>
        <w:trPr>
          <w:trHeight w:val="156" w:hRule="exact"/>
        </w:trPr>
        <w:tc>
          <w:tcPr>
            <w:tcW w:w="1334" w:type="dxa"/>
            <w:gridSpan w:val="2"/>
            <w:vMerge/>
            <w:tcBorders>
              <w:left w:val="single" w:sz="4" w:space="0" w:color="000000"/>
              <w:right w:val="single" w:sz="4" w:space="0" w:color="000000"/>
            </w:tcBorders>
            <w:shd w:val="clear" w:color="auto" w:fill="D2D2D2"/>
          </w:tcPr>
          <w:p>
            <w:pPr/>
          </w:p>
        </w:tc>
        <w:tc>
          <w:tcPr>
            <w:tcW w:w="809" w:type="dxa"/>
            <w:vMerge/>
            <w:tcBorders>
              <w:left w:val="single" w:sz="9" w:space="0" w:color="D2D2D2"/>
              <w:right w:val="single" w:sz="10" w:space="0" w:color="D2D2D2"/>
            </w:tcBorders>
          </w:tcPr>
          <w:p>
            <w:pPr/>
          </w:p>
        </w:tc>
        <w:tc>
          <w:tcPr>
            <w:tcW w:w="1438" w:type="dxa"/>
            <w:gridSpan w:val="3"/>
            <w:vMerge w:val="restart"/>
            <w:tcBorders>
              <w:top w:val="nil" w:sz="6" w:space="0" w:color="auto"/>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0"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12" w:space="0" w:color="D2D2D2"/>
              <w:right w:val="single" w:sz="4" w:space="0" w:color="000000"/>
            </w:tcBorders>
          </w:tcPr>
          <w:p>
            <w:pPr/>
          </w:p>
        </w:tc>
      </w:tr>
      <w:tr>
        <w:trPr>
          <w:trHeight w:val="166" w:hRule="exact"/>
        </w:trPr>
        <w:tc>
          <w:tcPr>
            <w:tcW w:w="1334" w:type="dxa"/>
            <w:gridSpan w:val="2"/>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9" w:space="0" w:color="D2D2D2"/>
              <w:bottom w:val="single" w:sz="4" w:space="0" w:color="000000"/>
              <w:right w:val="single" w:sz="10" w:space="0" w:color="D2D2D2"/>
            </w:tcBorders>
          </w:tcPr>
          <w:p>
            <w:pPr/>
          </w:p>
        </w:tc>
        <w:tc>
          <w:tcPr>
            <w:tcW w:w="1438" w:type="dxa"/>
            <w:gridSpan w:val="3"/>
            <w:vMerge/>
            <w:tcBorders>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0" w:space="0" w:color="D2D2D2"/>
            </w:tcBorders>
          </w:tcPr>
          <w:p>
            <w:pPr/>
          </w:p>
        </w:tc>
        <w:tc>
          <w:tcPr>
            <w:tcW w:w="13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3"/>
            <w:vMerge/>
            <w:tcBorders>
              <w:left w:val="single" w:sz="10" w:space="0" w:color="D2D2D2"/>
              <w:bottom w:val="single" w:sz="4" w:space="0" w:color="000000"/>
              <w:right w:val="single" w:sz="13" w:space="0" w:color="D2D2D2"/>
            </w:tcBorders>
          </w:tcPr>
          <w:p>
            <w:pPr/>
          </w:p>
        </w:tc>
        <w:tc>
          <w:tcPr>
            <w:tcW w:w="1307" w:type="dxa"/>
            <w:gridSpan w:val="3"/>
            <w:vMerge/>
            <w:tcBorders>
              <w:left w:val="single" w:sz="4" w:space="0" w:color="000000"/>
              <w:bottom w:val="single" w:sz="4" w:space="0" w:color="000000"/>
              <w:right w:val="single" w:sz="4" w:space="0" w:color="000000"/>
            </w:tcBorders>
            <w:shd w:val="clear" w:color="auto" w:fill="D2D2D2"/>
          </w:tcPr>
          <w:p>
            <w:pPr/>
          </w:p>
        </w:tc>
        <w:tc>
          <w:tcPr>
            <w:tcW w:w="1070" w:type="dxa"/>
            <w:gridSpan w:val="2"/>
            <w:vMerge/>
            <w:tcBorders>
              <w:left w:val="single" w:sz="12" w:space="0" w:color="D2D2D2"/>
              <w:bottom w:val="single" w:sz="4" w:space="0" w:color="000000"/>
              <w:right w:val="single" w:sz="4" w:space="0" w:color="000000"/>
            </w:tcBorders>
          </w:tcPr>
          <w:p>
            <w:pPr/>
          </w:p>
        </w:tc>
      </w:tr>
      <w:tr>
        <w:trPr>
          <w:trHeight w:val="394" w:hRule="exact"/>
        </w:trPr>
        <w:tc>
          <w:tcPr>
            <w:tcW w:w="9568"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135" w:type="dxa"/>
            <w:vMerge w:val="restart"/>
            <w:tcBorders>
              <w:top w:val="single" w:sz="4" w:space="0" w:color="000000"/>
              <w:left w:val="single" w:sz="4" w:space="0" w:color="000000"/>
              <w:right w:val="single" w:sz="4" w:space="0" w:color="000000"/>
            </w:tcBorders>
            <w:shd w:val="clear" w:color="auto" w:fill="D2D2D2"/>
          </w:tcPr>
          <w:p>
            <w:pPr/>
          </w:p>
        </w:tc>
        <w:tc>
          <w:tcPr>
            <w:tcW w:w="1133" w:type="dxa"/>
            <w:gridSpan w:val="3"/>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3"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35" w:type="dxa"/>
            <w:vMerge/>
            <w:tcBorders>
              <w:left w:val="single" w:sz="4" w:space="0" w:color="000000"/>
              <w:bottom w:val="nil" w:sz="6" w:space="0" w:color="auto"/>
              <w:right w:val="single" w:sz="4" w:space="0" w:color="000000"/>
            </w:tcBorders>
            <w:shd w:val="clear" w:color="auto" w:fill="D2D2D2"/>
          </w:tcPr>
          <w:p>
            <w:pPr/>
          </w:p>
        </w:tc>
        <w:tc>
          <w:tcPr>
            <w:tcW w:w="1133" w:type="dxa"/>
            <w:gridSpan w:val="3"/>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2196" w:type="dxa"/>
            <w:gridSpan w:val="4"/>
            <w:vMerge/>
            <w:tcBorders>
              <w:left w:val="single" w:sz="4" w:space="0" w:color="000000"/>
              <w:right w:val="single" w:sz="4" w:space="0" w:color="000000"/>
            </w:tcBorders>
            <w:shd w:val="clear" w:color="auto" w:fill="D2D2D2"/>
          </w:tcPr>
          <w:p>
            <w:pPr/>
          </w:p>
        </w:tc>
      </w:tr>
      <w:tr>
        <w:trPr>
          <w:trHeight w:val="141" w:hRule="exact"/>
        </w:trPr>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2196"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135" w:type="dxa"/>
            <w:vMerge/>
            <w:tcBorders>
              <w:left w:val="single" w:sz="4" w:space="0" w:color="000000"/>
              <w:bottom w:val="nil" w:sz="6" w:space="0" w:color="auto"/>
              <w:right w:val="single" w:sz="4" w:space="0" w:color="000000"/>
            </w:tcBorders>
            <w:shd w:val="clear" w:color="auto" w:fill="D2D2D2"/>
          </w:tcPr>
          <w:p>
            <w:pPr/>
          </w:p>
        </w:tc>
        <w:tc>
          <w:tcPr>
            <w:tcW w:w="1133" w:type="dxa"/>
            <w:gridSpan w:val="3"/>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7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35" w:type="dxa"/>
            <w:vMerge w:val="restart"/>
            <w:tcBorders>
              <w:top w:val="nil" w:sz="6" w:space="0" w:color="auto"/>
              <w:left w:val="single" w:sz="4" w:space="0" w:color="000000"/>
              <w:right w:val="single" w:sz="4" w:space="0" w:color="000000"/>
            </w:tcBorders>
            <w:shd w:val="clear" w:color="auto" w:fill="D2D2D2"/>
          </w:tcPr>
          <w:p>
            <w:pPr/>
          </w:p>
        </w:tc>
        <w:tc>
          <w:tcPr>
            <w:tcW w:w="1133" w:type="dxa"/>
            <w:gridSpan w:val="3"/>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gridSpan w:val="3"/>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3"/>
            <w:vMerge/>
            <w:tcBorders>
              <w:left w:val="single" w:sz="4" w:space="0" w:color="000000"/>
              <w:bottom w:val="single" w:sz="4" w:space="0" w:color="000000"/>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35,232,677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13,212,254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26,424,507</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8,808,170</w:t>
            </w:r>
          </w:p>
        </w:tc>
        <w:tc>
          <w:tcPr>
            <w:tcW w:w="1277" w:type="dxa"/>
            <w:gridSpan w:val="3"/>
            <w:tcBorders>
              <w:top w:val="single" w:sz="44" w:space="0" w:color="D2D2D2"/>
              <w:left w:val="single" w:sz="4" w:space="0" w:color="000000"/>
              <w:bottom w:val="single" w:sz="4" w:space="0" w:color="000000"/>
              <w:right w:val="single" w:sz="4" w:space="0" w:color="000000"/>
            </w:tcBorders>
          </w:tcPr>
          <w:p>
            <w:pPr/>
          </w:p>
        </w:tc>
        <w:tc>
          <w:tcPr>
            <w:tcW w:w="920" w:type="dxa"/>
            <w:tcBorders>
              <w:top w:val="single" w:sz="44" w:space="0" w:color="D2D2D2"/>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22,560,000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8,460,000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16,920,000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5,640,000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11,970,000</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9,092,020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3,293,620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6,990,030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2,101,990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9,080,040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3,349,640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6,886,455</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2,193,585</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2,907,100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1,077,100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2,231,325</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675,775</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中央汇金资 产管理有限 责任公司</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2,884,700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2,884,700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2,884,700</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2,702,000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982,000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2,064,000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638,000</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2,595,900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895,900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2,081,925</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513,975</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2,595,000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802,500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2,151,000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444,000</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王成枢</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1,943,991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1,943,991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1,943,991</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 况（如有）（参见注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0" w:type="dxa"/>
            <w:gridSpan w:val="14"/>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26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300" w:type="dxa"/>
            <w:gridSpan w:val="14"/>
            <w:vMerge w:val="restart"/>
            <w:tcBorders>
              <w:top w:val="single" w:sz="4" w:space="0" w:color="000000"/>
              <w:left w:val="single" w:sz="9" w:space="0" w:color="D2D2D2"/>
              <w:right w:val="single" w:sz="4" w:space="0" w:color="000000"/>
            </w:tcBorders>
          </w:tcPr>
          <w:p>
            <w:pPr>
              <w:pStyle w:val="TableParagraph"/>
              <w:spacing w:line="316" w:lineRule="auto" w:before="49"/>
              <w:ind w:left="18" w:right="64"/>
              <w:jc w:val="both"/>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公司股东刘强先生和李杰先生为一致行动人；刘强先生和刘飞先生为兄弟关系；除此之外， 公司未知其他股东是否存在关联关系或属于《上市公司股东持股变动信息披露管理办法》规 定的一致行动人。</w:t>
            </w:r>
          </w:p>
        </w:tc>
      </w:tr>
      <w:tr>
        <w:trPr>
          <w:trHeight w:val="703" w:hRule="exact"/>
        </w:trPr>
        <w:tc>
          <w:tcPr>
            <w:tcW w:w="226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0" w:type="dxa"/>
            <w:gridSpan w:val="14"/>
            <w:vMerge/>
            <w:tcBorders>
              <w:left w:val="single" w:sz="9" w:space="0" w:color="D2D2D2"/>
              <w:right w:val="single" w:sz="4" w:space="0" w:color="000000"/>
            </w:tcBorders>
          </w:tcPr>
          <w:p>
            <w:pPr/>
          </w:p>
        </w:tc>
      </w:tr>
      <w:tr>
        <w:trPr>
          <w:trHeight w:val="161" w:hRule="exact"/>
        </w:trPr>
        <w:tc>
          <w:tcPr>
            <w:tcW w:w="226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300" w:type="dxa"/>
            <w:gridSpan w:val="14"/>
            <w:vMerge/>
            <w:tcBorders>
              <w:left w:val="single" w:sz="9" w:space="0" w:color="D2D2D2"/>
              <w:bottom w:val="single" w:sz="4" w:space="0" w:color="000000"/>
              <w:right w:val="single" w:sz="4" w:space="0" w:color="000000"/>
            </w:tcBorders>
          </w:tcPr>
          <w:p>
            <w:pPr/>
          </w:p>
        </w:tc>
      </w:tr>
      <w:tr>
        <w:trPr>
          <w:trHeight w:val="403" w:hRule="exact"/>
        </w:trPr>
        <w:tc>
          <w:tcPr>
            <w:tcW w:w="9568"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26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608"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26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08"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6"/>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2" w:type="dxa"/>
            <w:gridSpan w:val="5"/>
            <w:vMerge/>
            <w:tcBorders>
              <w:left w:val="single" w:sz="4" w:space="0" w:color="000000"/>
              <w:bottom w:val="nil" w:sz="6" w:space="0" w:color="auto"/>
              <w:right w:val="single" w:sz="4" w:space="0" w:color="000000"/>
            </w:tcBorders>
            <w:shd w:val="clear" w:color="auto" w:fill="D2D2D2"/>
          </w:tcPr>
          <w:p>
            <w:pPr/>
          </w:p>
        </w:tc>
        <w:tc>
          <w:tcPr>
            <w:tcW w:w="3608"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3608"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3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8,808,170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8,808,170</w:t>
            </w:r>
          </w:p>
        </w:tc>
      </w:tr>
      <w:tr>
        <w:trPr>
          <w:trHeight w:val="403" w:hRule="exact"/>
        </w:trPr>
        <w:tc>
          <w:tcPr>
            <w:tcW w:w="32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5,640,000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5,640,000</w:t>
            </w:r>
          </w:p>
        </w:tc>
      </w:tr>
      <w:tr>
        <w:trPr>
          <w:trHeight w:val="401" w:hRule="exact"/>
        </w:trPr>
        <w:tc>
          <w:tcPr>
            <w:tcW w:w="32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2,884,700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55"/>
        <w:jc w:val="right"/>
      </w:pPr>
      <w:r>
        <w:rPr/>
        <w:pict>
          <v:shape style="position:absolute;margin-left:56.424pt;margin-top:-239.578278pt;width:479.15pt;height:290.7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3608"/>
                    <w:gridCol w:w="1349"/>
                    <w:gridCol w:w="1349"/>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2,193,585</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2,101,990</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王成枢</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1,943,991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1,943,991</w:t>
                        </w:r>
                      </w:p>
                    </w:tc>
                  </w:tr>
                  <w:tr>
                    <w:trPr>
                      <w:trHeight w:val="71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中国工商银行股份有限公司－富国中证 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指数分级证券投资基金</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948,541</w:t>
                        </w:r>
                      </w:p>
                    </w:tc>
                  </w:tr>
                  <w:tr>
                    <w:trPr>
                      <w:trHeight w:val="71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北方国际信托股份有限公司－北方信托 稳赢一期证券投资集合资金信托计划</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805,600</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675,775</w:t>
                        </w:r>
                      </w:p>
                    </w:tc>
                  </w:tr>
                  <w:tr>
                    <w:trPr>
                      <w:trHeight w:val="1028"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8"/>
                          <w:jc w:val="both"/>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 </w:t>
                        </w:r>
                        <w:r>
                          <w:rPr>
                            <w:rFonts w:ascii="宋体" w:hAnsi="宋体" w:cs="宋体" w:eastAsia="宋体" w:hint="default"/>
                            <w:spacing w:val="-2"/>
                            <w:sz w:val="18"/>
                            <w:szCs w:val="18"/>
                          </w:rPr>
                          <w:t>除此之外，公司未知其他股东是否存在关联关系或属于《上市公司股东持股变动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信息披露管理办法》规定的一致行动人。</w:t>
                        </w:r>
                      </w:p>
                    </w:tc>
                  </w:tr>
                  <w:tr>
                    <w:trPr>
                      <w:trHeight w:val="133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12"/>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公司股东王成枢除通过普通证券账户持有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531,701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股外，还通过广发证券股份有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实际合计持有</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公司股东龙在平除通过普通证券账户持有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股外，还通过华泰证券股份有限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800,400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w:t>
      </w:r>
      <w:r>
        <w:rPr/>
        <w:t>是 </w:t>
      </w:r>
      <w:r>
        <w:rPr>
          <w:rFonts w:ascii="Times New Roman" w:hAnsi="Times New Roman" w:cs="Times New Roman" w:eastAsia="Times New Roman" w:hint="default"/>
        </w:rPr>
        <w:t>□  </w:t>
      </w:r>
      <w:r>
        <w:rPr/>
        <w:t>否</w:t>
      </w:r>
    </w:p>
    <w:p>
      <w:pPr>
        <w:pStyle w:val="BodyText"/>
        <w:spacing w:line="300" w:lineRule="auto" w:before="103"/>
        <w:ind w:right="154" w:firstLine="360"/>
        <w:jc w:val="left"/>
      </w:pPr>
      <w:r>
        <w:rPr/>
        <w:t>报告期内，股东王成枢约定购回股份数量为</w:t>
      </w:r>
      <w:r>
        <w:rPr>
          <w:spacing w:val="-47"/>
        </w:rPr>
        <w:t> </w:t>
      </w:r>
      <w:r>
        <w:rPr>
          <w:rFonts w:ascii="Times New Roman" w:hAnsi="Times New Roman" w:cs="Times New Roman" w:eastAsia="Times New Roman" w:hint="default"/>
        </w:rPr>
        <w:t>379,401 </w:t>
      </w:r>
      <w:r>
        <w:rPr/>
        <w:t>股；</w:t>
      </w:r>
      <w:r>
        <w:rPr>
          <w:rFonts w:ascii="Times New Roman" w:hAnsi="Times New Roman" w:cs="Times New Roman" w:eastAsia="Times New Roman" w:hint="default"/>
        </w:rPr>
        <w:t>2015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日，股东王成枢持股数量为</w:t>
      </w:r>
      <w:r>
        <w:rPr>
          <w:spacing w:val="-47"/>
        </w:rPr>
        <w:t> </w:t>
      </w:r>
      <w:r>
        <w:rPr>
          <w:rFonts w:ascii="Times New Roman" w:hAnsi="Times New Roman" w:cs="Times New Roman" w:eastAsia="Times New Roman" w:hint="default"/>
        </w:rPr>
        <w:t>1,943,991</w:t>
      </w:r>
      <w:r>
        <w:rPr>
          <w:rFonts w:ascii="Times New Roman" w:hAnsi="Times New Roman" w:cs="Times New Roman" w:eastAsia="Times New Roman" w:hint="default"/>
          <w:spacing w:val="1"/>
        </w:rPr>
        <w:t> </w:t>
      </w:r>
      <w:r>
        <w:rPr/>
        <w:t>股，持 股比例为</w:t>
      </w:r>
      <w:r>
        <w:rPr>
          <w:spacing w:val="-46"/>
        </w:rPr>
        <w:t> </w:t>
      </w:r>
      <w:r>
        <w:rPr>
          <w:rFonts w:ascii="Times New Roman" w:hAnsi="Times New Roman" w:cs="Times New Roman" w:eastAsia="Times New Roman" w:hint="default"/>
        </w:rPr>
        <w:t>1.17%</w:t>
      </w:r>
      <w:r>
        <w:rPr/>
        <w:t>。</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right="761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刘强任公司董事长、总经理；李杰任公司董事、北京庚顿数据科技有限公司董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事、北京华如科技股份有限公司董事长。</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实际控制人性质：境内自然人</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实际控制人类型：自然人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2122"/>
        <w:gridCol w:w="4122"/>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8"/>
              <w:jc w:val="left"/>
              <w:rPr>
                <w:rFonts w:ascii="宋体" w:hAnsi="宋体" w:cs="宋体" w:eastAsia="宋体" w:hint="default"/>
                <w:sz w:val="18"/>
                <w:szCs w:val="18"/>
              </w:rPr>
            </w:pPr>
            <w:r>
              <w:rPr>
                <w:rFonts w:ascii="宋体" w:hAnsi="宋体" w:cs="宋体" w:eastAsia="宋体" w:hint="default"/>
                <w:sz w:val="18"/>
                <w:szCs w:val="18"/>
              </w:rPr>
              <w:t>刘强任公司董事长、总经理；李杰任公司董事、北京庚顿数据科技有限公司董 事、北京华如科技股份有限公司董事长。</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34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5"/>
          <w:szCs w:val="15"/>
        </w:rPr>
      </w:pPr>
    </w:p>
    <w:p>
      <w:pPr>
        <w:spacing w:line="403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685" cy="2562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591685"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4"/>
        <w:rPr>
          <w:rFonts w:ascii="宋体" w:hAnsi="宋体" w:cs="宋体" w:eastAsia="宋体" w:hint="default"/>
          <w:sz w:val="13"/>
          <w:szCs w:val="13"/>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3"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75"/>
        <w:gridCol w:w="926"/>
        <w:gridCol w:w="593"/>
        <w:gridCol w:w="360"/>
        <w:gridCol w:w="360"/>
        <w:gridCol w:w="926"/>
        <w:gridCol w:w="927"/>
        <w:gridCol w:w="1068"/>
        <w:gridCol w:w="785"/>
        <w:gridCol w:w="785"/>
        <w:gridCol w:w="1068"/>
        <w:gridCol w:w="1068"/>
      </w:tblGrid>
      <w:tr>
        <w:trPr>
          <w:trHeight w:val="1027" w:hRule="exact"/>
        </w:trPr>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年 龄</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7"/>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22,020,423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13,212,254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35,232,677</w:t>
            </w:r>
          </w:p>
        </w:tc>
      </w:tr>
      <w:tr>
        <w:trPr>
          <w:trHeight w:val="71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22,560,000</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7"/>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5,730,400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3,438,240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9,080,040</w:t>
            </w:r>
          </w:p>
        </w:tc>
      </w:tr>
      <w:tr>
        <w:trPr>
          <w:trHeight w:val="7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副总经理、 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5,798,400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3,479,040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9,092,020</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2,907,100</w:t>
            </w:r>
          </w:p>
        </w:tc>
      </w:tr>
      <w:tr>
        <w:trPr>
          <w:trHeight w:val="7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2,702,000</w:t>
            </w:r>
          </w:p>
        </w:tc>
      </w:tr>
      <w:tr>
        <w:trPr>
          <w:trHeight w:val="71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2,595,900</w:t>
            </w:r>
          </w:p>
        </w:tc>
      </w:tr>
      <w:tr>
        <w:trPr>
          <w:trHeight w:val="71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653,750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1,046,000</w:t>
            </w:r>
          </w:p>
        </w:tc>
      </w:tr>
      <w:tr>
        <w:trPr>
          <w:trHeight w:val="102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副总经理、 董事会秘</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1,248,000</w:t>
            </w:r>
          </w:p>
        </w:tc>
      </w:tr>
      <w:tr>
        <w:trPr>
          <w:trHeight w:val="7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8"/>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75"/>
        <w:gridCol w:w="926"/>
        <w:gridCol w:w="593"/>
        <w:gridCol w:w="360"/>
        <w:gridCol w:w="360"/>
        <w:gridCol w:w="926"/>
        <w:gridCol w:w="927"/>
        <w:gridCol w:w="1068"/>
        <w:gridCol w:w="785"/>
        <w:gridCol w:w="785"/>
        <w:gridCol w:w="1068"/>
        <w:gridCol w:w="1068"/>
      </w:tblGrid>
      <w:tr>
        <w:trPr>
          <w:trHeight w:val="362" w:hRule="exact"/>
        </w:trPr>
        <w:tc>
          <w:tcPr>
            <w:tcW w:w="77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3"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54,332,973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158,900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627,920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32,599,784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86,463,737</w:t>
            </w:r>
          </w:p>
        </w:tc>
      </w:tr>
    </w:tbl>
    <w:p>
      <w:pPr>
        <w:spacing w:line="240" w:lineRule="auto" w:before="1"/>
        <w:rPr>
          <w:rFonts w:ascii="宋体" w:hAnsi="宋体" w:cs="宋体" w:eastAsia="宋体" w:hint="default"/>
          <w:b/>
          <w:bCs/>
          <w:sz w:val="18"/>
          <w:szCs w:val="18"/>
        </w:rPr>
      </w:pPr>
    </w:p>
    <w:p>
      <w:pPr>
        <w:pStyle w:val="Heading2"/>
        <w:spacing w:line="240" w:lineRule="auto" w:before="26"/>
        <w:ind w:right="187"/>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822"/>
        <w:gridCol w:w="3755"/>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因工作原因辞职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独立董事年限到期</w:t>
            </w:r>
          </w:p>
        </w:tc>
      </w:tr>
    </w:tbl>
    <w:p>
      <w:pPr>
        <w:spacing w:line="240" w:lineRule="auto" w:before="1"/>
        <w:rPr>
          <w:rFonts w:ascii="宋体" w:hAnsi="宋体" w:cs="宋体" w:eastAsia="宋体" w:hint="default"/>
          <w:b/>
          <w:bCs/>
          <w:sz w:val="18"/>
          <w:szCs w:val="18"/>
        </w:rPr>
      </w:pPr>
    </w:p>
    <w:p>
      <w:pPr>
        <w:pStyle w:val="Heading2"/>
        <w:spacing w:line="240" w:lineRule="auto" w:before="26"/>
        <w:ind w:right="187"/>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7"/>
        <w:jc w:val="left"/>
      </w:pPr>
      <w:r>
        <w:rPr/>
        <w:t>公司现任董事、监事、高级管理人员专业背景、主要工作经历以及目前在公司的主要职责</w:t>
      </w:r>
    </w:p>
    <w:p>
      <w:pPr>
        <w:pStyle w:val="BodyText"/>
        <w:spacing w:line="240" w:lineRule="auto" w:before="117"/>
        <w:ind w:left="513" w:right="187"/>
        <w:jc w:val="left"/>
      </w:pPr>
      <w:r>
        <w:rPr>
          <w:rFonts w:ascii="Times New Roman" w:hAnsi="Times New Roman" w:cs="Times New Roman" w:eastAsia="Times New Roman" w:hint="default"/>
        </w:rPr>
        <w:t>1</w:t>
      </w:r>
      <w:r>
        <w:rPr/>
        <w:t>、董事</w:t>
      </w:r>
    </w:p>
    <w:p>
      <w:pPr>
        <w:pStyle w:val="BodyText"/>
        <w:spacing w:line="307" w:lineRule="auto" w:before="63"/>
        <w:ind w:right="190" w:firstLine="360"/>
        <w:jc w:val="both"/>
      </w:pPr>
      <w:r>
        <w:rPr>
          <w:rFonts w:ascii="宋体" w:hAnsi="宋体" w:cs="宋体" w:eastAsia="宋体" w:hint="default"/>
          <w:b/>
          <w:bCs/>
          <w:spacing w:val="-2"/>
        </w:rPr>
        <w:t>刘强</w:t>
      </w:r>
      <w:r>
        <w:rPr>
          <w:spacing w:val="-2"/>
        </w:rPr>
        <w:t>，男，公司董事长、总经理，中国国籍，无境外永久居住权。刘强先生出生于</w:t>
      </w:r>
      <w:r>
        <w:rPr>
          <w:rFonts w:ascii="Times New Roman" w:hAnsi="Times New Roman" w:cs="Times New Roman" w:eastAsia="Times New Roman" w:hint="default"/>
          <w:spacing w:val="-2"/>
        </w:rPr>
        <w:t>1969</w:t>
      </w:r>
      <w:r>
        <w:rPr>
          <w:spacing w:val="-2"/>
        </w:rPr>
        <w:t>年，博士学位。刘强先生自</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年任北京君正集成电路有限公司董事长，领导研发了嵌入式</w:t>
      </w:r>
      <w:r>
        <w:rPr>
          <w:rFonts w:ascii="Times New Roman" w:hAnsi="Times New Roman" w:cs="Times New Roman" w:eastAsia="Times New Roman" w:hint="default"/>
        </w:rPr>
        <w:t>Xburst</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CPU</w:t>
      </w:r>
      <w:r>
        <w:rPr>
          <w:spacing w:val="-3"/>
        </w:rPr>
        <w:t>，现任公司董事长、总经理、深圳君正时代</w:t>
      </w:r>
      <w:r>
        <w:rPr/>
        <w:t> </w:t>
      </w:r>
      <w:r>
        <w:rPr>
          <w:spacing w:val="-2"/>
        </w:rPr>
        <w:t>集成电路有限公司执行董事、北京君诚易恒科技有限公司董事、合肥君正科技有限公司执行董事、北京集成电路产业发展股</w:t>
      </w:r>
      <w:r>
        <w:rPr>
          <w:spacing w:val="-63"/>
        </w:rPr>
        <w:t> </w:t>
      </w:r>
      <w:r>
        <w:rPr>
          <w:spacing w:val="-63"/>
        </w:rPr>
      </w:r>
      <w:r>
        <w:rPr/>
        <w:t>权投资基金有限公司独立董事。</w:t>
      </w:r>
    </w:p>
    <w:p>
      <w:pPr>
        <w:pStyle w:val="BodyText"/>
        <w:spacing w:line="309" w:lineRule="auto" w:before="26"/>
        <w:ind w:right="0" w:firstLine="360"/>
        <w:jc w:val="left"/>
      </w:pPr>
      <w:r>
        <w:rPr>
          <w:rFonts w:ascii="宋体" w:hAnsi="宋体" w:cs="宋体" w:eastAsia="宋体" w:hint="default"/>
          <w:b/>
          <w:bCs/>
          <w:spacing w:val="-2"/>
        </w:rPr>
        <w:t>李杰</w:t>
      </w:r>
      <w:r>
        <w:rPr>
          <w:spacing w:val="-2"/>
        </w:rPr>
        <w:t>，男，公司董事，中国国籍，无境外永久居住权。李杰先生出生于</w:t>
      </w:r>
      <w:r>
        <w:rPr>
          <w:rFonts w:ascii="Times New Roman" w:hAnsi="Times New Roman" w:cs="Times New Roman" w:eastAsia="Times New Roman" w:hint="default"/>
          <w:spacing w:val="-2"/>
        </w:rPr>
        <w:t>1963</w:t>
      </w:r>
      <w:r>
        <w:rPr>
          <w:spacing w:val="-2"/>
        </w:rPr>
        <w:t>年，硕士学位。李杰先生曾在中科院计算所</w:t>
      </w:r>
      <w:r>
        <w:rPr/>
        <w:t> </w:t>
      </w:r>
      <w:r>
        <w:rPr>
          <w:spacing w:val="-4"/>
        </w:rPr>
        <w:t>任职，从事大型机的研制工作，曾任北京庚顿数据科技有限公司执行董事，现任公司董事、北京庚顿数据科技有限公司董事、</w:t>
      </w:r>
      <w:r>
        <w:rPr>
          <w:spacing w:val="-46"/>
        </w:rPr>
        <w:t> </w:t>
      </w:r>
      <w:r>
        <w:rPr>
          <w:spacing w:val="-46"/>
        </w:rPr>
      </w:r>
      <w:r>
        <w:rPr/>
        <w:t>北京华如科技股份有限公司董事长。</w:t>
      </w:r>
    </w:p>
    <w:p>
      <w:pPr>
        <w:pStyle w:val="BodyText"/>
        <w:spacing w:line="300" w:lineRule="auto" w:before="24"/>
        <w:ind w:right="192" w:firstLine="360"/>
        <w:jc w:val="both"/>
      </w:pPr>
      <w:r>
        <w:rPr>
          <w:rFonts w:ascii="宋体" w:hAnsi="宋体" w:cs="宋体" w:eastAsia="宋体" w:hint="default"/>
          <w:b/>
          <w:bCs/>
          <w:spacing w:val="-2"/>
        </w:rPr>
        <w:t>张紧</w:t>
      </w:r>
      <w:r>
        <w:rPr>
          <w:spacing w:val="-2"/>
        </w:rPr>
        <w:t>，男，公司董事、副总经理，中国国籍，无境外永久居住权。张紧先生出生于</w:t>
      </w:r>
      <w:r>
        <w:rPr>
          <w:rFonts w:ascii="Times New Roman" w:hAnsi="Times New Roman" w:cs="Times New Roman" w:eastAsia="Times New Roman" w:hint="default"/>
          <w:spacing w:val="-2"/>
        </w:rPr>
        <w:t>1962</w:t>
      </w:r>
      <w:r>
        <w:rPr>
          <w:spacing w:val="-2"/>
        </w:rPr>
        <w:t>年，硕士学位。张紧先生自</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2009</w:t>
      </w:r>
      <w:r>
        <w:rPr>
          <w:spacing w:val="-2"/>
        </w:rPr>
        <w:t>年任北京君正集成电路有限公司董事、副总经理、技术总监，现任公司董事、副总经理、合肥君正科技有限公司总</w:t>
      </w:r>
      <w:r>
        <w:rPr>
          <w:spacing w:val="-65"/>
        </w:rPr>
        <w:t> </w:t>
      </w:r>
      <w:r>
        <w:rPr>
          <w:spacing w:val="-65"/>
        </w:rPr>
      </w:r>
      <w:r>
        <w:rPr/>
        <w:t>经理。张紧先生精通芯片的体系结构、微体系结构和逻辑电路，领导了公司多个嵌入式</w:t>
      </w:r>
      <w:r>
        <w:rPr>
          <w:rFonts w:ascii="Times New Roman" w:hAnsi="Times New Roman" w:cs="Times New Roman" w:eastAsia="Times New Roman" w:hint="default"/>
        </w:rPr>
        <w:t>CPU</w:t>
      </w:r>
      <w:r>
        <w:rPr/>
        <w:t>芯片研发项目。</w:t>
      </w:r>
    </w:p>
    <w:p>
      <w:pPr>
        <w:pStyle w:val="BodyText"/>
        <w:spacing w:line="300" w:lineRule="auto" w:before="13"/>
        <w:ind w:right="188" w:firstLine="360"/>
        <w:jc w:val="both"/>
      </w:pPr>
      <w:r>
        <w:rPr>
          <w:rFonts w:ascii="宋体" w:hAnsi="宋体" w:cs="宋体" w:eastAsia="宋体" w:hint="default"/>
          <w:b/>
          <w:bCs/>
          <w:spacing w:val="-2"/>
        </w:rPr>
        <w:t>冼永辉</w:t>
      </w:r>
      <w:r>
        <w:rPr>
          <w:spacing w:val="-2"/>
        </w:rPr>
        <w:t>，男，公司董事、副总经理，中国国籍，无境外永久居住权。冼永辉先生出生于</w:t>
      </w:r>
      <w:r>
        <w:rPr>
          <w:rFonts w:ascii="Times New Roman" w:hAnsi="Times New Roman" w:cs="Times New Roman" w:eastAsia="Times New Roman" w:hint="default"/>
          <w:spacing w:val="-2"/>
        </w:rPr>
        <w:t>1968</w:t>
      </w:r>
      <w:r>
        <w:rPr>
          <w:spacing w:val="-2"/>
        </w:rPr>
        <w:t>年，学士学位。冼永辉先生</w:t>
      </w:r>
      <w:r>
        <w:rPr/>
        <w:t> </w:t>
      </w:r>
      <w:r>
        <w:rPr>
          <w:spacing w:val="-2"/>
        </w:rPr>
        <w:t>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年任北京君正集成电路有限公司副总经理，现任公司董事、副总经理、北京君诚易恒科技有限公司董事。冼</w:t>
      </w:r>
      <w:r>
        <w:rPr>
          <w:spacing w:val="-63"/>
        </w:rPr>
        <w:t> </w:t>
      </w:r>
      <w:r>
        <w:rPr>
          <w:spacing w:val="-63"/>
        </w:rPr>
      </w:r>
      <w:r>
        <w:rPr>
          <w:spacing w:val="-1"/>
        </w:rPr>
        <w:t>永辉先生负责公司的系统软硬件工作，是硬件电路、操作系统底层、中间件领域的专家，主持了公司</w:t>
      </w:r>
      <w:r>
        <w:rPr>
          <w:rFonts w:ascii="Times New Roman" w:hAnsi="Times New Roman" w:cs="Times New Roman" w:eastAsia="Times New Roman" w:hint="default"/>
          <w:spacing w:val="-1"/>
        </w:rPr>
        <w:t>Linux</w:t>
      </w:r>
      <w:r>
        <w:rPr>
          <w:spacing w:val="-1"/>
        </w:rPr>
        <w:t>、</w:t>
      </w:r>
      <w:r>
        <w:rPr>
          <w:rFonts w:ascii="Times New Roman" w:hAnsi="Times New Roman" w:cs="Times New Roman" w:eastAsia="Times New Roman" w:hint="default"/>
          <w:spacing w:val="-1"/>
        </w:rPr>
        <w:t>Android</w:t>
      </w:r>
      <w:r>
        <w:rPr>
          <w:spacing w:val="-1"/>
        </w:rPr>
        <w:t>平台及</w:t>
      </w:r>
      <w:r>
        <w:rPr>
          <w:spacing w:val="-63"/>
        </w:rPr>
        <w:t> </w:t>
      </w:r>
      <w:r>
        <w:rPr>
          <w:spacing w:val="-63"/>
        </w:rPr>
      </w:r>
      <w:r>
        <w:rPr>
          <w:rFonts w:ascii="Times New Roman" w:hAnsi="Times New Roman" w:cs="Times New Roman" w:eastAsia="Times New Roman" w:hint="default"/>
        </w:rPr>
        <w:t>PMP</w:t>
      </w:r>
      <w:r>
        <w:rPr/>
        <w:t>方案和智能手机方案的研发项目。</w:t>
      </w:r>
    </w:p>
    <w:p>
      <w:pPr>
        <w:pStyle w:val="BodyText"/>
        <w:spacing w:line="300" w:lineRule="auto" w:before="13"/>
        <w:ind w:right="194" w:firstLine="360"/>
        <w:jc w:val="both"/>
      </w:pPr>
      <w:r>
        <w:rPr>
          <w:rFonts w:ascii="宋体" w:hAnsi="宋体" w:cs="宋体" w:eastAsia="宋体" w:hint="default"/>
          <w:b/>
          <w:bCs/>
          <w:spacing w:val="-2"/>
        </w:rPr>
        <w:t>蔡华波</w:t>
      </w:r>
      <w:r>
        <w:rPr>
          <w:spacing w:val="-2"/>
        </w:rPr>
        <w:t>，男，中国国籍，无境外永久居留权。蔡华波先生出生于</w:t>
      </w:r>
      <w:r>
        <w:rPr>
          <w:rFonts w:ascii="Times New Roman" w:hAnsi="Times New Roman" w:cs="Times New Roman" w:eastAsia="Times New Roman" w:hint="default"/>
          <w:spacing w:val="-2"/>
        </w:rPr>
        <w:t>1976</w:t>
      </w:r>
      <w:r>
        <w:rPr>
          <w:spacing w:val="-2"/>
        </w:rPr>
        <w:t>年，为深圳市江波龙电子有限公司创始人，现任深</w:t>
      </w:r>
      <w:r>
        <w:rPr/>
        <w:t> 圳市江波龙电子有限公司董事长。</w:t>
      </w:r>
    </w:p>
    <w:p>
      <w:pPr>
        <w:pStyle w:val="BodyText"/>
        <w:spacing w:line="312" w:lineRule="auto" w:before="31"/>
        <w:ind w:right="191" w:firstLine="360"/>
        <w:jc w:val="both"/>
      </w:pPr>
      <w:r>
        <w:rPr>
          <w:rFonts w:ascii="宋体" w:hAnsi="宋体" w:cs="宋体" w:eastAsia="宋体" w:hint="default"/>
          <w:b/>
          <w:bCs/>
          <w:spacing w:val="-2"/>
        </w:rPr>
        <w:t>李明高</w:t>
      </w:r>
      <w:r>
        <w:rPr>
          <w:spacing w:val="-2"/>
        </w:rPr>
        <w:t>，男，公司独立董事，中国国籍，无境外永久居留权。李明高先生出生于</w:t>
      </w:r>
      <w:r>
        <w:rPr>
          <w:rFonts w:ascii="Times New Roman" w:hAnsi="Times New Roman" w:cs="Times New Roman" w:eastAsia="Times New Roman" w:hint="default"/>
          <w:spacing w:val="-2"/>
        </w:rPr>
        <w:t>1970</w:t>
      </w:r>
      <w:r>
        <w:rPr>
          <w:spacing w:val="-2"/>
        </w:rPr>
        <w:t>年，硕士学位。李明高先生现任公</w:t>
      </w:r>
      <w:r>
        <w:rPr/>
        <w:t> </w:t>
      </w:r>
      <w:r>
        <w:rPr>
          <w:spacing w:val="-2"/>
        </w:rPr>
        <w:t>司独立董事、立信会计师事务所（特殊普通合伙）权益合伙人、北京工商大学外聘硕士生导师、对外经济贸易大学国际商学</w:t>
      </w:r>
      <w:r>
        <w:rPr>
          <w:spacing w:val="-67"/>
        </w:rPr>
        <w:t> </w:t>
      </w:r>
      <w:r>
        <w:rPr>
          <w:spacing w:val="-67"/>
        </w:rPr>
      </w:r>
      <w:r>
        <w:rPr>
          <w:spacing w:val="-2"/>
        </w:rPr>
        <w:t>院外聘硕士生导师、中国商业会计学会副会长、北京注册会计师协会理事、山西永东化工股份有限公司独立董事、北京盈建</w:t>
      </w:r>
      <w:r>
        <w:rPr>
          <w:spacing w:val="-66"/>
        </w:rPr>
        <w:t> </w:t>
      </w:r>
      <w:r>
        <w:rPr>
          <w:spacing w:val="-66"/>
        </w:rPr>
      </w:r>
      <w:r>
        <w:rPr/>
        <w:t>科软件股份有限公司董事。</w:t>
      </w:r>
    </w:p>
    <w:p>
      <w:pPr>
        <w:pStyle w:val="BodyText"/>
        <w:spacing w:line="300" w:lineRule="auto" w:before="22"/>
        <w:ind w:left="513" w:right="187"/>
        <w:jc w:val="left"/>
      </w:pPr>
      <w:r>
        <w:rPr>
          <w:rFonts w:ascii="Times New Roman" w:hAnsi="Times New Roman" w:cs="Times New Roman" w:eastAsia="Times New Roman" w:hint="default"/>
        </w:rPr>
        <w:t>2</w:t>
      </w:r>
      <w:r>
        <w:rPr/>
        <w:t>、监事 </w:t>
      </w:r>
      <w:r>
        <w:rPr>
          <w:rFonts w:ascii="宋体" w:hAnsi="宋体" w:cs="宋体" w:eastAsia="宋体" w:hint="default"/>
          <w:b/>
          <w:bCs/>
          <w:spacing w:val="-2"/>
        </w:rPr>
        <w:t>晏晓京</w:t>
      </w:r>
      <w:r>
        <w:rPr>
          <w:spacing w:val="-2"/>
        </w:rPr>
        <w:t>，女，公司监事会主席，中国国籍，无境外永久居住权。晏晓京女士出生于</w:t>
      </w:r>
      <w:r>
        <w:rPr>
          <w:rFonts w:ascii="Times New Roman" w:hAnsi="Times New Roman" w:cs="Times New Roman" w:eastAsia="Times New Roman" w:hint="default"/>
          <w:spacing w:val="-2"/>
        </w:rPr>
        <w:t>1965</w:t>
      </w:r>
      <w:r>
        <w:rPr>
          <w:spacing w:val="-2"/>
        </w:rPr>
        <w:t>年，学士学位，高级工程师。晏</w:t>
      </w:r>
    </w:p>
    <w:p>
      <w:pPr>
        <w:pStyle w:val="BodyText"/>
        <w:spacing w:line="300" w:lineRule="auto" w:before="13"/>
        <w:ind w:right="0"/>
        <w:jc w:val="left"/>
      </w:pPr>
      <w:r>
        <w:rPr>
          <w:spacing w:val="-2"/>
        </w:rPr>
        <w:t>晓京女士自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年任北京君正集成电路有限公司部门经理，现任公司监事会主席、部门经理。晏晓京女士对芯片的</w:t>
      </w:r>
      <w:r>
        <w:rPr>
          <w:spacing w:val="-63"/>
        </w:rPr>
        <w:t> </w:t>
      </w:r>
      <w:r>
        <w:rPr>
          <w:spacing w:val="-63"/>
        </w:rPr>
      </w:r>
      <w:r>
        <w:rPr>
          <w:spacing w:val="-3"/>
        </w:rPr>
        <w:t>外围接口电路有丰富的经验，主持设计了闪存接口、</w:t>
      </w:r>
      <w:r>
        <w:rPr>
          <w:rFonts w:ascii="Times New Roman" w:hAnsi="Times New Roman" w:cs="Times New Roman" w:eastAsia="Times New Roman" w:hint="default"/>
          <w:spacing w:val="-3"/>
        </w:rPr>
        <w:t>UART</w:t>
      </w:r>
      <w:r>
        <w:rPr>
          <w:spacing w:val="-3"/>
        </w:rPr>
        <w:t>等多个模块，同时具体负责</w:t>
      </w:r>
      <w:r>
        <w:rPr>
          <w:rFonts w:ascii="Times New Roman" w:hAnsi="Times New Roman" w:cs="Times New Roman" w:eastAsia="Times New Roman" w:hint="default"/>
          <w:spacing w:val="-3"/>
        </w:rPr>
        <w:t>SOC</w:t>
      </w:r>
      <w:r>
        <w:rPr>
          <w:spacing w:val="-3"/>
        </w:rPr>
        <w:t>芯片从规格定义到量产的全过程。</w:t>
      </w:r>
    </w:p>
    <w:p>
      <w:pPr>
        <w:pStyle w:val="BodyText"/>
        <w:spacing w:line="300" w:lineRule="auto" w:before="13"/>
        <w:ind w:right="188" w:firstLine="360"/>
        <w:jc w:val="both"/>
      </w:pPr>
      <w:r>
        <w:rPr>
          <w:rFonts w:ascii="宋体" w:hAnsi="宋体" w:cs="宋体" w:eastAsia="宋体" w:hint="default"/>
          <w:b/>
          <w:bCs/>
          <w:spacing w:val="-2"/>
        </w:rPr>
        <w:t>许志鹏</w:t>
      </w:r>
      <w:r>
        <w:rPr>
          <w:spacing w:val="-2"/>
        </w:rPr>
        <w:t>，男，公司监事，中国国籍，无境外永久居住权。许志鹏先生出生于</w:t>
      </w:r>
      <w:r>
        <w:rPr>
          <w:rFonts w:ascii="Times New Roman" w:hAnsi="Times New Roman" w:cs="Times New Roman" w:eastAsia="Times New Roman" w:hint="default"/>
          <w:spacing w:val="-2"/>
        </w:rPr>
        <w:t>1973</w:t>
      </w:r>
      <w:r>
        <w:rPr>
          <w:spacing w:val="-2"/>
        </w:rPr>
        <w:t>年，学士学位。许志鹏先生自</w:t>
      </w:r>
      <w:r>
        <w:rPr>
          <w:rFonts w:ascii="Times New Roman" w:hAnsi="Times New Roman" w:cs="Times New Roman" w:eastAsia="Times New Roman" w:hint="default"/>
          <w:spacing w:val="-2"/>
        </w:rPr>
        <w:t>2005</w:t>
      </w:r>
      <w:r>
        <w:rPr>
          <w:spacing w:val="-2"/>
        </w:rPr>
        <w:t>年至</w:t>
      </w:r>
      <w:r>
        <w:rPr/>
        <w:t> </w:t>
      </w:r>
      <w:r>
        <w:rPr>
          <w:rFonts w:ascii="Times New Roman" w:hAnsi="Times New Roman" w:cs="Times New Roman" w:eastAsia="Times New Roman" w:hint="default"/>
        </w:rPr>
        <w:t>2009</w:t>
      </w:r>
      <w:r>
        <w:rPr/>
        <w:t>年任北京君正集成电路有限公司部门经理，现任公司监事、行业事业部总监。许志鹏先生精通</w:t>
      </w:r>
      <w:r>
        <w:rPr>
          <w:rFonts w:ascii="Times New Roman" w:hAnsi="Times New Roman" w:cs="Times New Roman" w:eastAsia="Times New Roman" w:hint="default"/>
        </w:rPr>
        <w:t>Linux</w:t>
      </w:r>
      <w:r>
        <w:rPr/>
        <w:t>操作系统软件和多 媒体软件，领导了公司操作系统底层的研制和多媒体播放器软件的研制。</w:t>
      </w:r>
    </w:p>
    <w:p>
      <w:pPr>
        <w:pStyle w:val="BodyText"/>
        <w:spacing w:line="300" w:lineRule="auto" w:before="31"/>
        <w:ind w:right="285" w:firstLine="360"/>
        <w:jc w:val="both"/>
      </w:pPr>
      <w:r>
        <w:rPr>
          <w:rFonts w:ascii="宋体" w:hAnsi="宋体" w:cs="宋体" w:eastAsia="宋体" w:hint="default"/>
          <w:b/>
          <w:bCs/>
        </w:rPr>
        <w:t>刘飞</w:t>
      </w:r>
      <w:r>
        <w:rPr/>
        <w:t>，男，公司职工代表监事，中国国籍，无境外永久居住权。刘飞先生出生于</w:t>
      </w:r>
      <w:r>
        <w:rPr>
          <w:rFonts w:ascii="Times New Roman" w:hAnsi="Times New Roman" w:cs="Times New Roman" w:eastAsia="Times New Roman" w:hint="default"/>
        </w:rPr>
        <w:t>1972</w:t>
      </w:r>
      <w:r>
        <w:rPr/>
        <w:t>年，学士学位。刘飞先生自</w:t>
      </w:r>
      <w:r>
        <w:rPr>
          <w:rFonts w:ascii="Times New Roman" w:hAnsi="Times New Roman" w:cs="Times New Roman" w:eastAsia="Times New Roman" w:hint="default"/>
        </w:rPr>
        <w:t>2005 </w:t>
      </w:r>
      <w:r>
        <w:rPr/>
        <w:t>年至</w:t>
      </w:r>
      <w:r>
        <w:rPr>
          <w:rFonts w:ascii="Times New Roman" w:hAnsi="Times New Roman" w:cs="Times New Roman" w:eastAsia="Times New Roman" w:hint="default"/>
        </w:rPr>
        <w:t>2009</w:t>
      </w:r>
      <w:r>
        <w:rPr/>
        <w:t>年任北京君正集成电路有限公司项目经理，现任公司职工代表监事。</w:t>
      </w:r>
    </w:p>
    <w:p>
      <w:pPr>
        <w:pStyle w:val="BodyText"/>
        <w:spacing w:line="240" w:lineRule="auto" w:before="13"/>
        <w:ind w:left="513" w:right="187"/>
        <w:jc w:val="left"/>
      </w:pPr>
      <w:r>
        <w:rPr>
          <w:rFonts w:ascii="Times New Roman" w:hAnsi="Times New Roman" w:cs="Times New Roman" w:eastAsia="Times New Roman" w:hint="default"/>
        </w:rPr>
        <w:t>3</w:t>
      </w:r>
      <w:r>
        <w:rPr/>
        <w:t>、高级管理人员</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87"/>
        <w:jc w:val="left"/>
      </w:pPr>
      <w:r>
        <w:rPr>
          <w:rFonts w:ascii="宋体" w:hAnsi="宋体" w:cs="宋体" w:eastAsia="宋体" w:hint="default"/>
          <w:b/>
          <w:bCs/>
        </w:rPr>
        <w:t>刘强</w:t>
      </w:r>
      <w:r>
        <w:rPr/>
        <w:t>，公司董事长、总经理，其个人简历详见本节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38" w:lineRule="auto" w:before="104"/>
        <w:ind w:left="513" w:right="2741"/>
        <w:jc w:val="left"/>
      </w:pPr>
      <w:r>
        <w:rPr>
          <w:rFonts w:ascii="宋体" w:hAnsi="宋体" w:cs="宋体" w:eastAsia="宋体" w:hint="default"/>
          <w:b/>
          <w:bCs/>
        </w:rPr>
        <w:t>张紧</w:t>
      </w:r>
      <w:r>
        <w:rPr/>
        <w:t>，公司董事、副总经理，其个人简历详见本节之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w:t>
      </w:r>
      <w:r>
        <w:rPr>
          <w:rFonts w:ascii="宋体" w:hAnsi="宋体" w:cs="宋体" w:eastAsia="宋体" w:hint="default"/>
          <w:b/>
          <w:bCs/>
        </w:rPr>
        <w:t>冼永辉</w:t>
      </w:r>
      <w:r>
        <w:rPr/>
        <w:t>，公司董事、副总经理，其个人简历详见本节之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0" w:lineRule="auto" w:before="22"/>
        <w:ind w:right="190" w:firstLine="360"/>
        <w:jc w:val="both"/>
      </w:pPr>
      <w:r>
        <w:rPr>
          <w:rFonts w:ascii="宋体" w:hAnsi="宋体" w:cs="宋体" w:eastAsia="宋体" w:hint="default"/>
          <w:b/>
          <w:bCs/>
          <w:spacing w:val="-2"/>
        </w:rPr>
        <w:t>张敏</w:t>
      </w:r>
      <w:r>
        <w:rPr>
          <w:spacing w:val="-2"/>
        </w:rPr>
        <w:t>，女，公司副总经理、董事会秘书，中国国籍，无境外永久居住权。张敏女士出生于</w:t>
      </w:r>
      <w:r>
        <w:rPr>
          <w:rFonts w:ascii="Times New Roman" w:hAnsi="Times New Roman" w:cs="Times New Roman" w:eastAsia="Times New Roman" w:hint="default"/>
          <w:spacing w:val="-2"/>
        </w:rPr>
        <w:t>1973</w:t>
      </w:r>
      <w:r>
        <w:rPr>
          <w:spacing w:val="-2"/>
        </w:rPr>
        <w:t>年，硕士学位。张敏女士</w:t>
      </w:r>
      <w:r>
        <w:rPr/>
        <w:t> </w:t>
      </w:r>
      <w:r>
        <w:rPr>
          <w:spacing w:val="-2"/>
        </w:rPr>
        <w:t>自</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年任北京君正集成电路有限公司商务总监，现任公司副总经理、董事会秘书、深圳君正时代集成电路有限公</w:t>
      </w:r>
      <w:r>
        <w:rPr>
          <w:spacing w:val="-60"/>
        </w:rPr>
        <w:t> </w:t>
      </w:r>
      <w:r>
        <w:rPr>
          <w:spacing w:val="-60"/>
        </w:rPr>
      </w:r>
      <w:r>
        <w:rPr/>
        <w:t>司监事、北京君诚易恒科技有限公司监事。</w:t>
      </w:r>
    </w:p>
    <w:p>
      <w:pPr>
        <w:pStyle w:val="BodyText"/>
        <w:spacing w:line="300" w:lineRule="auto" w:before="31"/>
        <w:ind w:right="189" w:firstLine="360"/>
        <w:jc w:val="both"/>
      </w:pPr>
      <w:r>
        <w:rPr>
          <w:rFonts w:ascii="宋体" w:hAnsi="宋体" w:cs="宋体" w:eastAsia="宋体" w:hint="default"/>
          <w:b/>
          <w:bCs/>
          <w:spacing w:val="-2"/>
        </w:rPr>
        <w:t>张燕祥</w:t>
      </w:r>
      <w:r>
        <w:rPr>
          <w:spacing w:val="-2"/>
        </w:rPr>
        <w:t>，女，公司副总经理，中国国籍，无境外永久居住权。张燕祥女士出生于</w:t>
      </w:r>
      <w:r>
        <w:rPr>
          <w:rFonts w:ascii="Times New Roman" w:hAnsi="Times New Roman" w:cs="Times New Roman" w:eastAsia="Times New Roman" w:hint="default"/>
          <w:spacing w:val="-2"/>
        </w:rPr>
        <w:t>1968</w:t>
      </w:r>
      <w:r>
        <w:rPr>
          <w:spacing w:val="-2"/>
        </w:rPr>
        <w:t>年，学士学位。张燕祥女士自</w:t>
      </w:r>
      <w:r>
        <w:rPr>
          <w:rFonts w:ascii="Times New Roman" w:hAnsi="Times New Roman" w:cs="Times New Roman" w:eastAsia="Times New Roman" w:hint="default"/>
          <w:spacing w:val="-2"/>
        </w:rPr>
        <w:t>2006</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年任北京君正集成电路有限公司财务总监，</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2015</w:t>
      </w:r>
      <w:r>
        <w:rPr/>
        <w:t>年任公司副总经理、财务总监，现任公司副总经理。</w:t>
      </w:r>
    </w:p>
    <w:p>
      <w:pPr>
        <w:pStyle w:val="BodyText"/>
        <w:spacing w:line="300" w:lineRule="auto" w:before="13"/>
        <w:ind w:right="189" w:firstLine="360"/>
        <w:jc w:val="both"/>
      </w:pPr>
      <w:r>
        <w:rPr>
          <w:rFonts w:ascii="宋体" w:hAnsi="宋体" w:cs="宋体" w:eastAsia="宋体" w:hint="default"/>
          <w:b/>
          <w:bCs/>
          <w:spacing w:val="-2"/>
        </w:rPr>
        <w:t>周生雷</w:t>
      </w:r>
      <w:r>
        <w:rPr>
          <w:spacing w:val="-2"/>
        </w:rPr>
        <w:t>，男，公司副总经理，中国国籍，无境外永久居住权。周生雷先生出生于</w:t>
      </w:r>
      <w:r>
        <w:rPr>
          <w:rFonts w:ascii="Times New Roman" w:hAnsi="Times New Roman" w:cs="Times New Roman" w:eastAsia="Times New Roman" w:hint="default"/>
          <w:spacing w:val="-2"/>
        </w:rPr>
        <w:t>1975</w:t>
      </w:r>
      <w:r>
        <w:rPr>
          <w:spacing w:val="-2"/>
        </w:rPr>
        <w:t>年，硕士学位。周生雷先生自</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年任北京君正集成电路有限公司市场总监，现任公司副总经理。</w:t>
      </w:r>
    </w:p>
    <w:p>
      <w:pPr>
        <w:pStyle w:val="BodyText"/>
        <w:spacing w:line="300" w:lineRule="auto" w:before="13"/>
        <w:ind w:right="188" w:firstLine="360"/>
        <w:jc w:val="both"/>
      </w:pPr>
      <w:r>
        <w:rPr>
          <w:rFonts w:ascii="宋体" w:hAnsi="宋体" w:cs="宋体" w:eastAsia="宋体" w:hint="default"/>
          <w:b/>
          <w:bCs/>
          <w:spacing w:val="-2"/>
        </w:rPr>
        <w:t>叶飞</w:t>
      </w:r>
      <w:r>
        <w:rPr>
          <w:spacing w:val="-2"/>
        </w:rPr>
        <w:t>，男，公司副总经理、财务总监，中国国籍，无境外永久居住权。叶飞先生出生于</w:t>
      </w:r>
      <w:r>
        <w:rPr>
          <w:rFonts w:ascii="Times New Roman" w:hAnsi="Times New Roman" w:cs="Times New Roman" w:eastAsia="Times New Roman" w:hint="default"/>
          <w:spacing w:val="-2"/>
        </w:rPr>
        <w:t>1979</w:t>
      </w:r>
      <w:r>
        <w:rPr>
          <w:spacing w:val="-2"/>
        </w:rPr>
        <w:t>年，学士学位，中国注册会</w:t>
      </w:r>
      <w:r>
        <w:rPr/>
        <w:t> </w:t>
      </w:r>
      <w:r>
        <w:rPr>
          <w:spacing w:val="-2"/>
        </w:rPr>
        <w:t>计师、澳洲注册会计师。叶飞先生曾任北京兴华会计师事务所审计部高级经理，自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年任公司财务经理，现任公</w:t>
      </w:r>
      <w:r>
        <w:rPr>
          <w:spacing w:val="-57"/>
        </w:rPr>
        <w:t> </w:t>
      </w:r>
      <w:r>
        <w:rPr>
          <w:spacing w:val="-57"/>
        </w:rPr>
      </w:r>
      <w:r>
        <w:rPr/>
        <w:t>司副总经理、财务总监。</w:t>
      </w:r>
    </w:p>
    <w:p>
      <w:pPr>
        <w:pStyle w:val="BodyText"/>
        <w:spacing w:line="240" w:lineRule="auto" w:before="72"/>
        <w:ind w:right="187"/>
        <w:jc w:val="left"/>
      </w:pPr>
      <w:r>
        <w:rPr/>
        <w:t>在股东单位任职情况</w:t>
      </w:r>
    </w:p>
    <w:p>
      <w:pPr>
        <w:pStyle w:val="BodyText"/>
        <w:spacing w:line="340" w:lineRule="auto" w:before="115"/>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8"/>
        <w:gridCol w:w="3087"/>
        <w:gridCol w:w="1123"/>
        <w:gridCol w:w="1570"/>
        <w:gridCol w:w="994"/>
        <w:gridCol w:w="1457"/>
      </w:tblGrid>
      <w:tr>
        <w:trPr>
          <w:trHeight w:val="715"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93"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深圳市江波龙电子有限公司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权益合伙人</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87"/>
        <w:jc w:val="left"/>
      </w:pPr>
      <w:r>
        <w:rPr/>
        <w:t>公司现任及报告期内离任董事、监事和高级管理人员近三年证券监管机构处罚的情况</w:t>
      </w:r>
    </w:p>
    <w:p>
      <w:pPr>
        <w:pStyle w:val="BodyText"/>
        <w:spacing w:line="240" w:lineRule="auto" w:before="117"/>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7"/>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93" w:hanging="360"/>
        <w:jc w:val="left"/>
      </w:pPr>
      <w:r>
        <w:rPr/>
        <w:t>董事、监事、高级管理人员报酬的决策程序、确定依据、实际支付情况 董事、监事、高级管理人员报酬的决策程序：独立董事津贴由董事会提名与薪酬委员会提出方案，董事会审议通过后，</w:t>
      </w:r>
    </w:p>
    <w:p>
      <w:pPr>
        <w:pStyle w:val="BodyText"/>
        <w:spacing w:line="222" w:lineRule="exact"/>
        <w:ind w:right="0"/>
        <w:jc w:val="left"/>
      </w:pPr>
      <w:r>
        <w:rPr/>
        <w:t>提交股东大会审议；公司董事和监事不领取董事、监事津贴，只领取在公司担任其他职务的职务薪酬；高级管理人员薪酬由</w:t>
      </w:r>
    </w:p>
    <w:p>
      <w:pPr>
        <w:pStyle w:val="BodyText"/>
        <w:spacing w:line="316" w:lineRule="auto" w:before="77"/>
        <w:ind w:left="513" w:right="187" w:hanging="360"/>
        <w:jc w:val="left"/>
      </w:pPr>
      <w:r>
        <w:rPr/>
        <w:t>董事会提名与薪酬委员会提出方案，董事会审议。 </w:t>
      </w:r>
      <w:r>
        <w:rPr>
          <w:spacing w:val="-2"/>
        </w:rPr>
        <w:t>董事、监事、高级管理人员报酬确定依据：公司董事、监事及高级管理人员薪酬根据公司《董事、监事、高级管理人员</w:t>
      </w:r>
    </w:p>
    <w:p>
      <w:pPr>
        <w:pStyle w:val="BodyText"/>
        <w:spacing w:line="316" w:lineRule="auto" w:before="19"/>
        <w:ind w:left="513" w:right="0" w:hanging="360"/>
        <w:jc w:val="left"/>
      </w:pPr>
      <w:r>
        <w:rPr/>
        <w:t>薪酬及绩效考核管理制度》确定，由董事会提名与薪酬委员会组织并考核。 </w:t>
      </w:r>
      <w:r>
        <w:rPr>
          <w:spacing w:val="-4"/>
        </w:rPr>
        <w:t>董事、监事和高级管理人员报酬的实际支付情况：独立董事津贴按季度发放；董事、监事和高级管理人员薪酬按月发放，</w:t>
      </w:r>
    </w:p>
    <w:p>
      <w:pPr>
        <w:pStyle w:val="BodyText"/>
        <w:spacing w:line="360" w:lineRule="auto" w:before="19"/>
        <w:ind w:right="5853"/>
        <w:jc w:val="left"/>
      </w:pPr>
      <w:r>
        <w:rPr/>
        <w:t>奖金年度发放。 公司报告期内董事、监事和高级管理人员报酬情况</w:t>
      </w:r>
    </w:p>
    <w:p>
      <w:pPr>
        <w:pStyle w:val="BodyText"/>
        <w:spacing w:line="240" w:lineRule="auto" w:before="24"/>
        <w:ind w:left="0" w:right="191"/>
        <w:jc w:val="right"/>
      </w:pPr>
      <w:r>
        <w:rPr/>
        <w:t>单位：万元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75"/>
        <w:gridCol w:w="2038"/>
        <w:gridCol w:w="595"/>
        <w:gridCol w:w="595"/>
        <w:gridCol w:w="958"/>
        <w:gridCol w:w="2396"/>
        <w:gridCol w:w="2312"/>
      </w:tblGrid>
      <w:tr>
        <w:trPr>
          <w:trHeight w:val="401" w:hRule="exact"/>
        </w:trPr>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冼永辉</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王芹生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傅代国</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李明高</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蔡华波</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晏晓京</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许志鹏</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张燕祥</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周生雷</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副总经理、财务总监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270.4</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bl>
    <w:p>
      <w:pPr>
        <w:spacing w:line="240" w:lineRule="auto" w:before="9"/>
        <w:rPr>
          <w:rFonts w:ascii="宋体" w:hAnsi="宋体" w:cs="宋体" w:eastAsia="宋体" w:hint="default"/>
          <w:b/>
          <w:bCs/>
          <w:sz w:val="19"/>
          <w:szCs w:val="19"/>
        </w:rPr>
      </w:pPr>
    </w:p>
    <w:p>
      <w:pPr>
        <w:pStyle w:val="Heading3"/>
        <w:spacing w:line="240" w:lineRule="auto" w:before="37"/>
        <w:ind w:right="187"/>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87" w:firstLine="360"/>
        <w:jc w:val="left"/>
      </w:pPr>
      <w:r>
        <w:rPr>
          <w:spacing w:val="-2"/>
        </w:rPr>
        <w:t>公司在遵守国家相关法律法规的基础上，根据公司战略方向、经营目标，基于公平、公正和市场化原则，建立了具备市</w:t>
      </w:r>
      <w:r>
        <w:rPr/>
        <w:t> 场竞争力的薪酬体系，同时公司还建立了全面的福利保障体系，包括社会保险、住房公积金、工会福利等。</w:t>
      </w:r>
    </w:p>
    <w:p>
      <w:pPr>
        <w:spacing w:line="240" w:lineRule="auto" w:before="4"/>
        <w:rPr>
          <w:rFonts w:ascii="宋体" w:hAnsi="宋体" w:cs="宋体" w:eastAsia="宋体" w:hint="default"/>
          <w:sz w:val="23"/>
          <w:szCs w:val="23"/>
        </w:rPr>
      </w:pPr>
    </w:p>
    <w:p>
      <w:pPr>
        <w:pStyle w:val="Heading3"/>
        <w:spacing w:line="240" w:lineRule="auto"/>
        <w:ind w:right="18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12" w:lineRule="auto"/>
        <w:ind w:right="93" w:firstLine="360"/>
        <w:jc w:val="left"/>
      </w:pPr>
      <w:r>
        <w:rPr>
          <w:rFonts w:ascii="Times New Roman" w:hAnsi="Times New Roman" w:cs="Times New Roman" w:eastAsia="Times New Roman" w:hint="default"/>
        </w:rPr>
        <w:t>2015</w:t>
      </w:r>
      <w:r>
        <w:rPr/>
        <w:t>年，公司培训工作紧密围绕公司人才战略开展，持续加强员工岗前培训和团队建设培训，建立了科学化、规范化、 </w:t>
      </w:r>
      <w:r>
        <w:rPr>
          <w:spacing w:val="-2"/>
        </w:rPr>
        <w:t>系统化的培训管理体系。公司的培训主要分为新员工入职培训、技术培训、管理人员培训和董监高培训等类别，并根据业务</w:t>
      </w:r>
      <w:r>
        <w:rPr>
          <w:spacing w:val="-63"/>
        </w:rPr>
        <w:t> </w:t>
      </w:r>
      <w:r>
        <w:rPr>
          <w:spacing w:val="-63"/>
        </w:rPr>
      </w:r>
      <w:r>
        <w:rPr/>
        <w:t>的需求情况，定期不定期组织各类其他培训活动。公司积极培养复合型人才，形成合理的人才梯队，不断加强团队凝聚力，</w:t>
      </w:r>
      <w:r>
        <w:rPr/>
        <w:t> </w:t>
      </w:r>
      <w:r>
        <w:rPr>
          <w:spacing w:val="-2"/>
        </w:rPr>
        <w:t>全面提高员工的工作热情，并逐渐培养了一批具有领军精神的人才，带领团队勇于钻研、敢于创新、吃苦耐劳，为公司进一</w:t>
      </w:r>
      <w:r>
        <w:rPr>
          <w:spacing w:val="-67"/>
        </w:rPr>
        <w:t> </w:t>
      </w:r>
      <w:r>
        <w:rPr>
          <w:spacing w:val="-67"/>
        </w:rPr>
      </w:r>
      <w:r>
        <w:rPr>
          <w:spacing w:val="-2"/>
        </w:rPr>
        <w:t>步的发展提供了有效的支持。</w:t>
      </w:r>
      <w:r>
        <w:rPr>
          <w:rFonts w:ascii="Times New Roman" w:hAnsi="Times New Roman" w:cs="Times New Roman" w:eastAsia="Times New Roman" w:hint="default"/>
          <w:spacing w:val="-2"/>
        </w:rPr>
        <w:t>2016</w:t>
      </w:r>
      <w:r>
        <w:rPr>
          <w:spacing w:val="-2"/>
        </w:rPr>
        <w:t>年公司将在现有基础上，不断完善培训管理体系，为员工提供更好的培训发展平台，为企</w:t>
      </w:r>
      <w:r>
        <w:rPr>
          <w:spacing w:val="-61"/>
        </w:rPr>
        <w:t> </w:t>
      </w:r>
      <w:r>
        <w:rPr>
          <w:spacing w:val="-61"/>
        </w:rPr>
      </w:r>
      <w:r>
        <w:rPr/>
        <w:t>业经营水平和员工整体素质的提高提供支持和保障。</w:t>
      </w:r>
    </w:p>
    <w:p>
      <w:pPr>
        <w:spacing w:line="240" w:lineRule="auto" w:before="5"/>
        <w:rPr>
          <w:rFonts w:ascii="宋体" w:hAnsi="宋体" w:cs="宋体" w:eastAsia="宋体" w:hint="default"/>
          <w:sz w:val="23"/>
          <w:szCs w:val="23"/>
        </w:rPr>
      </w:pPr>
    </w:p>
    <w:p>
      <w:pPr>
        <w:pStyle w:val="Heading3"/>
        <w:spacing w:line="240" w:lineRule="auto"/>
        <w:ind w:right="18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6"/>
        <w:jc w:val="center"/>
        <w:rPr>
          <w:b w:val="0"/>
          <w:bCs w:val="0"/>
        </w:rPr>
      </w:pPr>
      <w:bookmarkStart w:name="_TOC_250002" w:id="9"/>
      <w:r>
        <w:rPr/>
        <w:t>第九节</w:t>
      </w:r>
      <w:r>
        <w:rPr>
          <w:spacing w:val="-1"/>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《深圳证券交易所创业板上市公司规范运作指引》等有关法律、法规的要求，不断完善法人治理结构，建立健全公司内部控</w:t>
      </w:r>
      <w:r>
        <w:rPr>
          <w:spacing w:val="-64"/>
        </w:rPr>
        <w:t> </w:t>
      </w:r>
      <w:r>
        <w:rPr>
          <w:spacing w:val="-64"/>
        </w:rPr>
      </w:r>
      <w:r>
        <w:rPr>
          <w:spacing w:val="-2"/>
        </w:rPr>
        <w:t>制制度，充分发挥董事会各专门委员会的职能和作用，更好的提升董事会专业化程度，进一步促进公司规范运作，提高公司</w:t>
      </w:r>
      <w:r>
        <w:rPr>
          <w:spacing w:val="-66"/>
        </w:rPr>
        <w:t> </w:t>
      </w:r>
      <w:r>
        <w:rPr>
          <w:spacing w:val="-66"/>
        </w:rPr>
      </w:r>
      <w:r>
        <w:rPr/>
        <w:t>整体治理水平。</w:t>
      </w:r>
    </w:p>
    <w:p>
      <w:pPr>
        <w:pStyle w:val="BodyText"/>
        <w:spacing w:line="312" w:lineRule="auto" w:before="19"/>
        <w:ind w:right="190" w:firstLine="360"/>
        <w:jc w:val="both"/>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2015</w:t>
      </w:r>
      <w:r>
        <w:rPr>
          <w:spacing w:val="-2"/>
        </w:rPr>
        <w:t>年度内部控制及其有效性认定的自我评价报告》，并提交公司第三</w:t>
      </w:r>
      <w:r>
        <w:rPr>
          <w:spacing w:val="-61"/>
        </w:rPr>
        <w:t> </w:t>
      </w:r>
      <w:r>
        <w:rPr>
          <w:spacing w:val="-61"/>
        </w:rPr>
      </w:r>
      <w:r>
        <w:rPr>
          <w:spacing w:val="-2"/>
        </w:rPr>
        <w:t>届董事会第四次会议审议通过，公司独立董事、监事、保荐机构及会计师事务所对该报告发表了意见。公司董事会认为，公</w:t>
      </w:r>
      <w:r>
        <w:rPr>
          <w:spacing w:val="-65"/>
        </w:rPr>
        <w:t> </w:t>
      </w:r>
      <w:r>
        <w:rPr>
          <w:spacing w:val="-65"/>
        </w:rPr>
      </w:r>
      <w:r>
        <w:rPr>
          <w:spacing w:val="-2"/>
        </w:rPr>
        <w:t>司建立了一套较为健全、合理的内部控制制度，符合我国法律、法规和证券监管部门的要求和公司的行业特点，且基本得到</w:t>
      </w:r>
      <w:r>
        <w:rPr>
          <w:spacing w:val="-63"/>
        </w:rPr>
        <w:t> </w:t>
      </w:r>
      <w:r>
        <w:rPr>
          <w:spacing w:val="-63"/>
        </w:rPr>
      </w:r>
      <w:r>
        <w:rPr>
          <w:spacing w:val="-2"/>
        </w:rPr>
        <w:t>了有效的贯彻和执行，对公司各项业务的健康运行及公司经营风险的控制提供了良好的保证。</w:t>
      </w:r>
      <w:r>
        <w:rPr>
          <w:rFonts w:ascii="Times New Roman" w:hAnsi="Times New Roman" w:cs="Times New Roman" w:eastAsia="Times New Roman" w:hint="default"/>
          <w:spacing w:val="-2"/>
        </w:rPr>
        <w:t>2015</w:t>
      </w:r>
      <w:r>
        <w:rPr>
          <w:spacing w:val="-2"/>
        </w:rPr>
        <w:t>年度公司不存在内部控制</w:t>
      </w:r>
      <w:r>
        <w:rPr>
          <w:spacing w:val="-61"/>
        </w:rPr>
        <w:t> </w:t>
      </w:r>
      <w:r>
        <w:rPr>
          <w:spacing w:val="-61"/>
        </w:rPr>
      </w:r>
      <w:r>
        <w:rPr/>
        <w:t>设计和执行的重大缺陷。</w:t>
      </w:r>
    </w:p>
    <w:p>
      <w:pPr>
        <w:pStyle w:val="BodyText"/>
        <w:spacing w:line="316" w:lineRule="auto" w:before="22"/>
        <w:ind w:left="513" w:right="0"/>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90"/>
        <w:jc w:val="both"/>
      </w:pPr>
      <w:r>
        <w:rPr>
          <w:spacing w:val="-2"/>
        </w:rPr>
        <w:t>平等对待所有股东，并尽可能为股东能够参加股东大会提供便利，使其充分行使股东权利；通过聘请律师出席见证保证了会</w:t>
      </w:r>
      <w:r>
        <w:rPr>
          <w:spacing w:val="-63"/>
        </w:rPr>
        <w:t> </w:t>
      </w:r>
      <w:r>
        <w:rPr>
          <w:spacing w:val="-63"/>
        </w:rPr>
      </w:r>
      <w:r>
        <w:rPr/>
        <w:t>议的召集、召开和表决程序的合法性。</w:t>
      </w:r>
    </w:p>
    <w:p>
      <w:pPr>
        <w:pStyle w:val="BodyText"/>
        <w:spacing w:line="316" w:lineRule="auto" w:before="19"/>
        <w:ind w:left="513" w:right="187"/>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6" w:lineRule="auto" w:before="19"/>
        <w:ind w:right="195"/>
        <w:jc w:val="both"/>
      </w:pPr>
      <w:r>
        <w:rPr>
          <w:spacing w:val="-2"/>
        </w:rPr>
        <w:t>动。公司拥有独立完整的业务和自主经营能力，在资产、人员、机构、财务上均独立于控股股东，公司董事会、监事会和内</w:t>
      </w:r>
      <w:r>
        <w:rPr>
          <w:spacing w:val="-73"/>
        </w:rPr>
        <w:t> </w:t>
      </w:r>
      <w:r>
        <w:rPr>
          <w:spacing w:val="-73"/>
        </w:rPr>
      </w:r>
      <w:r>
        <w:rPr/>
        <w:t>部机构独立运作。</w:t>
      </w:r>
    </w:p>
    <w:p>
      <w:pPr>
        <w:pStyle w:val="BodyText"/>
        <w:spacing w:line="316" w:lineRule="auto" w:before="19"/>
        <w:ind w:left="513" w:right="187"/>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95"/>
        <w:jc w:val="both"/>
      </w:pPr>
      <w:r>
        <w:rPr>
          <w:spacing w:val="-2"/>
        </w:rPr>
        <w:t>能够依据《董事会议事规则》、《独立董事工作制度》、《深圳证券交易所创业板上市公司规范运作指引》等开展工作，出</w:t>
      </w:r>
      <w:r>
        <w:rPr>
          <w:spacing w:val="-70"/>
        </w:rPr>
        <w:t> </w:t>
      </w:r>
      <w:r>
        <w:rPr>
          <w:spacing w:val="-70"/>
        </w:rPr>
      </w:r>
      <w:r>
        <w:rPr/>
        <w:t>席董事会和股东大会，勤勉尽责地履行职责和义务，同时积极参加相关培训，学习相关法律法规。</w:t>
      </w:r>
    </w:p>
    <w:p>
      <w:pPr>
        <w:pStyle w:val="BodyText"/>
        <w:spacing w:line="316" w:lineRule="auto" w:before="19"/>
        <w:ind w:left="513" w:right="187"/>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3"/>
        <w:jc w:val="both"/>
      </w:pPr>
      <w:r>
        <w:rPr>
          <w:spacing w:val="-4"/>
        </w:rPr>
        <w:t>事规则》的要求，认真履行自己的职责，对公司重大事项、关联交易、财务状况以及董事、高级管理人员履行职责的合法性、</w:t>
      </w:r>
      <w:r>
        <w:rPr>
          <w:spacing w:val="-44"/>
        </w:rPr>
        <w:t> </w:t>
      </w:r>
      <w:r>
        <w:rPr>
          <w:spacing w:val="-44"/>
        </w:rPr>
      </w:r>
      <w:r>
        <w:rPr/>
        <w:t>合规性进行监督。</w:t>
      </w:r>
    </w:p>
    <w:p>
      <w:pPr>
        <w:pStyle w:val="BodyText"/>
        <w:spacing w:line="316" w:lineRule="auto" w:before="19"/>
        <w:ind w:left="513" w:right="187"/>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9"/>
        <w:ind w:right="0"/>
        <w:jc w:val="both"/>
      </w:pPr>
      <w:r>
        <w:rPr/>
        <w:t>公司高级管理人员经考核，均认真履行了工作职责。</w:t>
      </w:r>
    </w:p>
    <w:p>
      <w:pPr>
        <w:pStyle w:val="BodyText"/>
        <w:spacing w:line="319" w:lineRule="auto" w:before="76"/>
        <w:ind w:left="513" w:right="187"/>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7"/>
        <w:ind w:right="194"/>
        <w:jc w:val="both"/>
      </w:pPr>
      <w:r>
        <w:rPr/>
        <w:t>有关信息，并指定《证券时报》和巨潮资讯网（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）为公司信息披露的指定报纸和网站，确保了所有 股东在获得公司信息方面享有的平等机会。</w:t>
      </w:r>
    </w:p>
    <w:p>
      <w:pPr>
        <w:pStyle w:val="BodyText"/>
        <w:spacing w:line="316" w:lineRule="auto" w:before="31"/>
        <w:ind w:left="513" w:right="187"/>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9"/>
        <w:ind w:right="110"/>
        <w:jc w:val="both"/>
      </w:pPr>
      <w:r>
        <w:rPr/>
        <w:t>与投资者的关系。同时，公司通过电话、邮箱、投资者互动平台等多种渠道，积极、全面的与投资者建立良好的互动关系， 保障了全体股东的合法权益。</w:t>
      </w:r>
    </w:p>
    <w:p>
      <w:pPr>
        <w:pStyle w:val="BodyText"/>
        <w:spacing w:line="240" w:lineRule="auto" w:before="19"/>
        <w:ind w:left="513" w:right="187"/>
        <w:jc w:val="left"/>
      </w:pPr>
      <w:r>
        <w:rPr/>
        <w:t>（八）关于相关利益者</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7" w:firstLine="360"/>
        <w:jc w:val="left"/>
      </w:pPr>
      <w:r>
        <w:rPr>
          <w:spacing w:val="-2"/>
        </w:rPr>
        <w:t>公司充分尊重和维护相关利益者的合法权益，实现股东、员工、社会等各方利益的协调平衡，共同推动公司持续、健康</w:t>
      </w:r>
      <w:r>
        <w:rPr/>
        <w:t> 的发展。</w:t>
      </w:r>
    </w:p>
    <w:p>
      <w:pPr>
        <w:pStyle w:val="BodyText"/>
        <w:spacing w:line="240" w:lineRule="auto" w:before="58"/>
        <w:ind w:right="187"/>
        <w:jc w:val="left"/>
      </w:pPr>
      <w:r>
        <w:rPr/>
        <w:t>公司治理的实际状况与中国证监会发布的有关上市公司治理的规范性文件是否存在重大差异</w:t>
      </w:r>
    </w:p>
    <w:p>
      <w:pPr>
        <w:pStyle w:val="BodyText"/>
        <w:spacing w:line="340" w:lineRule="auto" w:before="115"/>
        <w:ind w:right="2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87"/>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4"/>
        </w:rPr>
        <w:t>公司严格按照《公司法》、《证券法》等有关法律法规和《公司章程》的要求规范运作，公司资产完整，在业务、人员、</w:t>
      </w:r>
      <w:r>
        <w:rPr/>
        <w:t> 财务及机构等方面独立于控股股东和实际控制人，具有完整的业务体系及面向市场独立经营的能力。</w:t>
      </w:r>
    </w:p>
    <w:p>
      <w:pPr>
        <w:spacing w:line="240" w:lineRule="auto" w:before="9"/>
        <w:rPr>
          <w:rFonts w:ascii="宋体" w:hAnsi="宋体" w:cs="宋体" w:eastAsia="宋体" w:hint="default"/>
          <w:sz w:val="20"/>
          <w:szCs w:val="20"/>
        </w:rPr>
      </w:pPr>
    </w:p>
    <w:p>
      <w:pPr>
        <w:pStyle w:val="Heading2"/>
        <w:spacing w:line="240" w:lineRule="auto"/>
        <w:ind w:right="187"/>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7"/>
        <w:jc w:val="left"/>
        <w:rPr>
          <w:b w:val="0"/>
          <w:bCs w:val="0"/>
        </w:rPr>
      </w:pP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8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18"/>
        <w:gridCol w:w="1347"/>
        <w:gridCol w:w="1063"/>
        <w:gridCol w:w="1560"/>
        <w:gridCol w:w="1669"/>
        <w:gridCol w:w="2583"/>
      </w:tblGrid>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6" w:right="17"/>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年度股东大会决议公告》</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6" w:right="17"/>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第一次临时股东大会决议公告》</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6" w:right="17"/>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第二次临时股东大会决议公告》</w:t>
            </w:r>
          </w:p>
        </w:tc>
      </w:tr>
    </w:tbl>
    <w:p>
      <w:pPr>
        <w:spacing w:line="240" w:lineRule="auto" w:before="8"/>
        <w:rPr>
          <w:rFonts w:ascii="宋体" w:hAnsi="宋体" w:cs="宋体" w:eastAsia="宋体" w:hint="default"/>
          <w:b/>
          <w:bCs/>
          <w:sz w:val="19"/>
          <w:szCs w:val="19"/>
        </w:rPr>
      </w:pPr>
    </w:p>
    <w:p>
      <w:pPr>
        <w:pStyle w:val="Heading3"/>
        <w:spacing w:line="240" w:lineRule="auto" w:before="37"/>
        <w:ind w:right="18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7"/>
        <w:jc w:val="left"/>
        <w:rPr>
          <w:b w:val="0"/>
          <w:bCs w:val="0"/>
        </w:rPr>
      </w:pP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8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624"/>
        <w:gridCol w:w="1323"/>
        <w:gridCol w:w="1325"/>
        <w:gridCol w:w="1325"/>
        <w:gridCol w:w="1323"/>
        <w:gridCol w:w="1325"/>
        <w:gridCol w:w="1325"/>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87"/>
        <w:jc w:val="left"/>
      </w:pPr>
      <w:r>
        <w:rPr/>
        <w:t>连续两次未亲自出席董事会的说明：不存在此类情况。</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独立董事对公司有关事项是否提出异议</w:t>
      </w:r>
    </w:p>
    <w:p>
      <w:pPr>
        <w:pStyle w:val="BodyText"/>
        <w:spacing w:line="338" w:lineRule="auto" w:before="117"/>
        <w:ind w:right="6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2"/>
          <w:szCs w:val="22"/>
        </w:rPr>
      </w:pPr>
    </w:p>
    <w:p>
      <w:pPr>
        <w:pStyle w:val="Heading3"/>
        <w:spacing w:line="240" w:lineRule="auto"/>
        <w:ind w:right="18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独立董事对公司有关建议是否被采纳</w:t>
      </w:r>
    </w:p>
    <w:p>
      <w:pPr>
        <w:pStyle w:val="BodyText"/>
        <w:spacing w:line="340" w:lineRule="auto" w:before="115"/>
        <w:ind w:right="5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240" w:lineRule="auto" w:before="41"/>
        <w:ind w:left="513" w:right="0"/>
        <w:jc w:val="left"/>
      </w:pPr>
      <w:r>
        <w:rPr>
          <w:spacing w:val="-4"/>
        </w:rPr>
        <w:t>独立董事在任职期间严格按照《公司法》、《深圳证券交易所创业板上市公司规范运作指引》、《上市公司治理准则》、</w:t>
      </w:r>
    </w:p>
    <w:p>
      <w:pPr>
        <w:pStyle w:val="BodyText"/>
        <w:spacing w:line="319" w:lineRule="auto" w:before="76"/>
        <w:ind w:right="93"/>
        <w:jc w:val="left"/>
      </w:pPr>
      <w:r>
        <w:rPr>
          <w:spacing w:val="-5"/>
        </w:rPr>
        <w:t>《关于在上市公司建立独立董事制度的指导意见》、《关于加强社会公众股股东权益保护的若干规定》、《公司章程》、《独</w:t>
      </w:r>
      <w:r>
        <w:rPr>
          <w:spacing w:val="-79"/>
        </w:rPr>
        <w:t> </w:t>
      </w:r>
      <w:r>
        <w:rPr>
          <w:spacing w:val="-79"/>
        </w:rPr>
      </w:r>
      <w:r>
        <w:rPr/>
        <w:t>立董事工作制度》等相关法律、法规、规章制度及规范性文件的规定和要求，认真行权，依法履职，做到不受公司大股东、 </w:t>
      </w:r>
      <w:r>
        <w:rPr>
          <w:spacing w:val="-2"/>
        </w:rPr>
        <w:t>实际控制人或者其他与公司存在利害关系的单位或个人的影响与左右，充分发挥独立董事的作用，监督公司规范化运作，维</w:t>
      </w:r>
      <w:r>
        <w:rPr>
          <w:spacing w:val="-64"/>
        </w:rPr>
        <w:t> </w:t>
      </w:r>
      <w:r>
        <w:rPr>
          <w:spacing w:val="-64"/>
        </w:rPr>
      </w:r>
      <w:r>
        <w:rPr/>
        <w:t>护公司和股东尤其是中小股东的利益的原则，积极参与公司的各项事务，客观、公正、独立地履行职责。</w:t>
      </w:r>
    </w:p>
    <w:p>
      <w:pPr>
        <w:spacing w:line="240" w:lineRule="auto" w:before="9"/>
        <w:rPr>
          <w:rFonts w:ascii="宋体" w:hAnsi="宋体" w:cs="宋体" w:eastAsia="宋体" w:hint="default"/>
          <w:sz w:val="20"/>
          <w:szCs w:val="20"/>
        </w:rPr>
      </w:pPr>
    </w:p>
    <w:p>
      <w:pPr>
        <w:pStyle w:val="Heading2"/>
        <w:spacing w:line="240" w:lineRule="auto"/>
        <w:ind w:right="187"/>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1" w:firstLine="360"/>
        <w:jc w:val="both"/>
      </w:pPr>
      <w:r>
        <w:rPr>
          <w:spacing w:val="-2"/>
        </w:rPr>
        <w:t>公司董事会下设三个专门委员会，分别为：审计委员会、提名与薪酬委员会、战略委员会。</w:t>
      </w:r>
      <w:r>
        <w:rPr>
          <w:rFonts w:ascii="Times New Roman" w:hAnsi="Times New Roman" w:cs="Times New Roman" w:eastAsia="Times New Roman" w:hint="default"/>
          <w:spacing w:val="-2"/>
        </w:rPr>
        <w:t>2015</w:t>
      </w:r>
      <w:r>
        <w:rPr>
          <w:spacing w:val="-2"/>
        </w:rPr>
        <w:t>年度，各专门委员会本</w:t>
      </w:r>
      <w:r>
        <w:rPr/>
        <w:t> </w:t>
      </w:r>
      <w:r>
        <w:rPr>
          <w:spacing w:val="-2"/>
        </w:rPr>
        <w:t>着勤勉尽责的原则，按照有关法律、法规、规范性文件及公司各专门委员会工作细则的规定开展相关工作。报告期内，各专</w:t>
      </w:r>
      <w:r>
        <w:rPr>
          <w:spacing w:val="-67"/>
        </w:rPr>
        <w:t> </w:t>
      </w:r>
      <w:r>
        <w:rPr>
          <w:spacing w:val="-67"/>
        </w:rPr>
      </w:r>
      <w:r>
        <w:rPr/>
        <w:t>门委员会履职情况如下：</w:t>
      </w:r>
    </w:p>
    <w:p>
      <w:pPr>
        <w:pStyle w:val="BodyText"/>
        <w:spacing w:line="340" w:lineRule="auto" w:before="65"/>
        <w:ind w:left="513" w:right="187"/>
        <w:jc w:val="left"/>
      </w:pPr>
      <w:r>
        <w:rPr>
          <w:rFonts w:ascii="Times New Roman" w:hAnsi="Times New Roman" w:cs="Times New Roman" w:eastAsia="Times New Roman" w:hint="default"/>
        </w:rPr>
        <w:t>1</w:t>
      </w:r>
      <w:r>
        <w:rPr/>
        <w:t>、审计委员会 </w:t>
      </w:r>
      <w:r>
        <w:rPr>
          <w:spacing w:val="-2"/>
        </w:rPr>
        <w:t>报告期内审计委员会严格按照相关法律法规及《公司章程》、《董事会审计委员会工作细则》的相关规定，认真履行职</w:t>
      </w:r>
    </w:p>
    <w:p>
      <w:pPr>
        <w:pStyle w:val="BodyText"/>
        <w:spacing w:line="309" w:lineRule="auto" w:before="1"/>
        <w:ind w:right="190"/>
        <w:jc w:val="both"/>
      </w:pPr>
      <w:r>
        <w:rPr>
          <w:spacing w:val="-2"/>
        </w:rPr>
        <w:t>责；</w:t>
      </w:r>
      <w:r>
        <w:rPr>
          <w:rFonts w:ascii="Times New Roman" w:hAnsi="Times New Roman" w:cs="Times New Roman" w:eastAsia="Times New Roman" w:hint="default"/>
          <w:spacing w:val="-2"/>
        </w:rPr>
        <w:t>2015</w:t>
      </w:r>
      <w:r>
        <w:rPr>
          <w:spacing w:val="-2"/>
        </w:rPr>
        <w:t>年度，审计委员会共召开四次会议，重点对公司定期财务报告、利润分配、内部控制、募集资金存放与使用等事项</w:t>
      </w:r>
      <w:r>
        <w:rPr>
          <w:spacing w:val="-65"/>
        </w:rPr>
        <w:t> </w:t>
      </w:r>
      <w:r>
        <w:rPr>
          <w:spacing w:val="-65"/>
        </w:rPr>
      </w:r>
      <w:r>
        <w:rPr>
          <w:spacing w:val="-2"/>
        </w:rPr>
        <w:t>进行审议，并对会计师事务所的年度审计工作进行了总结评价。审计委员会强化了公司董事会决策功能，确保董事会对高级</w:t>
      </w:r>
      <w:r>
        <w:rPr>
          <w:spacing w:val="-63"/>
        </w:rPr>
        <w:t> </w:t>
      </w:r>
      <w:r>
        <w:rPr>
          <w:spacing w:val="-63"/>
        </w:rPr>
      </w:r>
      <w:r>
        <w:rPr/>
        <w:t>管理人员的有效监督，进一步完善了公司的治理结构。</w:t>
      </w:r>
    </w:p>
    <w:p>
      <w:pPr>
        <w:pStyle w:val="BodyText"/>
        <w:spacing w:line="340" w:lineRule="auto" w:before="63"/>
        <w:ind w:left="513" w:right="0"/>
        <w:jc w:val="left"/>
      </w:pPr>
      <w:r>
        <w:rPr>
          <w:rFonts w:ascii="Times New Roman" w:hAnsi="Times New Roman" w:cs="Times New Roman" w:eastAsia="Times New Roman" w:hint="default"/>
        </w:rPr>
        <w:t>2</w:t>
      </w:r>
      <w:r>
        <w:rPr/>
        <w:t>、提名与薪酬委员会 </w:t>
      </w:r>
      <w:r>
        <w:rPr>
          <w:spacing w:val="-4"/>
        </w:rPr>
        <w:t>报告期内提名与薪酬委员会严格按照相关法律法规及《公司章程》、《董事会提名与薪酬委员会工作细则》的相关规定，</w:t>
      </w:r>
    </w:p>
    <w:p>
      <w:pPr>
        <w:pStyle w:val="BodyText"/>
        <w:spacing w:line="300" w:lineRule="auto" w:before="1"/>
        <w:ind w:right="93"/>
        <w:jc w:val="left"/>
      </w:pPr>
      <w:r>
        <w:rPr/>
        <w:t>认真履行职责，</w:t>
      </w:r>
      <w:r>
        <w:rPr>
          <w:rFonts w:ascii="Times New Roman" w:hAnsi="Times New Roman" w:cs="Times New Roman" w:eastAsia="Times New Roman" w:hint="default"/>
        </w:rPr>
        <w:t>2015</w:t>
      </w:r>
      <w:r>
        <w:rPr/>
        <w:t>年度，提名与薪酬委员会共召开四次会议，对拟选举和聘任的董事、高级管理人的任职资格进行审查， 未发现《公司法》及相关法律禁止任职的情形。</w:t>
      </w:r>
    </w:p>
    <w:p>
      <w:pPr>
        <w:pStyle w:val="BodyText"/>
        <w:spacing w:line="338" w:lineRule="auto" w:before="72"/>
        <w:ind w:left="513" w:right="187"/>
        <w:jc w:val="left"/>
      </w:pPr>
      <w:r>
        <w:rPr>
          <w:rFonts w:ascii="Times New Roman" w:hAnsi="Times New Roman" w:cs="Times New Roman" w:eastAsia="Times New Roman" w:hint="default"/>
        </w:rPr>
        <w:t>3</w:t>
      </w:r>
      <w:r>
        <w:rPr/>
        <w:t>、战略委员会 </w:t>
      </w:r>
      <w:r>
        <w:rPr>
          <w:spacing w:val="-2"/>
        </w:rPr>
        <w:t>报告期内战略委员会严格按照相关法律法规及《公司章程》、《董事会战略委员会工作细则》的相关规定，认真履行职</w:t>
      </w:r>
    </w:p>
    <w:p>
      <w:pPr>
        <w:pStyle w:val="BodyText"/>
        <w:spacing w:line="300" w:lineRule="auto" w:before="2"/>
        <w:ind w:right="0"/>
        <w:jc w:val="left"/>
      </w:pPr>
      <w:r>
        <w:rPr>
          <w:spacing w:val="-4"/>
        </w:rPr>
        <w:t>责，</w:t>
      </w:r>
      <w:r>
        <w:rPr>
          <w:rFonts w:ascii="Times New Roman" w:hAnsi="Times New Roman" w:cs="Times New Roman" w:eastAsia="Times New Roman" w:hint="default"/>
          <w:spacing w:val="-4"/>
        </w:rPr>
        <w:t>2015</w:t>
      </w:r>
      <w:r>
        <w:rPr>
          <w:spacing w:val="-4"/>
        </w:rPr>
        <w:t>年度，战略委员会共召开一次会议，对公司</w:t>
      </w:r>
      <w:r>
        <w:rPr>
          <w:rFonts w:ascii="Times New Roman" w:hAnsi="Times New Roman" w:cs="Times New Roman" w:eastAsia="Times New Roman" w:hint="default"/>
          <w:spacing w:val="-4"/>
        </w:rPr>
        <w:t>2015</w:t>
      </w:r>
      <w:r>
        <w:rPr>
          <w:spacing w:val="-4"/>
        </w:rPr>
        <w:t>年发展战略进行整体规划，对公司所处行业和市场进行了规划研究，</w:t>
      </w:r>
      <w:r>
        <w:rPr>
          <w:spacing w:val="-34"/>
        </w:rPr>
        <w:t> </w:t>
      </w:r>
      <w:r>
        <w:rPr>
          <w:spacing w:val="-34"/>
        </w:rPr>
      </w:r>
      <w:r>
        <w:rPr/>
        <w:t>并结合公司的实际运营情况，提出合理性建议。</w:t>
      </w:r>
    </w:p>
    <w:p>
      <w:pPr>
        <w:spacing w:after="0" w:line="30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5"/>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50" w:firstLine="360"/>
        <w:jc w:val="both"/>
      </w:pPr>
      <w:r>
        <w:rPr>
          <w:spacing w:val="-2"/>
        </w:rPr>
        <w:t>公司高级管理人员薪酬根据公司《董事、监事、高级管理人员薪酬及绩效考核管理制度》确定，以公司经济效益及工作</w:t>
      </w:r>
      <w:r>
        <w:rPr/>
        <w:t> </w:t>
      </w:r>
      <w:r>
        <w:rPr>
          <w:spacing w:val="-2"/>
        </w:rPr>
        <w:t>目标为出发点，根据公司年度经营计划和人员分工职责，由董事会提名与薪酬委员会组织并考核。公司董事会提名与薪酬委</w:t>
      </w:r>
      <w:r>
        <w:rPr>
          <w:spacing w:val="-63"/>
        </w:rPr>
        <w:t> </w:t>
      </w:r>
      <w:r>
        <w:rPr>
          <w:spacing w:val="-63"/>
        </w:rPr>
      </w:r>
      <w:r>
        <w:rPr>
          <w:spacing w:val="-2"/>
        </w:rPr>
        <w:t>员会根据实际情况对公司高级管理人员进行考核后，一致认为：</w:t>
      </w:r>
      <w:r>
        <w:rPr>
          <w:rFonts w:ascii="Times New Roman" w:hAnsi="Times New Roman" w:cs="Times New Roman" w:eastAsia="Times New Roman" w:hint="default"/>
          <w:spacing w:val="-2"/>
        </w:rPr>
        <w:t>2015</w:t>
      </w:r>
      <w:r>
        <w:rPr>
          <w:spacing w:val="-2"/>
        </w:rPr>
        <w:t>年度公司高级管理人员薪酬方案严格执行了公司薪酬管</w:t>
      </w:r>
      <w:r>
        <w:rPr>
          <w:spacing w:val="-61"/>
        </w:rPr>
        <w:t> </w:t>
      </w:r>
      <w:r>
        <w:rPr>
          <w:spacing w:val="-61"/>
        </w:rPr>
      </w:r>
      <w:r>
        <w:rPr/>
        <w:t>理制度。</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830"/>
        <w:gridCol w:w="3976"/>
        <w:gridCol w:w="2765"/>
      </w:tblGrid>
      <w:tr>
        <w:trPr>
          <w:trHeight w:val="40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56" w:hRule="exact"/>
        </w:trPr>
        <w:tc>
          <w:tcPr>
            <w:tcW w:w="2830" w:type="dxa"/>
            <w:vMerge w:val="restart"/>
            <w:tcBorders>
              <w:top w:val="single" w:sz="4" w:space="0" w:color="000000"/>
              <w:left w:val="single" w:sz="4" w:space="0" w:color="000000"/>
              <w:right w:val="single" w:sz="4" w:space="0" w:color="000000"/>
            </w:tcBorders>
            <w:shd w:val="clear" w:color="auto" w:fill="D2D2D2"/>
          </w:tcPr>
          <w:p>
            <w:pPr/>
          </w:p>
        </w:tc>
        <w:tc>
          <w:tcPr>
            <w:tcW w:w="3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00" w:lineRule="auto"/>
              <w:ind w:left="29"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、重大缺陷：是指一个或多个控制缺陷的组合， 可能导致企业严重偏离控制目标。</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、出现以下情形的</w:t>
            </w:r>
            <w:r>
              <w:rPr>
                <w:rFonts w:ascii="Times New Roman" w:hAnsi="Times New Roman" w:cs="Times New Roman" w:eastAsia="Times New Roman" w:hint="default"/>
                <w:sz w:val="18"/>
                <w:szCs w:val="18"/>
              </w:rPr>
              <w:t>,</w:t>
            </w:r>
            <w:r>
              <w:rPr>
                <w:rFonts w:ascii="宋体" w:hAnsi="宋体" w:cs="宋体" w:eastAsia="宋体" w:hint="default"/>
                <w:sz w:val="18"/>
                <w:szCs w:val="18"/>
              </w:rPr>
              <w:t>通常应认定为 重大缺陷：</w:t>
            </w:r>
          </w:p>
        </w:tc>
      </w:tr>
      <w:tr>
        <w:trPr>
          <w:trHeight w:val="331" w:hRule="exact"/>
        </w:trPr>
        <w:tc>
          <w:tcPr>
            <w:tcW w:w="2830" w:type="dxa"/>
            <w:vMerge/>
            <w:tcBorders>
              <w:left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9" w:right="0"/>
              <w:jc w:val="left"/>
              <w:rPr>
                <w:rFonts w:ascii="宋体" w:hAnsi="宋体" w:cs="宋体" w:eastAsia="宋体" w:hint="default"/>
                <w:sz w:val="18"/>
                <w:szCs w:val="18"/>
              </w:rPr>
            </w:pPr>
            <w:r>
              <w:rPr>
                <w:rFonts w:ascii="宋体" w:hAnsi="宋体" w:cs="宋体" w:eastAsia="宋体" w:hint="default"/>
                <w:sz w:val="18"/>
                <w:szCs w:val="18"/>
              </w:rPr>
              <w:t>具备以下特征，认定为重大缺陷：</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）公司经营活动违反国家法律、法</w:t>
            </w:r>
          </w:p>
        </w:tc>
      </w:tr>
      <w:tr>
        <w:trPr>
          <w:trHeight w:val="509" w:hRule="exact"/>
        </w:trPr>
        <w:tc>
          <w:tcPr>
            <w:tcW w:w="2830" w:type="dxa"/>
            <w:vMerge/>
            <w:tcBorders>
              <w:left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）财务报告内部控制环境无效；</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规，规导致相关部门的调查并吊销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营业执照或受到重大处罚；</w:t>
            </w:r>
          </w:p>
        </w:tc>
      </w:tr>
      <w:tr>
        <w:trPr>
          <w:trHeight w:val="382" w:hRule="exact"/>
        </w:trPr>
        <w:tc>
          <w:tcPr>
            <w:tcW w:w="2830" w:type="dxa"/>
            <w:vMerge/>
            <w:tcBorders>
              <w:left w:val="single" w:sz="4" w:space="0" w:color="000000"/>
              <w:bottom w:val="nil" w:sz="6" w:space="0" w:color="auto"/>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）公司董事、监事、高级管理人员存在舞弊行为</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因公司重要决策失误导致</w:t>
            </w:r>
            <w:r>
              <w:rPr>
                <w:rFonts w:ascii="宋体" w:hAnsi="宋体" w:cs="宋体" w:eastAsia="宋体" w:hint="default"/>
                <w:spacing w:val="-3"/>
                <w:sz w:val="18"/>
                <w:szCs w:val="18"/>
              </w:rPr>
              <w:t>公</w:t>
            </w:r>
            <w:r>
              <w:rPr>
                <w:rFonts w:ascii="宋体" w:hAnsi="宋体" w:cs="宋体" w:eastAsia="宋体" w:hint="default"/>
                <w:sz w:val="18"/>
                <w:szCs w:val="18"/>
              </w:rPr>
              <w:t>司遭</w:t>
            </w:r>
          </w:p>
        </w:tc>
      </w:tr>
      <w:tr>
        <w:trPr>
          <w:trHeight w:val="281" w:hRule="exact"/>
        </w:trPr>
        <w:tc>
          <w:tcPr>
            <w:tcW w:w="2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976" w:type="dxa"/>
            <w:tcBorders>
              <w:top w:val="nil" w:sz="6" w:space="0" w:color="auto"/>
              <w:left w:val="single" w:sz="10" w:space="0" w:color="D2D2D2"/>
              <w:bottom w:val="nil" w:sz="6" w:space="0" w:color="auto"/>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）注册会计师发现的却未被公司内部控制识别的</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受的损失；</w:t>
            </w:r>
          </w:p>
        </w:tc>
      </w:tr>
      <w:tr>
        <w:trPr>
          <w:trHeight w:val="110" w:hRule="exact"/>
        </w:trPr>
        <w:tc>
          <w:tcPr>
            <w:tcW w:w="2830" w:type="dxa"/>
            <w:vMerge/>
            <w:tcBorders>
              <w:left w:val="single" w:sz="4" w:space="0" w:color="000000"/>
              <w:bottom w:val="nil" w:sz="6" w:space="0" w:color="auto"/>
              <w:right w:val="single" w:sz="4" w:space="0" w:color="000000"/>
            </w:tcBorders>
            <w:shd w:val="clear" w:color="auto" w:fill="D2D2D2"/>
          </w:tcPr>
          <w:p>
            <w:pPr/>
          </w:p>
        </w:tc>
        <w:tc>
          <w:tcPr>
            <w:tcW w:w="3976" w:type="dxa"/>
            <w:vMerge w:val="restart"/>
            <w:tcBorders>
              <w:top w:val="nil" w:sz="6" w:space="0" w:color="auto"/>
              <w:left w:val="single" w:sz="10" w:space="0" w:color="D2D2D2"/>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当期财务报告中的重大错报；</w:t>
            </w:r>
          </w:p>
        </w:tc>
        <w:tc>
          <w:tcPr>
            <w:tcW w:w="2765" w:type="dxa"/>
            <w:vMerge w:val="restart"/>
            <w:tcBorders>
              <w:top w:val="nil" w:sz="6" w:space="0" w:color="auto"/>
              <w:left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重要岗位管理人员或核心</w:t>
            </w:r>
            <w:r>
              <w:rPr>
                <w:rFonts w:ascii="宋体" w:hAnsi="宋体" w:cs="宋体" w:eastAsia="宋体" w:hint="default"/>
                <w:spacing w:val="-3"/>
                <w:sz w:val="18"/>
                <w:szCs w:val="18"/>
              </w:rPr>
              <w:t>人</w:t>
            </w:r>
            <w:r>
              <w:rPr>
                <w:rFonts w:ascii="宋体" w:hAnsi="宋体" w:cs="宋体" w:eastAsia="宋体" w:hint="default"/>
                <w:sz w:val="18"/>
                <w:szCs w:val="18"/>
              </w:rPr>
              <w:t>员流</w:t>
            </w:r>
          </w:p>
        </w:tc>
      </w:tr>
      <w:tr>
        <w:trPr>
          <w:trHeight w:val="247" w:hRule="exact"/>
        </w:trPr>
        <w:tc>
          <w:tcPr>
            <w:tcW w:w="2830" w:type="dxa"/>
            <w:vMerge w:val="restart"/>
            <w:tcBorders>
              <w:top w:val="nil" w:sz="6" w:space="0" w:color="auto"/>
              <w:left w:val="single" w:sz="4" w:space="0" w:color="000000"/>
              <w:right w:val="single" w:sz="4" w:space="0" w:color="000000"/>
            </w:tcBorders>
            <w:shd w:val="clear" w:color="auto" w:fill="D2D2D2"/>
          </w:tcPr>
          <w:p>
            <w:pPr/>
          </w:p>
        </w:tc>
        <w:tc>
          <w:tcPr>
            <w:tcW w:w="3976" w:type="dxa"/>
            <w:vMerge/>
            <w:tcBorders>
              <w:left w:val="single" w:sz="10" w:space="0" w:color="D2D2D2"/>
              <w:bottom w:val="nil" w:sz="6" w:space="0" w:color="auto"/>
              <w:right w:val="single" w:sz="4" w:space="0" w:color="000000"/>
            </w:tcBorders>
          </w:tcPr>
          <w:p>
            <w:pPr/>
          </w:p>
        </w:tc>
        <w:tc>
          <w:tcPr>
            <w:tcW w:w="2765" w:type="dxa"/>
            <w:vMerge/>
            <w:tcBorders>
              <w:left w:val="single" w:sz="4" w:space="0" w:color="000000"/>
              <w:bottom w:val="nil" w:sz="6" w:space="0" w:color="auto"/>
              <w:right w:val="single" w:sz="4" w:space="0" w:color="000000"/>
            </w:tcBorders>
          </w:tcPr>
          <w:p>
            <w:pPr/>
          </w:p>
        </w:tc>
      </w:tr>
      <w:tr>
        <w:trPr>
          <w:trHeight w:val="307" w:hRule="exact"/>
        </w:trPr>
        <w:tc>
          <w:tcPr>
            <w:tcW w:w="2830" w:type="dxa"/>
            <w:vMerge/>
            <w:tcBorders>
              <w:left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）审计委员会和内部审计机构对公司的对外财务</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失严重影响公司生产、经营的；</w:t>
            </w:r>
          </w:p>
        </w:tc>
      </w:tr>
      <w:tr>
        <w:trPr>
          <w:trHeight w:val="358" w:hRule="exact"/>
        </w:trPr>
        <w:tc>
          <w:tcPr>
            <w:tcW w:w="2830" w:type="dxa"/>
            <w:vMerge/>
            <w:tcBorders>
              <w:left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9" w:right="0"/>
              <w:jc w:val="left"/>
              <w:rPr>
                <w:rFonts w:ascii="宋体" w:hAnsi="宋体" w:cs="宋体" w:eastAsia="宋体" w:hint="default"/>
                <w:sz w:val="18"/>
                <w:szCs w:val="18"/>
              </w:rPr>
            </w:pPr>
            <w:r>
              <w:rPr>
                <w:rFonts w:ascii="宋体" w:hAnsi="宋体" w:cs="宋体" w:eastAsia="宋体" w:hint="default"/>
                <w:sz w:val="18"/>
                <w:szCs w:val="18"/>
              </w:rPr>
              <w:t>报告和财务报告内部控制监督无效。</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重要业务缺乏制度控制或</w:t>
            </w:r>
            <w:r>
              <w:rPr>
                <w:rFonts w:ascii="宋体" w:hAnsi="宋体" w:cs="宋体" w:eastAsia="宋体" w:hint="default"/>
                <w:spacing w:val="-3"/>
                <w:sz w:val="18"/>
                <w:szCs w:val="18"/>
              </w:rPr>
              <w:t>制</w:t>
            </w:r>
            <w:r>
              <w:rPr>
                <w:rFonts w:ascii="宋体" w:hAnsi="宋体" w:cs="宋体" w:eastAsia="宋体" w:hint="default"/>
                <w:sz w:val="18"/>
                <w:szCs w:val="18"/>
              </w:rPr>
              <w:t>度系</w:t>
            </w:r>
          </w:p>
        </w:tc>
      </w:tr>
      <w:tr>
        <w:trPr>
          <w:trHeight w:val="306" w:hRule="exact"/>
        </w:trPr>
        <w:tc>
          <w:tcPr>
            <w:tcW w:w="2830" w:type="dxa"/>
            <w:vMerge/>
            <w:tcBorders>
              <w:left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、重要缺陷：是指一个或多个控制缺陷的组合，</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统失效；</w:t>
            </w:r>
          </w:p>
        </w:tc>
      </w:tr>
      <w:tr>
        <w:trPr>
          <w:trHeight w:val="759" w:hRule="exact"/>
        </w:trPr>
        <w:tc>
          <w:tcPr>
            <w:tcW w:w="2830" w:type="dxa"/>
            <w:vMerge/>
            <w:tcBorders>
              <w:left w:val="single" w:sz="4" w:space="0" w:color="000000"/>
              <w:bottom w:val="single" w:sz="4" w:space="0" w:color="000000"/>
              <w:right w:val="single" w:sz="4" w:space="0" w:color="000000"/>
            </w:tcBorders>
            <w:shd w:val="clear" w:color="auto" w:fill="D2D2D2"/>
          </w:tcPr>
          <w:p>
            <w:pPr/>
          </w:p>
        </w:tc>
        <w:tc>
          <w:tcPr>
            <w:tcW w:w="3976"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29" w:right="0"/>
              <w:jc w:val="left"/>
              <w:rPr>
                <w:rFonts w:ascii="宋体" w:hAnsi="宋体" w:cs="宋体" w:eastAsia="宋体" w:hint="default"/>
                <w:sz w:val="18"/>
                <w:szCs w:val="18"/>
              </w:rPr>
            </w:pPr>
            <w:r>
              <w:rPr>
                <w:rFonts w:ascii="宋体" w:hAnsi="宋体" w:cs="宋体" w:eastAsia="宋体" w:hint="default"/>
                <w:sz w:val="18"/>
                <w:szCs w:val="18"/>
              </w:rPr>
              <w:t>其严重程度和经济后果低于重大缺陷但仍有可能</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导致企业偏离控制目标。</w:t>
            </w:r>
          </w:p>
        </w:tc>
        <w:tc>
          <w:tcPr>
            <w:tcW w:w="2765" w:type="dxa"/>
            <w:tcBorders>
              <w:top w:val="nil" w:sz="6" w:space="0" w:color="auto"/>
              <w:left w:val="single" w:sz="4" w:space="0" w:color="000000"/>
              <w:bottom w:val="single" w:sz="4" w:space="0" w:color="000000"/>
              <w:right w:val="single" w:sz="4" w:space="0" w:color="000000"/>
            </w:tcBorders>
          </w:tcPr>
          <w:p>
            <w:pPr>
              <w:pStyle w:val="TableParagraph"/>
              <w:spacing w:line="300" w:lineRule="auto" w:before="98"/>
              <w:ind w:left="24"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）内部控制评价的结果是重大缺陷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但未得到整改；</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834"/>
        <w:gridCol w:w="3971"/>
        <w:gridCol w:w="2765"/>
      </w:tblGrid>
      <w:tr>
        <w:trPr>
          <w:trHeight w:val="320" w:hRule="exact"/>
        </w:trPr>
        <w:tc>
          <w:tcPr>
            <w:tcW w:w="2834" w:type="dxa"/>
            <w:vMerge w:val="restart"/>
            <w:tcBorders>
              <w:top w:val="single" w:sz="4" w:space="0" w:color="000000"/>
              <w:left w:val="single" w:sz="4" w:space="0" w:color="000000"/>
              <w:right w:val="single" w:sz="4" w:space="0" w:color="000000"/>
            </w:tcBorders>
            <w:shd w:val="clear" w:color="auto" w:fill="D2D2D2"/>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具有以下特征的缺陷或情形</w:t>
            </w:r>
            <w:r>
              <w:rPr>
                <w:rFonts w:ascii="Times New Roman" w:hAnsi="Times New Roman" w:cs="Times New Roman" w:eastAsia="Times New Roman" w:hint="default"/>
                <w:sz w:val="18"/>
                <w:szCs w:val="18"/>
              </w:rPr>
              <w:t>,</w:t>
            </w:r>
            <w:r>
              <w:rPr>
                <w:rFonts w:ascii="宋体" w:hAnsi="宋体" w:cs="宋体" w:eastAsia="宋体" w:hint="default"/>
                <w:sz w:val="18"/>
                <w:szCs w:val="18"/>
              </w:rPr>
              <w:t>通常应认定为重要缺</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82"/>
                <w:sz w:val="18"/>
                <w:szCs w:val="18"/>
              </w:rPr>
              <w:t>）</w:t>
            </w:r>
            <w:r>
              <w:rPr>
                <w:rFonts w:ascii="宋体" w:hAnsi="宋体" w:cs="宋体" w:eastAsia="宋体" w:hint="default"/>
                <w:sz w:val="18"/>
                <w:szCs w:val="18"/>
              </w:rPr>
              <w:t>公司遭受证监会处罚或受</w:t>
            </w:r>
            <w:r>
              <w:rPr>
                <w:rFonts w:ascii="宋体" w:hAnsi="宋体" w:cs="宋体" w:eastAsia="宋体" w:hint="default"/>
                <w:spacing w:val="-3"/>
                <w:sz w:val="18"/>
                <w:szCs w:val="18"/>
              </w:rPr>
              <w:t>到</w:t>
            </w:r>
            <w:r>
              <w:rPr>
                <w:rFonts w:ascii="宋体" w:hAnsi="宋体" w:cs="宋体" w:eastAsia="宋体" w:hint="default"/>
                <w:sz w:val="18"/>
                <w:szCs w:val="18"/>
              </w:rPr>
              <w:t>深交</w:t>
            </w:r>
          </w:p>
        </w:tc>
      </w:tr>
      <w:tr>
        <w:trPr>
          <w:trHeight w:val="333"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陷</w:t>
            </w:r>
            <w:r>
              <w:rPr>
                <w:rFonts w:ascii="Times New Roman" w:hAnsi="Times New Roman" w:cs="Times New Roman" w:eastAsia="Times New Roman" w:hint="default"/>
                <w:sz w:val="18"/>
                <w:szCs w:val="18"/>
              </w:rPr>
              <w:t>:</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所公开谴责。</w:t>
            </w:r>
          </w:p>
        </w:tc>
      </w:tr>
      <w:tr>
        <w:trPr>
          <w:trHeight w:val="332"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）未按照公认的会计准则选择和应用会计政策；</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不构成重大缺陷的非财务</w:t>
            </w:r>
            <w:r>
              <w:rPr>
                <w:rFonts w:ascii="宋体" w:hAnsi="宋体" w:cs="宋体" w:eastAsia="宋体" w:hint="default"/>
                <w:spacing w:val="-3"/>
                <w:sz w:val="18"/>
                <w:szCs w:val="18"/>
              </w:rPr>
              <w:t>报</w:t>
            </w:r>
            <w:r>
              <w:rPr>
                <w:rFonts w:ascii="宋体" w:hAnsi="宋体" w:cs="宋体" w:eastAsia="宋体" w:hint="default"/>
                <w:sz w:val="18"/>
                <w:szCs w:val="18"/>
              </w:rPr>
              <w:t>告内</w:t>
            </w:r>
          </w:p>
        </w:tc>
      </w:tr>
      <w:tr>
        <w:trPr>
          <w:trHeight w:val="371"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部控制缺陷认定为非重大缺陷。</w:t>
            </w:r>
          </w:p>
        </w:tc>
      </w:tr>
      <w:tr>
        <w:trPr>
          <w:trHeight w:val="332"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）对于非常规或特殊交易的账务处理没有建立相</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应的控制机制或没有实施且没有相应的补偿性控</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）对于期末财务报告过程的控制存在一项或多项</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缺陷且不能合理保证编制的财务报表达到真实、完</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整的目标。</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2834"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、除上述重大缺陷和重要缺陷之外的控制缺陷被</w:t>
            </w:r>
          </w:p>
        </w:tc>
        <w:tc>
          <w:tcPr>
            <w:tcW w:w="276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2834" w:type="dxa"/>
            <w:vMerge/>
            <w:tcBorders>
              <w:left w:val="single" w:sz="4" w:space="0" w:color="000000"/>
              <w:bottom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认定为一般缺陷。</w:t>
            </w:r>
          </w:p>
        </w:tc>
        <w:tc>
          <w:tcPr>
            <w:tcW w:w="276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2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重大缺陷：错报金额≥资产总额的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或错报金额</w:t>
            </w:r>
          </w:p>
        </w:tc>
        <w:tc>
          <w:tcPr>
            <w:tcW w:w="276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重大缺陷：资产总额的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w:t>
            </w:r>
          </w:p>
        </w:tc>
      </w:tr>
      <w:tr>
        <w:trPr>
          <w:trHeight w:val="332"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重要缺陷：资产总额的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≤错报金额＜资产总额</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重要缺陷：资产总额的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w:t>
            </w:r>
          </w:p>
        </w:tc>
      </w:tr>
      <w:tr>
        <w:trPr>
          <w:trHeight w:val="312"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≤错报金额＜营业收入的</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财产损失＜资产总额的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r>
      <w:tr>
        <w:trPr>
          <w:trHeight w:val="345"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一般缺陷：直接财产损失＜资产总</w:t>
            </w:r>
          </w:p>
        </w:tc>
      </w:tr>
      <w:tr>
        <w:trPr>
          <w:trHeight w:val="317"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一般缺陷：错报金额＜资产总额的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或错报金额</w:t>
            </w: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5" w:hRule="exact"/>
        </w:trPr>
        <w:tc>
          <w:tcPr>
            <w:tcW w:w="2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765"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1"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 大方面保持了与财务报表相关的有效的内部控制。</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6"/>
        <w:jc w:val="center"/>
        <w:rPr>
          <w:b w:val="0"/>
          <w:bCs w:val="0"/>
        </w:rPr>
      </w:pPr>
      <w:bookmarkStart w:name="_TOC_250001" w:id="10"/>
      <w:r>
        <w:rPr/>
        <w:t>第十节</w:t>
      </w:r>
      <w:r>
        <w:rPr>
          <w:spacing w:val="-1"/>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87"/>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01010036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pStyle w:val="BodyText"/>
        <w:spacing w:line="240" w:lineRule="auto" w:before="49"/>
        <w:ind w:left="3748" w:right="3786"/>
        <w:jc w:val="center"/>
      </w:pPr>
      <w:r>
        <w:rPr/>
        <w:t>审计报告正文</w:t>
      </w:r>
    </w:p>
    <w:p>
      <w:pPr>
        <w:spacing w:before="115"/>
        <w:ind w:left="153" w:right="187" w:firstLine="0"/>
        <w:jc w:val="left"/>
        <w:rPr>
          <w:rFonts w:ascii="宋体" w:hAnsi="宋体" w:cs="宋体" w:eastAsia="宋体" w:hint="default"/>
          <w:sz w:val="18"/>
          <w:szCs w:val="18"/>
        </w:rPr>
      </w:pPr>
      <w:r>
        <w:rPr>
          <w:rFonts w:ascii="宋体" w:hAnsi="宋体" w:cs="宋体" w:eastAsia="宋体" w:hint="default"/>
          <w:b/>
          <w:bCs/>
          <w:sz w:val="18"/>
          <w:szCs w:val="18"/>
        </w:rPr>
        <w:t>北京君正集成电路股份有限公司全体股东：</w:t>
      </w:r>
      <w:r>
        <w:rPr>
          <w:rFonts w:ascii="宋体" w:hAnsi="宋体" w:cs="宋体" w:eastAsia="宋体" w:hint="default"/>
          <w:sz w:val="18"/>
          <w:szCs w:val="18"/>
        </w:rPr>
      </w:r>
    </w:p>
    <w:p>
      <w:pPr>
        <w:pStyle w:val="BodyText"/>
        <w:spacing w:line="300" w:lineRule="auto" w:before="117"/>
        <w:ind w:right="188" w:firstLine="360"/>
        <w:jc w:val="both"/>
      </w:pPr>
      <w:r>
        <w:rPr>
          <w:spacing w:val="-2"/>
        </w:rPr>
        <w:t>我们审计了后附北京君正集成电路股份有限公司（以下简称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年度的合并及母公司利润表、合并及母公司现金流量表、合并及母公司所有者权益变动表，以及财务报</w:t>
      </w:r>
      <w:r>
        <w:rPr>
          <w:spacing w:val="-62"/>
        </w:rPr>
        <w:t> </w:t>
      </w:r>
      <w:r>
        <w:rPr>
          <w:spacing w:val="-62"/>
        </w:rPr>
      </w:r>
      <w:r>
        <w:rPr/>
        <w:t>表附注。</w:t>
      </w:r>
    </w:p>
    <w:p>
      <w:pPr>
        <w:spacing w:line="360" w:lineRule="auto" w:before="7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）按照企业会计准则的规定编制财务报表，并使</w:t>
      </w:r>
    </w:p>
    <w:p>
      <w:pPr>
        <w:pStyle w:val="BodyText"/>
        <w:spacing w:line="212" w:lineRule="exact"/>
        <w:ind w:right="187"/>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3"/>
        <w:ind w:left="513" w:right="187"/>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工作。中国注册会计师审计准则要求我们遵守中国注册会计师职业道德守则，计划和执行审计工作以对财务报表是否不存在</w:t>
      </w:r>
    </w:p>
    <w:p>
      <w:pPr>
        <w:pStyle w:val="BodyText"/>
        <w:spacing w:line="360" w:lineRule="auto" w:before="77"/>
        <w:ind w:left="513" w:right="93" w:hanging="360"/>
        <w:jc w:val="left"/>
      </w:pPr>
      <w:r>
        <w:rPr/>
        <w:t>重大错报获取合理保证。 审计工作涉及实施审计程序，以获取有关财务报表金额和披露的审计证据。选择的审计程序取决于注册会计师的判断，</w:t>
      </w:r>
    </w:p>
    <w:p>
      <w:pPr>
        <w:pStyle w:val="BodyText"/>
        <w:spacing w:line="222" w:lineRule="exact"/>
        <w:ind w:right="0"/>
        <w:jc w:val="left"/>
      </w:pPr>
      <w:r>
        <w:rPr/>
        <w:t>包括对由于舞弊或错误导致的财务报表重大错报风险的评估。在进行风险评估时，注册会计师考虑与财务报表编制和公允列</w:t>
      </w:r>
    </w:p>
    <w:p>
      <w:pPr>
        <w:pStyle w:val="BodyText"/>
        <w:spacing w:line="316" w:lineRule="auto" w:before="76"/>
        <w:ind w:right="187"/>
        <w:jc w:val="left"/>
      </w:pP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57" w:lineRule="auto" w:before="59"/>
        <w:ind w:left="513" w:right="315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29"/>
        <w:ind w:right="188" w:firstLine="360"/>
        <w:jc w:val="both"/>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tabs>
          <w:tab w:pos="5851" w:val="left" w:leader="none"/>
          <w:tab w:pos="7910" w:val="left" w:leader="none"/>
        </w:tabs>
        <w:spacing w:line="240" w:lineRule="auto"/>
        <w:ind w:right="187"/>
        <w:jc w:val="left"/>
        <w:rPr>
          <w:rFonts w:ascii="Times New Roman" w:hAnsi="Times New Roman" w:cs="Times New Roman" w:eastAsia="Times New Roman" w:hint="default"/>
        </w:rPr>
      </w:pPr>
      <w:r>
        <w:rPr/>
        <w:t>北京兴华</w:t>
        <w:tab/>
        <w:t>中国注册会计师：</w:t>
      </w:r>
      <w:r>
        <w:rPr>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BodyText"/>
        <w:tabs>
          <w:tab w:pos="7436" w:val="left" w:leader="none"/>
        </w:tabs>
        <w:spacing w:line="240" w:lineRule="auto" w:before="76"/>
        <w:ind w:right="187"/>
        <w:jc w:val="left"/>
      </w:pPr>
      <w:r>
        <w:rPr>
          <w:spacing w:val="-1"/>
        </w:rPr>
        <w:t>会计师事务所（特殊普通合伙）</w:t>
        <w:tab/>
      </w:r>
      <w:r>
        <w:rPr/>
        <w:t>傅映红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tabs>
          <w:tab w:pos="5822" w:val="left" w:leader="none"/>
          <w:tab w:pos="7881" w:val="left" w:leader="none"/>
        </w:tabs>
        <w:spacing w:line="240" w:lineRule="auto"/>
        <w:ind w:right="187"/>
        <w:jc w:val="left"/>
        <w:rPr>
          <w:rFonts w:ascii="Times New Roman" w:hAnsi="Times New Roman" w:cs="Times New Roman" w:eastAsia="Times New Roman" w:hint="default"/>
        </w:rPr>
      </w:pPr>
      <w:r>
        <w:rPr>
          <w:spacing w:val="-20"/>
        </w:rPr>
        <w:t>中国</w:t>
      </w:r>
      <w:r>
        <w:rPr>
          <w:rFonts w:ascii="Times New Roman" w:hAnsi="Times New Roman" w:cs="Times New Roman" w:eastAsia="Times New Roman" w:hint="default"/>
          <w:b/>
          <w:bCs/>
          <w:spacing w:val="-20"/>
        </w:rPr>
        <w:t>·</w:t>
      </w:r>
      <w:r>
        <w:rPr>
          <w:spacing w:val="-20"/>
        </w:rPr>
        <w:t>北京</w:t>
        <w:tab/>
      </w:r>
      <w:r>
        <w:rPr/>
        <w:t>中国注册会计师：</w:t>
      </w:r>
      <w:r>
        <w:rPr>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BodyText"/>
        <w:tabs>
          <w:tab w:pos="7400" w:val="left" w:leader="none"/>
        </w:tabs>
        <w:spacing w:line="240" w:lineRule="auto" w:before="62"/>
        <w:ind w:right="187"/>
        <w:jc w:val="left"/>
      </w:pPr>
      <w:r>
        <w:rPr/>
        <w:t>二○一六年三月二十五日</w:t>
        <w:tab/>
        <w:t>时彦禄</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20"/>
        <w:jc w:val="left"/>
      </w:pPr>
      <w:r>
        <w:rPr/>
        <w:t>编制单位：北京君正集成电路股份有限公司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4" w:space="502"/>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43,400,406.14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835,965,400.44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7,862,572.87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3,954,983.98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3,853,207.46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3,045,383.13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10,644,819.15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1,345,875.85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734,956.32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52,161,667.69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51,922,454.73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1,502,421.69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792,018,246.51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900,654,058.71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907,770,419.44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115,659,777.78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2,004,569.54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74,298,402.98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70,650,286.27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394,272.83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30,349,838.90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31,638,823.10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2,946,150.75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3,621,774.49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225,653,012.78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165,410,883.86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1,126,307,071.49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1,073,181,303.30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4,574,323.39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5,399,267.39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2,390,509.95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2,105,135.58</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5,424,968.09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3,736,749.66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3,157,241.14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-1,136,094.19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3,069,766.74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1,767,766.36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18,616,809.31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11,872,824.80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18,214,454.92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18,214,454.92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36,831,264.23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15,013,754.80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733,417,178.85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795,817,178.85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-888,107.40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-894,356.88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29,553,912.67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160,992,823.14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132,266,627.32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1,089,475,807.26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1,057,420,639.06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746,909.44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1,089,475,807.26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1,058,167,548.50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1,126,307,071.49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1,073,181,303.30</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法定代表人：刘强</w:t>
        <w:tab/>
      </w:r>
      <w:r>
        <w:rPr>
          <w:spacing w:val="-1"/>
        </w:rPr>
        <w:t>主管会计工作负责人：叶飞</w:t>
        <w:tab/>
      </w:r>
      <w:r>
        <w:rPr/>
        <w:t>会计机构负责人：李莉</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32,598,982.03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701,212,816.62</w:t>
            </w: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6,229,178.08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1,379,242.73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1,127,141.51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2,558,458.59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7,529,595.07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5,707,070.14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12,118,112.52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49,300,821.46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50,791,054.39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1,502,421.69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670,018,246.51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764,993,521.92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777,091,701.61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115,659,777.78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157,705,440.95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158,700,871.41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73,091,201.75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69,575,730.37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30,349,838.90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31,638,823.10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5,369,399.37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5,109,798.49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382,175,658.75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324,525,223.37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1,147,169,180.67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1,101,616,924.98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3,629,622.21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5,331,668.96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2,235,692.45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1,905,135.58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3,501,330.49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2,596,936.16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3,568,679.07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-1,206,770.20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17,979,704.09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18,631,611.12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30,915,028.31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27,258,581.62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12,214,454.92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12,214,454.92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43,129,483.23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30,399,511.62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739,107,772.86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801,507,772.86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29,553,912.67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168,978,011.91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139,478,450.73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1,104,039,697.44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1,071,217,413.36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1,147,169,180.67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1,101,616,924.98</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70,104,954.20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59,031,657.27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70,104,954.20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59,031,657.27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98,403,455.45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78,593,534.91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31,469,646.63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26,295,584.37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169998pt;margin-top:400.72998pt;width:192.75pt;height:19.6pt;mso-position-horizontal-relative:page;mso-position-vertical-relative:page;z-index:-81124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7.889999pt;margin-top:521.349976pt;width:192.05pt;height:19.6pt;mso-position-horizontal-relative:page;mso-position-vertical-relative:page;z-index:-81121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520.809998pt;width:158.9pt;height:20.65pt;mso-position-horizontal-relative:page;mso-position-vertical-relative:page;z-index:-811192" coordorigin="4220,10416" coordsize="3178,413">
            <v:group style="position:absolute;left:4231;top:10427;width:2;height:392" coordorigin="4231,10427" coordsize="2,392">
              <v:shape style="position:absolute;left:4231;top:10427;width:2;height:392" coordorigin="4231,10427" coordsize="0,392" path="m4231,10427l4231,10818e" filled="false" stroked="true" strokeweight="1.08pt" strokecolor="#ffffff">
                <v:path arrowok="t"/>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819,315.18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935,603.11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1,741,468.74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2,200,050.19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74,837,713.62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65,664,317.73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-12,397,340.80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-23,609,788.60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1,932,652.08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7,107,768.11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15,445,587.98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412" w:lineRule="exact"/>
              <w:ind w:left="6"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8.9pt;height:20.65pt;mso-position-horizontal-relative:char;mso-position-vertical-relative:line" coordorigin="0,0" coordsize="3178,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157;height:392" coordorigin="22,11" coordsize="3157,392">
                    <v:shape style="position:absolute;left:22;top:11;width:3157;height:392" coordorigin="22,11" coordsize="3157,392" path="m22,402l3178,402,3178,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-12,852,913.27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-18,487,220.25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51,765,634.81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7,744,950.52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1,470.87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1,137,335.83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2,010,780.05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37,775,385.71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-12,753,049.78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5,220,520.47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-2,759,485.90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32,554,865.24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-9,993,563.88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32,048,918.72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-10,029,719.23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505,946.52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36,155.35</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6,249.48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1,122.14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6,249.48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1,122.14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53"/>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6,249.48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1,122.14</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6,249.48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1,122.14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32,561,114.72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-9,992,441.74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32,055,168.20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-10,028,597.09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505,946.52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36,155.35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-0.0603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-0.0603</w:t>
            </w:r>
          </w:p>
        </w:tc>
      </w:tr>
    </w:tbl>
    <w:p>
      <w:pPr>
        <w:pStyle w:val="BodyText"/>
        <w:tabs>
          <w:tab w:pos="3667" w:val="left" w:leader="none"/>
          <w:tab w:pos="7899" w:val="left" w:leader="none"/>
        </w:tabs>
        <w:spacing w:line="597" w:lineRule="auto" w:before="49"/>
        <w:ind w:right="244"/>
        <w:jc w:val="both"/>
        <w:rPr>
          <w:rFonts w:ascii="宋体" w:hAnsi="宋体" w:cs="宋体" w:eastAsia="宋体" w:hint="default"/>
          <w:sz w:val="20"/>
          <w:szCs w:val="20"/>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法定代表人：刘强</w:t>
        <w:tab/>
      </w:r>
      <w:r>
        <w:rPr>
          <w:spacing w:val="-1"/>
        </w:rPr>
        <w:t>主管会计工作负责人：叶飞</w:t>
        <w:tab/>
      </w:r>
      <w:r>
        <w:rPr/>
        <w:t>会计机构负责人：李莉</w:t>
      </w:r>
      <w:r>
        <w:rPr/>
        <w:t>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pStyle w:val="BodyText"/>
        <w:spacing w:line="240" w:lineRule="auto" w:before="2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57,629,732.61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54,552,225.33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26,691,215.38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27,263,800.94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681,885.97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860,568.58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1,464,031.74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2,104,070.61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57,360,854.14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54,538,641.93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-11,279,401.76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-20,188,606.06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8,924,263.99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7,679,615.64</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14,220,343.57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-11,992,773.28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-16,631,208.92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50,272,344.03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7,605,556.92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1,110,885.83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1,765,818.14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37,168,684.92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-10,791,470.14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3,941,455.94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-3,893,885.31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33,227,228.98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-6,897,584.83</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33,227,228.98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-6,897,584.83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76,591,525.89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79,594,200.66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2,586,319.38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3,667,264.47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89,450,134.59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20,489,960.28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168,627,979.86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103,751,425.41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42,886,174.12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36,743,879.64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48,245,238.99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42,901,826.90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4,491,107.08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7,062,872.81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20,762,786.52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18,123,527.08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116,385,306.71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104,832,106.43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52,242,673.15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-1,080,681.02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1,789,340,222.22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17,199,586.34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1,806,541,308.56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86,084,457.39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9,790,889.24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6,445,222.73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2,638,518,246.51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3,057,804.37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2,651,366,940.12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86,445,222.73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-844,825,631.56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-360,765.34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1,069.51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-792,564,994.30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-11,861,724.59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835,965,400.44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847,827,125.03</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43,400,406.14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835,965,400.44</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61,194,982.08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74,535,236.68</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2,586,319.38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3,666,864.64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76,300,362.75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21,729,828.36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140,081,664.21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99,931,929.68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33,902,932.27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34,405,860.46</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31,344,718.22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31,187,892.33</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2,987,857.01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6,355,425.87</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21,713,289.02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20,668,005.29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89,948,796.52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92,617,183.95</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50,132,867.69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7,314,745.73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1,407,340,222.22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14,810,829.13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1,422,151,051.35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86,074,657.39</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6,380,864.63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5,717,827.86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2,134,518,246.51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2,140,899,111.14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225,717,827.86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-718,748,059.79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-139,643,170.47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-668,613,834.59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-142,749,692.59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701,212,816.62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843,962,509.21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32,598,982.03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701,212,816.62</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vMerge w:val="restart"/>
            <w:tcBorders>
              <w:top w:val="single" w:sz="4" w:space="0" w:color="000000"/>
              <w:left w:val="single" w:sz="4" w:space="0" w:color="000000"/>
              <w:right w:val="single" w:sz="4" w:space="0" w:color="000000"/>
            </w:tcBorders>
            <w:shd w:val="clear" w:color="auto" w:fill="D2D2D2"/>
          </w:tcPr>
          <w:p>
            <w:pP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3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5" w:hRule="exact"/>
        </w:trPr>
        <w:tc>
          <w:tcPr>
            <w:tcW w:w="143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8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3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-894,35</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132,266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,627.32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746,909</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.44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14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-894,35</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132,266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,627.32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746,909</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-62,400,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28,726,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195.82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-746,90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31,308,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258.76</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6,249.4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32,048,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918.72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left"/>
              <w:rPr>
                <w:rFonts w:ascii="Times New Roman" w:hAnsi="Times New Roman" w:cs="Times New Roman" w:eastAsia="Times New Roman" w:hint="default"/>
                <w:sz w:val="18"/>
                <w:szCs w:val="18"/>
              </w:rPr>
            </w:pPr>
            <w:r>
              <w:rPr>
                <w:rFonts w:ascii="Times New Roman"/>
                <w:sz w:val="18"/>
              </w:rPr>
              <w:t>505,946</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32,561,</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114.72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22.90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-62,400,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-62,400,</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55.96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55.96</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733,417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-888,10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912.67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160,992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,823.14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r>
    </w:tbl>
    <w:p>
      <w:pPr>
        <w:pStyle w:val="BodyText"/>
        <w:spacing w:line="240" w:lineRule="auto" w:before="49"/>
        <w:ind w:right="0"/>
        <w:jc w:val="left"/>
      </w:pPr>
      <w:r>
        <w:rPr/>
        <w:t>上期金额</w:t>
      </w:r>
    </w:p>
    <w:p>
      <w:pPr>
        <w:pStyle w:val="BodyText"/>
        <w:spacing w:line="240" w:lineRule="auto" w:before="117"/>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2"/>
        <w:gridCol w:w="665"/>
        <w:gridCol w:w="667"/>
        <w:gridCol w:w="665"/>
        <w:gridCol w:w="663"/>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3"/>
              <w:ind w:left="321" w:right="0"/>
              <w:jc w:val="left"/>
              <w:rPr>
                <w:rFonts w:ascii="Times New Roman" w:hAnsi="Times New Roman" w:cs="Times New Roman" w:eastAsia="Times New Roman" w:hint="default"/>
                <w:sz w:val="18"/>
                <w:szCs w:val="18"/>
              </w:rPr>
            </w:pPr>
            <w:r>
              <w:rPr>
                <w:rFonts w:ascii="Times New Roman"/>
                <w:sz w:val="18"/>
              </w:rPr>
              <w:t>9.02</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152,717</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,694.29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3"/>
              <w:ind w:left="393" w:right="0"/>
              <w:jc w:val="left"/>
              <w:rPr>
                <w:rFonts w:ascii="Times New Roman" w:hAnsi="Times New Roman" w:cs="Times New Roman" w:eastAsia="Times New Roman" w:hint="default"/>
                <w:sz w:val="18"/>
                <w:szCs w:val="18"/>
              </w:rPr>
            </w:pPr>
            <w:r>
              <w:rPr>
                <w:rFonts w:ascii="Times New Roman"/>
                <w:sz w:val="18"/>
              </w:rPr>
              <w:t>.09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9.02</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152,717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,694.29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-20,451,</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066.97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-20,413,</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789.48</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719.23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-9,992,4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41.74</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347.74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347.74</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347.74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347.74</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-894,35</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132,266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,627.32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746,909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9.77</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139,478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,450.73</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1,071,217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,413.36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9.77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139,478</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,450.73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1,071,217</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,413.36</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3,322,722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29,499,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561.18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32,822,28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228.98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33,227,22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8.98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3,322,722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22.90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22.90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-404,94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-404,944.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739,107,7</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29,553,91</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2.67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168,978</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1,104,039</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,697.44</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800"/>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9.77</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156,797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,383.30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1,088,536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,345.93</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156,797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,383.30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1,088,536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,345.93</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-17,318,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932.57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-17,318,9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32.57</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-6,897,5</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-6,897,58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4.83</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347.74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-10,421,3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47.74</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347.74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-10,421,3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47.74</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139,478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,450.73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1,071,217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,413.36</w:t>
            </w:r>
          </w:p>
        </w:tc>
      </w:tr>
    </w:tbl>
    <w:p>
      <w:pPr>
        <w:spacing w:line="240" w:lineRule="auto" w:before="1"/>
        <w:rPr>
          <w:rFonts w:ascii="宋体" w:hAnsi="宋体" w:cs="宋体" w:eastAsia="宋体" w:hint="default"/>
          <w:sz w:val="18"/>
          <w:szCs w:val="18"/>
        </w:rPr>
      </w:pPr>
    </w:p>
    <w:p>
      <w:pPr>
        <w:pStyle w:val="Heading2"/>
        <w:spacing w:line="240" w:lineRule="auto" w:before="26"/>
        <w:ind w:right="21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6" w:firstLine="360"/>
        <w:jc w:val="left"/>
      </w:pPr>
      <w:r>
        <w:rPr/>
        <w:t>北京君正集成电路股份有限公司（以下简称为</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）系由北京君正集成电路有限公司整体变更设立的股份 </w:t>
      </w:r>
      <w:r>
        <w:rPr>
          <w:spacing w:val="-2"/>
        </w:rPr>
        <w:t>有限公司。公司于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日领取了北京市工商行政管理局颁发的</w:t>
      </w:r>
      <w:r>
        <w:rPr>
          <w:rFonts w:ascii="Times New Roman" w:hAnsi="Times New Roman" w:cs="Times New Roman" w:eastAsia="Times New Roman" w:hint="default"/>
          <w:spacing w:val="-2"/>
        </w:rPr>
        <w:t>110108008639445</w:t>
      </w:r>
      <w:r>
        <w:rPr>
          <w:spacing w:val="-2"/>
        </w:rPr>
        <w:t>号营业执照，注册资本为</w:t>
      </w:r>
      <w:r>
        <w:rPr>
          <w:rFonts w:ascii="Times New Roman" w:hAnsi="Times New Roman" w:cs="Times New Roman" w:eastAsia="Times New Roman" w:hint="default"/>
          <w:spacing w:val="-2"/>
        </w:rPr>
        <w:t>6,000</w:t>
      </w:r>
      <w:r>
        <w:rPr>
          <w:spacing w:val="-2"/>
        </w:rPr>
        <w:t>万元，</w:t>
      </w:r>
      <w:r>
        <w:rPr>
          <w:spacing w:val="-87"/>
        </w:rPr>
        <w:t> </w:t>
      </w:r>
      <w:r>
        <w:rPr/>
        <w:t>公司法定代表人为刘强。</w:t>
      </w:r>
    </w:p>
    <w:p>
      <w:pPr>
        <w:pStyle w:val="BodyText"/>
        <w:spacing w:line="300" w:lineRule="auto" w:before="70"/>
        <w:ind w:right="212" w:firstLine="360"/>
        <w:jc w:val="both"/>
      </w:pPr>
      <w:r>
        <w:rPr/>
        <w:t>公司</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号文《关于核准北京君正集成电路股份 有限公司首次公开发行股票并在创业板上市的批复》核准，公司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2,000</w:t>
      </w:r>
      <w:r>
        <w:rPr/>
        <w:t>万股并</w:t>
      </w:r>
      <w:r>
        <w:rPr>
          <w:spacing w:val="-83"/>
        </w:rPr>
        <w:t> </w:t>
      </w:r>
      <w:r>
        <w:rPr>
          <w:spacing w:val="-83"/>
        </w:rPr>
      </w:r>
      <w:r>
        <w:rPr/>
        <w:t>在深圳创业板上市交易。公司注册资本变更为</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w:t>
      </w:r>
    </w:p>
    <w:p>
      <w:pPr>
        <w:pStyle w:val="BodyText"/>
        <w:spacing w:line="300" w:lineRule="auto" w:before="53"/>
        <w:ind w:right="208" w:firstLine="360"/>
        <w:jc w:val="both"/>
      </w:pP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2011</w:t>
      </w:r>
      <w:r>
        <w:rPr>
          <w:spacing w:val="-1"/>
        </w:rPr>
        <w:t>年年度股东大会会议决议，本公司申请增加注册资本人民币</w:t>
      </w:r>
      <w:r>
        <w:rPr>
          <w:rFonts w:ascii="Times New Roman" w:hAnsi="Times New Roman" w:cs="Times New Roman" w:eastAsia="Times New Roman" w:hint="default"/>
          <w:spacing w:val="-1"/>
        </w:rPr>
        <w:t>2,400</w:t>
      </w:r>
      <w:r>
        <w:rPr>
          <w:spacing w:val="-1"/>
        </w:rPr>
        <w:t>万元，由资本公积转增</w:t>
      </w:r>
      <w:r>
        <w:rPr/>
        <w:t> </w:t>
      </w:r>
      <w:r>
        <w:rPr>
          <w:spacing w:val="-1"/>
        </w:rPr>
        <w:t>股本，转增基准日期为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日，变更后的股本为人民币</w:t>
      </w:r>
      <w:r>
        <w:rPr>
          <w:rFonts w:ascii="Times New Roman" w:hAnsi="Times New Roman" w:cs="Times New Roman" w:eastAsia="Times New Roman" w:hint="default"/>
          <w:spacing w:val="-1"/>
        </w:rPr>
        <w:t>10,400</w:t>
      </w:r>
      <w:r>
        <w:rPr>
          <w:spacing w:val="-1"/>
        </w:rPr>
        <w:t>万元。上述出资经北京兴华会计师事务所有限责任公</w:t>
      </w:r>
      <w:r>
        <w:rPr>
          <w:spacing w:val="-78"/>
        </w:rPr>
        <w:t> </w:t>
      </w:r>
      <w:r>
        <w:rPr>
          <w:spacing w:val="-78"/>
        </w:rPr>
      </w:r>
      <w:r>
        <w:rPr/>
        <w:t>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pStyle w:val="BodyText"/>
        <w:spacing w:line="240" w:lineRule="auto" w:before="53"/>
        <w:ind w:left="513" w:right="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2014</w:t>
      </w:r>
      <w:r>
        <w:rPr/>
        <w:t>年年度股东大会决议，公司以资本公积金向公司全体股东每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股，合计转增股本</w:t>
      </w:r>
    </w:p>
    <w:p>
      <w:pPr>
        <w:pStyle w:val="BodyText"/>
        <w:spacing w:line="240" w:lineRule="auto" w:before="62"/>
        <w:ind w:right="213"/>
        <w:jc w:val="left"/>
      </w:pPr>
      <w:r>
        <w:rPr>
          <w:rFonts w:ascii="Times New Roman" w:hAnsi="Times New Roman" w:cs="Times New Roman" w:eastAsia="Times New Roman" w:hint="default"/>
        </w:rPr>
        <w:t>6,240</w:t>
      </w:r>
      <w:r>
        <w:rPr/>
        <w:t>万股，转增后的公司注册资本为</w:t>
      </w:r>
      <w:r>
        <w:rPr>
          <w:rFonts w:ascii="Times New Roman" w:hAnsi="Times New Roman" w:cs="Times New Roman" w:eastAsia="Times New Roman" w:hint="default"/>
        </w:rPr>
        <w:t>16,640</w:t>
      </w:r>
      <w:r>
        <w:rPr/>
        <w:t>万元。</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93" w:firstLine="360"/>
        <w:jc w:val="left"/>
      </w:pPr>
      <w:r>
        <w:rPr>
          <w:spacing w:val="-2"/>
        </w:rPr>
        <w:t>公司经营范围：研发、设计、委托加工、销售半导体集成电路芯片；计算机软硬件及计算机网络软硬件产品的设计、开</w:t>
      </w:r>
      <w:r>
        <w:rPr>
          <w:spacing w:val="-15"/>
        </w:rPr>
        <w:t> </w:t>
      </w:r>
      <w:r>
        <w:rPr/>
        <w:t>发；销售计算机软、硬件及其辅助设备、电子元器件、通讯设备；技术开发、技术转让、技术咨询、技术服务、技术培训；</w:t>
      </w:r>
      <w:r>
        <w:rPr/>
        <w:t> 技术检测；货物进出口、技术进出口、代理进出口。</w:t>
      </w:r>
    </w:p>
    <w:p>
      <w:pPr>
        <w:pStyle w:val="BodyText"/>
        <w:spacing w:line="338" w:lineRule="auto" w:before="58"/>
        <w:ind w:left="513" w:right="187"/>
        <w:jc w:val="left"/>
      </w:pPr>
      <w:r>
        <w:rPr/>
        <w:t>本财务报告的批准报出日为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 </w:t>
      </w:r>
      <w:r>
        <w:rPr>
          <w:spacing w:val="-2"/>
        </w:rPr>
        <w:t>根据北京君诚易恒科技有限公司成立时各股东签订的投资协议，君诚易恒净利润达到一定标准后，公司将把所持有的君</w:t>
      </w:r>
    </w:p>
    <w:p>
      <w:pPr>
        <w:pStyle w:val="BodyText"/>
        <w:spacing w:line="300" w:lineRule="auto" w:before="2"/>
        <w:ind w:right="188"/>
        <w:jc w:val="both"/>
      </w:pPr>
      <w:r>
        <w:rPr>
          <w:spacing w:val="-1"/>
        </w:rPr>
        <w:t>诚易恒</w:t>
      </w:r>
      <w:r>
        <w:rPr>
          <w:rFonts w:ascii="Times New Roman" w:hAnsi="Times New Roman" w:cs="Times New Roman" w:eastAsia="Times New Roman" w:hint="default"/>
          <w:spacing w:val="-1"/>
        </w:rPr>
        <w:t>35%</w:t>
      </w:r>
      <w:r>
        <w:rPr>
          <w:spacing w:val="-1"/>
        </w:rPr>
        <w:t>的股权转让给管理层股东。</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月，君诚易恒已经达到承诺要求，公司依据协议将所持君诚易恒</w:t>
      </w:r>
      <w:r>
        <w:rPr>
          <w:rFonts w:ascii="Times New Roman" w:hAnsi="Times New Roman" w:cs="Times New Roman" w:eastAsia="Times New Roman" w:hint="default"/>
          <w:spacing w:val="-1"/>
        </w:rPr>
        <w:t>35%</w:t>
      </w:r>
      <w:r>
        <w:rPr>
          <w:spacing w:val="-1"/>
        </w:rPr>
        <w:t>的股权</w:t>
      </w:r>
      <w:r>
        <w:rPr>
          <w:spacing w:val="-56"/>
        </w:rPr>
        <w:t> </w:t>
      </w:r>
      <w:r>
        <w:rPr>
          <w:spacing w:val="-1"/>
        </w:rPr>
        <w:t>转让给管理层股东，转让后，公司仍持有君诚易恒</w:t>
      </w:r>
      <w:r>
        <w:rPr>
          <w:rFonts w:ascii="Times New Roman" w:hAnsi="Times New Roman" w:cs="Times New Roman" w:eastAsia="Times New Roman" w:hint="default"/>
          <w:spacing w:val="-1"/>
        </w:rPr>
        <w:t>40%</w:t>
      </w:r>
      <w:r>
        <w:rPr>
          <w:spacing w:val="-1"/>
        </w:rPr>
        <w:t>的股权。本公司对其由控制变为具有重大影响，因此本期只合并北京</w:t>
      </w:r>
      <w:r>
        <w:rPr>
          <w:spacing w:val="-88"/>
        </w:rPr>
        <w:t> </w:t>
      </w:r>
      <w:r>
        <w:rPr>
          <w:spacing w:val="-88"/>
        </w:rPr>
      </w:r>
      <w:r>
        <w:rPr/>
        <w:t>君诚易恒科技有限公司</w:t>
      </w:r>
      <w:r>
        <w:rPr>
          <w:rFonts w:ascii="Times New Roman" w:hAnsi="Times New Roman" w:cs="Times New Roman" w:eastAsia="Times New Roman" w:hint="default"/>
        </w:rPr>
        <w:t>1-12</w:t>
      </w:r>
      <w:r>
        <w:rPr/>
        <w:t>月利润表，期末不再合并资产负债表。具体见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w:t>
      </w:r>
      <w:r>
        <w:rPr>
          <w:spacing w:val="-31"/>
        </w:rPr>
        <w:t> </w:t>
      </w:r>
      <w:r>
        <w:rPr>
          <w:spacing w:val="-31"/>
        </w:rPr>
      </w:r>
      <w:r>
        <w:rPr/>
        <w:t>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00" w:firstLine="360"/>
        <w:jc w:val="both"/>
      </w:pPr>
      <w:r>
        <w:rPr>
          <w:spacing w:val="-2"/>
        </w:rPr>
        <w:t>本公司以持续经营为基础，根据实际发生的交易和事项，按照财政部发布的《企业会计准则—基本准则》、</w:t>
      </w:r>
      <w:r>
        <w:rPr>
          <w:rFonts w:ascii="宋体" w:hAnsi="宋体" w:cs="宋体" w:eastAsia="宋体" w:hint="default"/>
          <w:spacing w:val="-2"/>
        </w:rPr>
        <w:t>41</w:t>
      </w:r>
      <w:r>
        <w:rPr>
          <w:spacing w:val="-2"/>
        </w:rPr>
        <w:t>项具体会</w:t>
      </w:r>
      <w:r>
        <w:rPr/>
        <w:t> </w:t>
      </w:r>
      <w:r>
        <w:rPr>
          <w:spacing w:val="-2"/>
        </w:rPr>
        <w:t>计准则、企业会计准则应用指南、企业会计准则解释及其他相关规定（以下简称“企业会计准则”）以及中国证券监督管理</w:t>
      </w:r>
      <w:r>
        <w:rPr>
          <w:spacing w:val="-64"/>
        </w:rPr>
        <w:t> </w:t>
      </w:r>
      <w:r>
        <w:rPr>
          <w:spacing w:val="-64"/>
        </w:rPr>
      </w:r>
      <w:r>
        <w:rPr>
          <w:spacing w:val="-2"/>
        </w:rPr>
        <w:t>委员会《公开发行证券的公司信息披露编报规则第</w:t>
      </w:r>
      <w:r>
        <w:rPr>
          <w:rFonts w:ascii="宋体" w:hAnsi="宋体" w:cs="宋体" w:eastAsia="宋体" w:hint="default"/>
          <w:spacing w:val="-2"/>
        </w:rPr>
        <w:t>15</w:t>
      </w:r>
      <w:r>
        <w:rPr>
          <w:rFonts w:ascii="宋体" w:hAnsi="宋体" w:cs="宋体" w:eastAsia="宋体" w:hint="default"/>
          <w:spacing w:val="32"/>
        </w:rPr>
        <w:t> </w:t>
      </w:r>
      <w:r>
        <w:rPr>
          <w:spacing w:val="-2"/>
        </w:rPr>
        <w:t>号——财务报告的一般规定》</w:t>
      </w:r>
      <w:r>
        <w:rPr>
          <w:rFonts w:ascii="宋体" w:hAnsi="宋体" w:cs="宋体" w:eastAsia="宋体" w:hint="default"/>
          <w:spacing w:val="-2"/>
        </w:rPr>
        <w:t>(2014</w:t>
      </w:r>
      <w:r>
        <w:rPr>
          <w:spacing w:val="-2"/>
        </w:rPr>
        <w:t>年修订</w:t>
      </w:r>
      <w:r>
        <w:rPr>
          <w:rFonts w:ascii="宋体" w:hAnsi="宋体" w:cs="宋体" w:eastAsia="宋体" w:hint="default"/>
          <w:spacing w:val="-2"/>
        </w:rPr>
        <w:t>)</w:t>
      </w:r>
      <w:r>
        <w:rPr>
          <w:spacing w:val="-2"/>
        </w:rPr>
        <w:t>的披露规定编制财务报表。</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公司自本报告期末起</w:t>
      </w:r>
      <w:r>
        <w:rPr>
          <w:rFonts w:ascii="宋体" w:hAnsi="宋体" w:cs="宋体" w:eastAsia="宋体" w:hint="default"/>
        </w:rPr>
        <w:t>12</w:t>
      </w:r>
      <w:r>
        <w:rPr/>
        <w:t>个月具备持续经营能力，无影响持续经营能力的重大事项。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7"/>
        <w:jc w:val="left"/>
      </w:pPr>
      <w:r>
        <w:rPr>
          <w:spacing w:val="-2"/>
        </w:rPr>
        <w:t>具体会计政策和会计估计提示：本公司下列重要会计政策、会计估计根据企业会计准则制定。未提及的业务按企业会计准则</w:t>
      </w:r>
      <w:r>
        <w:rPr>
          <w:spacing w:val="-64"/>
        </w:rPr>
        <w:t> </w:t>
      </w:r>
      <w:r>
        <w:rPr>
          <w:spacing w:val="-64"/>
        </w:rPr>
      </w:r>
      <w:r>
        <w:rPr/>
        <w:t>中相关会计政策执行。</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87" w:firstLine="360"/>
        <w:jc w:val="left"/>
      </w:pPr>
      <w:r>
        <w:rPr>
          <w:spacing w:val="-2"/>
        </w:rPr>
        <w:t>本公司所编制的财务报表符合企业会计准则的要求，真实、完整地反映了企业的财务状况、经营成果和现金流量等有关</w:t>
      </w:r>
      <w:r>
        <w:rPr/>
        <w:t> 信息。</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本公司以公历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7"/>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本公司以</w:t>
      </w:r>
      <w:r>
        <w:rPr>
          <w:rFonts w:ascii="Times New Roman" w:hAnsi="Times New Roman" w:cs="Times New Roman" w:eastAsia="Times New Roman" w:hint="default"/>
        </w:rPr>
        <w:t>12</w:t>
      </w:r>
      <w:r>
        <w:rPr/>
        <w:t>个月为一个正常的营业周期，并以营业周期作为资产和负债的流动性划分标准。</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本公司以人民币为记账本位币，本公司控股子公司北京君正集成电路（香港）集团有限公司以美元为记账本位币。</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187"/>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13" w:right="187"/>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360" w:lineRule="auto" w:before="2"/>
        <w:ind w:left="513" w:right="187" w:hanging="360"/>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222" w:lineRule="exact"/>
        <w:ind w:right="187"/>
        <w:jc w:val="left"/>
      </w:pPr>
      <w:r>
        <w:rPr/>
        <w:t>的会计政策与本公司不一致的，在合并日按照本公司会计政策进行调整，在此基础上按照调整后的账面价值确认。</w:t>
      </w:r>
    </w:p>
    <w:p>
      <w:pPr>
        <w:pStyle w:val="BodyText"/>
        <w:spacing w:line="316" w:lineRule="auto" w:before="117"/>
        <w:ind w:right="192"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57"/>
        <w:ind w:right="193"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360" w:lineRule="auto" w:before="59"/>
        <w:ind w:left="513" w:right="93"/>
        <w:jc w:val="left"/>
      </w:pPr>
      <w:r>
        <w:rPr/>
        <w:t>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12" w:lineRule="exact"/>
        <w:ind w:right="187"/>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01"/>
        <w:ind w:right="193"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72"/>
        <w:ind w:right="191"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3"/>
        </w:rPr>
        <w:t> </w:t>
      </w:r>
      <w:r>
        <w:rPr>
          <w:spacing w:val="-63"/>
        </w:rPr>
      </w:r>
      <w:r>
        <w:rPr/>
        <w:t>或股本溢价），资本公积（资本溢价或股本溢价）不足冲减的，冲减留存收益。</w:t>
      </w:r>
    </w:p>
    <w:p>
      <w:pPr>
        <w:pStyle w:val="BodyText"/>
        <w:spacing w:line="314" w:lineRule="auto" w:before="65"/>
        <w:ind w:right="188"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2"/>
        </w:rPr>
        <w:t> </w:t>
      </w:r>
      <w:r>
        <w:rPr>
          <w:spacing w:val="-62"/>
        </w:rPr>
      </w:r>
      <w:r>
        <w:rPr/>
        <w:t>例结转，处置后的剩余股权改按金融工具确认和计量准则进行会计处理的，其他综合收益和其他所有者权益应全部结转。</w:t>
      </w:r>
    </w:p>
    <w:p>
      <w:pPr>
        <w:pStyle w:val="BodyText"/>
        <w:spacing w:line="240" w:lineRule="auto" w:before="59"/>
        <w:ind w:left="513" w:right="187"/>
        <w:jc w:val="left"/>
      </w:pPr>
      <w:r>
        <w:rPr/>
        <w:t>（</w:t>
      </w:r>
      <w:r>
        <w:rPr>
          <w:rFonts w:ascii="Times New Roman" w:hAnsi="Times New Roman" w:cs="Times New Roman" w:eastAsia="Times New Roman" w:hint="default"/>
        </w:rPr>
        <w:t>4</w:t>
      </w:r>
      <w:r>
        <w:rPr/>
        <w:t>）在合并财务报表中的会计处理见本附注四、（六）。</w:t>
      </w:r>
    </w:p>
    <w:p>
      <w:pPr>
        <w:pStyle w:val="BodyText"/>
        <w:spacing w:line="348" w:lineRule="auto" w:before="103"/>
        <w:ind w:left="513" w:right="0"/>
        <w:jc w:val="left"/>
      </w:pP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360" w:lineRule="auto"/>
        <w:ind w:left="513" w:right="187" w:hanging="360"/>
        <w:jc w:val="left"/>
      </w:pPr>
      <w:r>
        <w:rPr/>
        <w:t>计入当期损益。 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22" w:lineRule="exact"/>
        <w:ind w:right="187"/>
        <w:jc w:val="left"/>
      </w:pPr>
      <w:r>
        <w:rPr/>
        <w:t>得的被购买方可辨认净资产公允价值份额的差额，经复核后，计入当期损益。</w:t>
      </w:r>
    </w:p>
    <w:p>
      <w:pPr>
        <w:pStyle w:val="BodyText"/>
        <w:spacing w:line="316" w:lineRule="auto" w:before="115"/>
        <w:ind w:right="193" w:firstLine="360"/>
        <w:jc w:val="both"/>
      </w:pPr>
      <w:r>
        <w:rPr>
          <w:spacing w:val="-2"/>
        </w:rPr>
        <w:t>购买方为企业合并发生的审计、法律服务、评估咨询等中介费用以及其他相关管理费用，于发生时计入当期损益；购买</w:t>
      </w:r>
      <w:r>
        <w:rPr/>
        <w:t> 方作为合并对价发行的权益性证券或债务性证券的交易费用，计入权益性证券或债务性证券的初始确认金额。</w:t>
      </w:r>
    </w:p>
    <w:p>
      <w:pPr>
        <w:pStyle w:val="BodyText"/>
        <w:spacing w:line="300" w:lineRule="auto" w:before="60"/>
        <w:ind w:right="191" w:firstLine="360"/>
        <w:jc w:val="both"/>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的，区别个别财务报表和合并财务报表进行相关会计处理；</w:t>
      </w:r>
    </w:p>
    <w:p>
      <w:pPr>
        <w:pStyle w:val="BodyText"/>
        <w:spacing w:line="316" w:lineRule="auto" w:before="51"/>
        <w:ind w:right="190" w:firstLine="360"/>
        <w:jc w:val="both"/>
      </w:pPr>
      <w:r>
        <w:rPr>
          <w:spacing w:val="-2"/>
        </w:rPr>
        <w:t>在个别财务报表中，以购买日之前所持被购买方的股权投资的账面价值与购买日新增投资成本之和，作为改按成本法核</w:t>
      </w:r>
      <w:r>
        <w:rPr/>
        <w:t> </w:t>
      </w:r>
      <w:r>
        <w:rPr>
          <w:spacing w:val="-2"/>
        </w:rPr>
        <w:t>算的初始投资成本；购买日之前持有的被购买方的股权投资因采用权益法核算而确认的其他综合收益，在处置该项投资时采</w:t>
      </w:r>
      <w:r>
        <w:rPr>
          <w:spacing w:val="-64"/>
        </w:rPr>
        <w:t> </w:t>
      </w:r>
      <w:r>
        <w:rPr>
          <w:spacing w:val="-64"/>
        </w:rPr>
      </w:r>
      <w:r>
        <w:rPr>
          <w:spacing w:val="-2"/>
        </w:rPr>
        <w:t>用与被投资单位直接处置相关资产或负债相同的基础进行会计处理，因被投资方除净损益、其他综合收益和利润分配以外的</w:t>
      </w:r>
      <w:r>
        <w:rPr>
          <w:spacing w:val="-64"/>
        </w:rPr>
        <w:t> </w:t>
      </w:r>
      <w:r>
        <w:rPr>
          <w:spacing w:val="-64"/>
        </w:rPr>
      </w:r>
      <w:r>
        <w:rPr>
          <w:spacing w:val="-2"/>
        </w:rPr>
        <w:t>其他所有者权益变动而确认的所有者权益，在处置该项投资时转入处置期间的当期损益。其中，处置后的剩余股权根据长期</w:t>
      </w:r>
      <w:r>
        <w:rPr>
          <w:spacing w:val="-63"/>
        </w:rPr>
        <w:t> </w:t>
      </w:r>
      <w:r>
        <w:rPr>
          <w:spacing w:val="-63"/>
        </w:rPr>
      </w:r>
      <w:r>
        <w:rPr>
          <w:spacing w:val="-2"/>
        </w:rPr>
        <w:t>股权投资准则采用成本法或权益法核算的，其他综合收益和其他所有者权益应按比例结转，处置后的剩余股权改按金融工具</w:t>
      </w:r>
      <w:r>
        <w:rPr>
          <w:spacing w:val="-65"/>
        </w:rPr>
        <w:t> </w:t>
      </w:r>
      <w:r>
        <w:rPr>
          <w:spacing w:val="-65"/>
        </w:rPr>
      </w:r>
      <w:r>
        <w:rPr>
          <w:spacing w:val="-2"/>
        </w:rPr>
        <w:t>确认和计量准则进行会计处理的，其他综合收益和其他所有者权益应全部结转。购买日之前持有的股权投资，采用金融工具</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w:t>
      </w:r>
      <w:r>
        <w:rPr>
          <w:spacing w:val="-11"/>
        </w:rPr>
        <w:t> </w:t>
      </w:r>
      <w:r>
        <w:rPr>
          <w:spacing w:val="-11"/>
        </w:rPr>
      </w:r>
      <w:r>
        <w:rPr/>
        <w:t>损益。</w:t>
      </w:r>
    </w:p>
    <w:p>
      <w:pPr>
        <w:pStyle w:val="BodyText"/>
        <w:spacing w:line="348" w:lineRule="auto" w:before="58"/>
        <w:ind w:left="513" w:right="4773"/>
        <w:jc w:val="left"/>
      </w:pPr>
      <w:r>
        <w:rPr/>
        <w:t>在合并财务报表中的会计处理见本附注四、（六）。 </w:t>
      </w:r>
      <w:r>
        <w:rPr>
          <w:rFonts w:ascii="Times New Roman" w:hAnsi="Times New Roman" w:cs="Times New Roman" w:eastAsia="Times New Roman" w:hint="default"/>
        </w:rPr>
        <w:t>3</w:t>
      </w:r>
      <w:r>
        <w:rPr/>
        <w:t>、将多次交易事项判断为一揽子交易的判断标准 本公司将多次交易事项判断为一揽子交易的判断标准如下：</w:t>
      </w:r>
    </w:p>
    <w:p>
      <w:pPr>
        <w:pStyle w:val="BodyText"/>
        <w:spacing w:line="240" w:lineRule="auto" w:before="36"/>
        <w:ind w:left="513" w:right="187"/>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187"/>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87"/>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3"/>
        <w:ind w:left="513" w:right="187"/>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6"/>
        <w:rPr>
          <w:rFonts w:ascii="宋体" w:hAnsi="宋体" w:cs="宋体" w:eastAsia="宋体" w:hint="default"/>
          <w:sz w:val="26"/>
          <w:szCs w:val="26"/>
        </w:rPr>
      </w:pPr>
    </w:p>
    <w:p>
      <w:pPr>
        <w:pStyle w:val="Heading3"/>
        <w:spacing w:line="240" w:lineRule="auto"/>
        <w:ind w:right="187"/>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6"/>
          <w:szCs w:val="26"/>
        </w:rPr>
      </w:pPr>
    </w:p>
    <w:p>
      <w:pPr>
        <w:pStyle w:val="BodyText"/>
        <w:spacing w:line="316" w:lineRule="auto"/>
        <w:ind w:right="191"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5"/>
        </w:rPr>
        <w:t> </w:t>
      </w:r>
      <w:r>
        <w:rPr>
          <w:spacing w:val="-65"/>
        </w:rPr>
      </w:r>
      <w:r>
        <w:rPr/>
        <w:t>活动。</w:t>
      </w:r>
    </w:p>
    <w:p>
      <w:pPr>
        <w:pStyle w:val="BodyText"/>
        <w:spacing w:line="316" w:lineRule="auto" w:before="59"/>
        <w:ind w:right="19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7"/>
        </w:rPr>
        <w:t> </w:t>
      </w:r>
      <w:r>
        <w:rPr>
          <w:spacing w:val="-67"/>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3"/>
        </w:rPr>
        <w:t> </w:t>
      </w:r>
      <w:r>
        <w:rPr>
          <w:spacing w:val="-63"/>
        </w:rPr>
      </w:r>
      <w:r>
        <w:rPr/>
        <w:t>部交易表明相关资产发生减值损失的，全额确认该部分损失；站在企业集团角度对特殊交易事项予以调整。</w:t>
      </w:r>
    </w:p>
    <w:p>
      <w:pPr>
        <w:pStyle w:val="BodyText"/>
        <w:spacing w:line="300" w:lineRule="auto" w:before="59"/>
        <w:ind w:right="193" w:firstLine="36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w:t>
      </w:r>
    </w:p>
    <w:p>
      <w:pPr>
        <w:pStyle w:val="BodyText"/>
        <w:spacing w:line="300" w:lineRule="auto" w:before="51"/>
        <w:ind w:right="130"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6" w:lineRule="auto" w:before="53"/>
        <w:ind w:right="192"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59"/>
        <w:ind w:right="188" w:firstLine="360"/>
        <w:jc w:val="both"/>
      </w:pPr>
      <w:r>
        <w:rPr>
          <w:spacing w:val="-2"/>
        </w:rPr>
        <w:t>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5"/>
        </w:rPr>
        <w:t> </w:t>
      </w:r>
      <w:r>
        <w:rPr/>
        <w:t>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w:t>
      </w:r>
      <w:r>
        <w:rPr>
          <w:spacing w:val="-74"/>
        </w:rPr>
        <w:t> </w:t>
      </w:r>
      <w:r>
        <w:rPr>
          <w:spacing w:val="-74"/>
        </w:rPr>
      </w:r>
      <w:r>
        <w:rPr/>
        <w:t>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51"/>
        <w:ind w:right="189"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4"/>
        </w:rPr>
        <w:t> </w:t>
      </w:r>
      <w:r>
        <w:rPr>
          <w:spacing w:val="-64"/>
        </w:rPr>
      </w:r>
      <w:r>
        <w:rPr/>
        <w:t>较报表的相关项目进行调整，视同合并后的报告主体自最终控制方开始控制时点起一直存在。</w:t>
      </w:r>
    </w:p>
    <w:p>
      <w:pPr>
        <w:pStyle w:val="BodyText"/>
        <w:spacing w:line="316" w:lineRule="auto" w:before="60"/>
        <w:ind w:right="192"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57"/>
        <w:ind w:right="190"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59"/>
        <w:ind w:right="192"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11"/>
        </w:rPr>
        <w:t> </w:t>
      </w:r>
      <w:r>
        <w:rPr>
          <w:spacing w:val="-11"/>
        </w:rPr>
      </w:r>
      <w:r>
        <w:rPr/>
        <w:t>价），资本公积不足冲减的，调整留存收益。</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2"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长期股权投资，在取得日与合并方与被合并方同处于同一方最终控制之日熟晚日与合并日之间已确认的有关损益、其他综合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65"/>
        <w:ind w:right="190"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3"/>
        </w:rPr>
        <w:t> </w:t>
      </w:r>
      <w:r>
        <w:rPr>
          <w:spacing w:val="-63"/>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316" w:lineRule="auto" w:before="61"/>
        <w:ind w:right="191"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9" w:lineRule="auto" w:before="59"/>
        <w:ind w:right="190"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6" w:lineRule="auto" w:before="58"/>
        <w:ind w:right="190"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3"/>
        </w:rPr>
        <w:t> </w:t>
      </w:r>
      <w:r>
        <w:rPr>
          <w:spacing w:val="-63"/>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57"/>
        <w:ind w:left="513" w:right="187"/>
        <w:jc w:val="left"/>
      </w:pPr>
      <w:r>
        <w:rPr/>
        <w:t>合并所有者权益变动表根据合并资产负债表和合并利润表编制。</w:t>
      </w:r>
    </w:p>
    <w:p>
      <w:pPr>
        <w:pStyle w:val="BodyText"/>
        <w:spacing w:line="340" w:lineRule="auto" w:before="117"/>
        <w:ind w:left="513" w:right="633"/>
        <w:jc w:val="left"/>
      </w:pPr>
      <w:r>
        <w:rPr>
          <w:rFonts w:ascii="Times New Roman" w:hAnsi="Times New Roman" w:cs="Times New Roman" w:eastAsia="Times New Roman" w:hint="default"/>
        </w:rPr>
        <w:t>1</w:t>
      </w:r>
      <w:r>
        <w:rPr/>
        <w:t>、合并财务报表的合并范围 本公司将下列被投资单位认定为子公司，纳入合并范围。但是，有证据表明本公司不能控制被投资单位的除外：</w:t>
      </w:r>
    </w:p>
    <w:p>
      <w:pPr>
        <w:pStyle w:val="BodyText"/>
        <w:spacing w:line="240" w:lineRule="auto" w:before="39"/>
        <w:ind w:left="513" w:right="187"/>
        <w:jc w:val="left"/>
      </w:pPr>
      <w:r>
        <w:rPr/>
        <w:t>（</w:t>
      </w:r>
      <w:r>
        <w:rPr>
          <w:rFonts w:ascii="Times New Roman" w:hAnsi="Times New Roman" w:cs="Times New Roman" w:eastAsia="Times New Roman" w:hint="default"/>
        </w:rPr>
        <w:t>1</w:t>
      </w:r>
      <w:r>
        <w:rPr/>
        <w:t>）公司直接或通过子公司间接拥有被投资单位半数以上的表决权；</w:t>
      </w:r>
    </w:p>
    <w:p>
      <w:pPr>
        <w:pStyle w:val="BodyText"/>
        <w:spacing w:line="240" w:lineRule="auto" w:before="103"/>
        <w:ind w:left="513" w:right="187"/>
        <w:jc w:val="left"/>
      </w:pPr>
      <w:r>
        <w:rPr/>
        <w:t>（</w:t>
      </w:r>
      <w:r>
        <w:rPr>
          <w:rFonts w:ascii="Times New Roman" w:hAnsi="Times New Roman" w:cs="Times New Roman" w:eastAsia="Times New Roman" w:hint="default"/>
        </w:rPr>
        <w:t>2</w:t>
      </w:r>
      <w:r>
        <w:rPr/>
        <w:t>）公司拥有被投资单位半数或以下的表决权，且满足下列条件之一的：</w:t>
      </w:r>
    </w:p>
    <w:p>
      <w:pPr>
        <w:pStyle w:val="BodyText"/>
        <w:spacing w:line="240" w:lineRule="auto" w:before="104"/>
        <w:ind w:left="513" w:right="187"/>
        <w:jc w:val="left"/>
      </w:pPr>
      <w:r>
        <w:rPr/>
        <w:t>①通过与被投资单位其他投资者之间的协议拥有被投资单位半数以上表决权；</w:t>
      </w:r>
    </w:p>
    <w:p>
      <w:pPr>
        <w:pStyle w:val="BodyText"/>
        <w:spacing w:line="240" w:lineRule="auto" w:before="115"/>
        <w:ind w:left="513" w:right="187"/>
        <w:jc w:val="left"/>
      </w:pPr>
      <w:r>
        <w:rPr/>
        <w:t>②根据公司章程或协议，有权决定被投资单位的财务和经营政策；</w:t>
      </w:r>
    </w:p>
    <w:p>
      <w:pPr>
        <w:pStyle w:val="BodyText"/>
        <w:spacing w:line="240" w:lineRule="auto" w:before="117"/>
        <w:ind w:left="513" w:right="187"/>
        <w:jc w:val="left"/>
      </w:pPr>
      <w:r>
        <w:rPr/>
        <w:t>③有权任免被投资单位的董事会或类似机构的多数成员；</w:t>
      </w:r>
    </w:p>
    <w:p>
      <w:pPr>
        <w:pStyle w:val="BodyText"/>
        <w:spacing w:line="240" w:lineRule="auto" w:before="117"/>
        <w:ind w:left="513" w:right="187"/>
        <w:jc w:val="left"/>
      </w:pPr>
      <w:r>
        <w:rPr/>
        <w:t>④在被投资单位的董事会或类似机构占多数表决权。</w:t>
      </w:r>
    </w:p>
    <w:p>
      <w:pPr>
        <w:pStyle w:val="BodyText"/>
        <w:spacing w:line="240" w:lineRule="auto" w:before="115"/>
        <w:ind w:left="513" w:right="187"/>
        <w:jc w:val="left"/>
      </w:pPr>
      <w:r>
        <w:rPr>
          <w:rFonts w:ascii="Times New Roman" w:hAnsi="Times New Roman" w:cs="Times New Roman" w:eastAsia="Times New Roman" w:hint="default"/>
        </w:rPr>
        <w:t>2</w:t>
      </w:r>
      <w:r>
        <w:rPr/>
        <w:t>、合并财务报表的编制方法</w:t>
      </w:r>
    </w:p>
    <w:p>
      <w:pPr>
        <w:pStyle w:val="BodyText"/>
        <w:spacing w:line="300" w:lineRule="auto" w:before="103"/>
        <w:ind w:right="191" w:firstLine="360"/>
        <w:jc w:val="both"/>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8"/>
        </w:rPr>
        <w:t> </w:t>
      </w:r>
      <w:r>
        <w:rPr>
          <w:spacing w:val="-2"/>
        </w:rPr>
        <w:t>号</w:t>
      </w:r>
      <w:r>
        <w:rPr>
          <w:rFonts w:ascii="Times New Roman" w:hAnsi="Times New Roman" w:cs="Times New Roman" w:eastAsia="Times New Roman" w:hint="default"/>
          <w:spacing w:val="-2"/>
        </w:rPr>
        <w:t>—</w:t>
      </w:r>
      <w:r>
        <w:rPr>
          <w:spacing w:val="-2"/>
        </w:rPr>
        <w:t>合并财务报表》执行。即以母公司和纳入合并范围的子公</w:t>
      </w:r>
      <w:r>
        <w:rPr/>
        <w:t> 司的个别财务报表为基础，根据其他有关资料为依据，按照权益法调整对子公司的长期股权投资后，由母公司编制。</w:t>
      </w:r>
    </w:p>
    <w:p>
      <w:pPr>
        <w:pStyle w:val="BodyText"/>
        <w:spacing w:line="316" w:lineRule="auto" w:before="72"/>
        <w:ind w:right="192" w:firstLine="360"/>
        <w:jc w:val="both"/>
      </w:pPr>
      <w:r>
        <w:rPr>
          <w:spacing w:val="-2"/>
        </w:rPr>
        <w:t>集团内部所有重大往来余额、交易及未实现利润在合并财务报表编制时予以抵销。子公司的股东权益中不属于母公司所</w:t>
      </w:r>
      <w:r>
        <w:rPr/>
        <w:t> 拥有的部分作为少数股东权益在合并财务报表中股东权益项下单独列示。</w:t>
      </w:r>
    </w:p>
    <w:p>
      <w:pPr>
        <w:pStyle w:val="BodyText"/>
        <w:spacing w:line="316" w:lineRule="auto" w:before="57"/>
        <w:ind w:right="192" w:firstLine="360"/>
        <w:jc w:val="both"/>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6" w:lineRule="auto" w:before="60"/>
        <w:ind w:right="19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5"/>
        </w:rPr>
        <w:t> </w:t>
      </w:r>
      <w:r>
        <w:rPr>
          <w:spacing w:val="-65"/>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spacing w:line="240" w:lineRule="auto" w:before="4"/>
        <w:rPr>
          <w:rFonts w:ascii="宋体" w:hAnsi="宋体" w:cs="宋体" w:eastAsia="宋体" w:hint="default"/>
          <w:sz w:val="23"/>
          <w:szCs w:val="23"/>
        </w:rPr>
      </w:pPr>
    </w:p>
    <w:p>
      <w:pPr>
        <w:pStyle w:val="Heading3"/>
        <w:spacing w:line="240" w:lineRule="auto"/>
        <w:ind w:right="187"/>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合营安排指一项由两个或两个以上的参与方共同控制的安排。共同控制，是指按照相关约定对某项安排所共有的控制，</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57" w:lineRule="auto" w:before="44"/>
        <w:ind w:left="513" w:right="187" w:hanging="360"/>
        <w:jc w:val="left"/>
      </w:pPr>
      <w:r>
        <w:rPr/>
        <w:t>并且该安排的相关活动必须经过分享控制权的参与方一致同意后才能决策。 本公司根据在合营安排中享有的权利和承担的义务将合营安排分为共同经营和合营企业。 </w:t>
      </w:r>
      <w:r>
        <w:rPr>
          <w:spacing w:val="-2"/>
        </w:rPr>
        <w:t>共同经营，是指合营方享有该安排相关资产且承担该安排相关负债的合营安排。本公司作为共同经营中的合营方按照相</w:t>
      </w:r>
    </w:p>
    <w:p>
      <w:pPr>
        <w:pStyle w:val="BodyText"/>
        <w:spacing w:line="224" w:lineRule="exact"/>
        <w:ind w:right="0"/>
        <w:jc w:val="left"/>
      </w:pPr>
      <w:r>
        <w:rPr/>
        <w:t>关企业会计准则的规定确认单独持有的资产和承担的负债，以及按份额确认持有的资产和承担的负债，根据相关约定单独或</w:t>
      </w:r>
    </w:p>
    <w:p>
      <w:pPr>
        <w:pStyle w:val="BodyText"/>
        <w:spacing w:line="316" w:lineRule="auto" w:before="76"/>
        <w:ind w:right="187"/>
        <w:jc w:val="left"/>
      </w:pPr>
      <w:r>
        <w:rPr>
          <w:spacing w:val="-2"/>
        </w:rPr>
        <w:t>按份额确认相关的收入和费用。与共同经营发生购买、销售不构成业务的资产交易的，仅确认因该交易产生的损益中归属于</w:t>
      </w:r>
      <w:r>
        <w:rPr>
          <w:spacing w:val="-66"/>
        </w:rPr>
        <w:t> </w:t>
      </w:r>
      <w:r>
        <w:rPr>
          <w:spacing w:val="-66"/>
        </w:rPr>
      </w:r>
      <w:r>
        <w:rPr/>
        <w:t>共同经营其他参与方的部分。</w:t>
      </w:r>
    </w:p>
    <w:p>
      <w:pPr>
        <w:pStyle w:val="BodyText"/>
        <w:spacing w:line="300" w:lineRule="auto" w:before="59"/>
        <w:ind w:right="183" w:firstLine="360"/>
        <w:jc w:val="left"/>
      </w:pPr>
      <w:r>
        <w:rPr/>
        <w:t>合营企业是指合营方仅对该安排的净资产享有权利的合营安排。本公司作为合营企业的合营方按照《企业会计准则第</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长期股权投资》的规定对合营企业的投资进行会计处理。</w:t>
      </w:r>
    </w:p>
    <w:p>
      <w:pPr>
        <w:spacing w:line="240" w:lineRule="auto" w:before="11"/>
        <w:rPr>
          <w:rFonts w:ascii="宋体" w:hAnsi="宋体" w:cs="宋体" w:eastAsia="宋体" w:hint="default"/>
          <w:sz w:val="22"/>
          <w:szCs w:val="22"/>
        </w:rPr>
      </w:pPr>
    </w:p>
    <w:p>
      <w:pPr>
        <w:pStyle w:val="Heading3"/>
        <w:spacing w:line="240" w:lineRule="auto"/>
        <w:ind w:right="187"/>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87" w:firstLine="360"/>
        <w:jc w:val="left"/>
      </w:pPr>
      <w:r>
        <w:rPr>
          <w:spacing w:val="-2"/>
        </w:rPr>
        <w:t>在编制现金流量表时，将库存现金以及可以随时用于支付的存款确认为现金。现金等价物是指持有的期限短（一般是指</w:t>
      </w:r>
      <w:r>
        <w:rPr/>
        <w:t> 从购买日起三个月内到期）、流动性强、易于转换为已知金额现金及价值变动风险很小的投资。</w:t>
      </w:r>
    </w:p>
    <w:p>
      <w:pPr>
        <w:spacing w:line="240" w:lineRule="auto" w:before="13"/>
        <w:rPr>
          <w:rFonts w:ascii="宋体" w:hAnsi="宋体" w:cs="宋体" w:eastAsia="宋体" w:hint="default"/>
          <w:sz w:val="22"/>
          <w:szCs w:val="22"/>
        </w:rPr>
      </w:pPr>
    </w:p>
    <w:p>
      <w:pPr>
        <w:pStyle w:val="Heading3"/>
        <w:spacing w:line="240" w:lineRule="auto"/>
        <w:ind w:right="187"/>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513" w:right="2973"/>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316" w:lineRule="auto" w:before="39"/>
        <w:ind w:right="93"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的即期汇率折算，由此产生的汇兑差额计入当期损益或其他综合收益。</w:t>
      </w:r>
    </w:p>
    <w:p>
      <w:pPr>
        <w:pStyle w:val="BodyText"/>
        <w:spacing w:line="340" w:lineRule="auto" w:before="59"/>
        <w:ind w:left="513" w:right="187"/>
        <w:jc w:val="left"/>
      </w:pPr>
      <w:r>
        <w:rPr>
          <w:rFonts w:ascii="Times New Roman" w:hAnsi="Times New Roman" w:cs="Times New Roman" w:eastAsia="Times New Roman" w:hint="default"/>
        </w:rPr>
        <w:t>2</w:t>
      </w:r>
      <w:r>
        <w:rPr/>
        <w:t>、外币报表的折算方法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5" w:lineRule="exact"/>
        <w:ind w:right="0"/>
        <w:jc w:val="left"/>
      </w:pPr>
      <w:r>
        <w:rPr/>
        <w:t>目采用发生时的即期汇率折算。利润表中的收入和费用项目，采用交易发生日的即期汇率折算。按照上述折算产生的外币财</w:t>
      </w:r>
    </w:p>
    <w:p>
      <w:pPr>
        <w:pStyle w:val="BodyText"/>
        <w:spacing w:line="338" w:lineRule="auto" w:before="76"/>
        <w:ind w:left="513" w:right="187" w:hanging="360"/>
        <w:jc w:val="left"/>
      </w:pPr>
      <w:r>
        <w:rPr/>
        <w:t>务报表折算差额，在其他综合收益项目下单独列示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w:t>
      </w:r>
      <w:r>
        <w:rPr>
          <w:spacing w:val="-2"/>
        </w:rPr>
        <w:t>处置境外经营时，将资产负债表中其他综合收益项目下列示的、与该境外经营相关的外币财务报表折算差额，自其他综</w:t>
      </w:r>
    </w:p>
    <w:p>
      <w:pPr>
        <w:pStyle w:val="BodyText"/>
        <w:spacing w:line="316" w:lineRule="auto" w:before="2"/>
        <w:ind w:right="187"/>
        <w:jc w:val="left"/>
      </w:pP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4"/>
        <w:rPr>
          <w:rFonts w:ascii="宋体" w:hAnsi="宋体" w:cs="宋体" w:eastAsia="宋体" w:hint="default"/>
          <w:sz w:val="23"/>
          <w:szCs w:val="23"/>
        </w:rPr>
      </w:pPr>
    </w:p>
    <w:p>
      <w:pPr>
        <w:pStyle w:val="Heading3"/>
        <w:spacing w:line="240" w:lineRule="auto"/>
        <w:ind w:right="187"/>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金融工具包括金融资产、金融负债和权益工具。</w:t>
      </w:r>
    </w:p>
    <w:p>
      <w:pPr>
        <w:pStyle w:val="BodyText"/>
        <w:spacing w:line="338" w:lineRule="auto" w:before="117"/>
        <w:ind w:left="513" w:right="187"/>
        <w:jc w:val="left"/>
      </w:pPr>
      <w:r>
        <w:rPr>
          <w:rFonts w:ascii="Times New Roman" w:hAnsi="Times New Roman" w:cs="Times New Roman" w:eastAsia="Times New Roman" w:hint="default"/>
        </w:rPr>
        <w:t>1</w:t>
      </w:r>
      <w:r>
        <w:rPr/>
        <w:t>、金融工具的分类 </w:t>
      </w:r>
      <w:r>
        <w:rPr>
          <w:spacing w:val="-2"/>
        </w:rPr>
        <w:t>管理层按照取得持有金融资产和承担金融负债的目的，将其划分为：以公允价值计量且其变动计入当期损益的金融资产</w:t>
      </w:r>
    </w:p>
    <w:p>
      <w:pPr>
        <w:pStyle w:val="BodyText"/>
        <w:spacing w:line="316" w:lineRule="auto" w:before="3"/>
        <w:ind w:right="93"/>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pStyle w:val="BodyText"/>
        <w:spacing w:line="240" w:lineRule="auto" w:before="59"/>
        <w:ind w:left="513" w:right="187"/>
        <w:jc w:val="left"/>
      </w:pPr>
      <w:r>
        <w:rPr>
          <w:rFonts w:ascii="Times New Roman" w:hAnsi="Times New Roman" w:cs="Times New Roman" w:eastAsia="Times New Roman" w:hint="default"/>
        </w:rPr>
        <w:t>2</w:t>
      </w:r>
      <w:r>
        <w:rPr/>
        <w:t>、金融工具的确认依据和计量方法</w:t>
      </w:r>
    </w:p>
    <w:p>
      <w:pPr>
        <w:pStyle w:val="BodyText"/>
        <w:spacing w:line="338" w:lineRule="auto" w:before="103"/>
        <w:ind w:left="513" w:right="187"/>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60" w:lineRule="auto" w:before="2"/>
        <w:ind w:left="513" w:right="189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after="0" w:line="360" w:lineRule="auto"/>
        <w:jc w:val="left"/>
        <w:sectPr>
          <w:footerReference w:type="default" r:id="rId13"/>
          <w:pgSz w:w="11910" w:h="16840"/>
          <w:pgMar w:footer="980" w:header="745" w:top="1060" w:bottom="1160" w:left="980" w:right="940"/>
          <w:pgNumType w:start="77"/>
        </w:sectPr>
      </w:pPr>
    </w:p>
    <w:p>
      <w:pPr>
        <w:spacing w:line="240" w:lineRule="auto" w:before="9"/>
        <w:rPr>
          <w:rFonts w:ascii="宋体" w:hAnsi="宋体" w:cs="宋体" w:eastAsia="宋体" w:hint="default"/>
          <w:sz w:val="25"/>
          <w:szCs w:val="25"/>
        </w:rPr>
      </w:pPr>
    </w:p>
    <w:p>
      <w:pPr>
        <w:pStyle w:val="BodyText"/>
        <w:spacing w:line="348" w:lineRule="auto" w:before="44"/>
        <w:ind w:left="513" w:right="187"/>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60" w:lineRule="auto"/>
        <w:ind w:left="513" w:right="4053" w:hanging="360"/>
        <w:jc w:val="left"/>
      </w:pPr>
      <w:r>
        <w:rPr/>
        <w:t>用的更短期间内保持不变。 处置时，将所取得价款与该投资账面价值之间的差额计入投资收益。</w:t>
      </w:r>
    </w:p>
    <w:p>
      <w:pPr>
        <w:pStyle w:val="BodyText"/>
        <w:spacing w:line="338" w:lineRule="auto" w:before="27"/>
        <w:ind w:left="513" w:right="187"/>
        <w:jc w:val="left"/>
      </w:pPr>
      <w:r>
        <w:rPr/>
        <w:t>（</w:t>
      </w:r>
      <w:r>
        <w:rPr>
          <w:rFonts w:ascii="Times New Roman" w:hAnsi="Times New Roman" w:cs="Times New Roman" w:eastAsia="Times New Roman"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360" w:lineRule="auto" w:before="2"/>
        <w:ind w:left="513" w:right="0" w:hanging="360"/>
        <w:jc w:val="left"/>
      </w:pPr>
      <w:r>
        <w:rPr>
          <w:spacing w:val="-4"/>
        </w:rPr>
        <w:t>应收账款、其他应收款等，以向购货方应收的合同或协议价款作为初始确认金额；具有融资性质的，按其现值进行初始确认。</w:t>
      </w:r>
      <w:r>
        <w:rPr>
          <w:spacing w:val="-46"/>
        </w:rPr>
        <w:t> </w:t>
      </w:r>
      <w:r>
        <w:rPr>
          <w:spacing w:val="-46"/>
        </w:rPr>
      </w:r>
      <w:r>
        <w:rPr/>
        <w:t>收回或处置时，将取得的价款与该应收款项账面价值之间的差额计入当期损益。</w:t>
      </w:r>
    </w:p>
    <w:p>
      <w:pPr>
        <w:pStyle w:val="BodyText"/>
        <w:spacing w:line="338" w:lineRule="auto" w:before="27"/>
        <w:ind w:left="513" w:right="187"/>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60" w:lineRule="auto" w:before="2"/>
        <w:ind w:left="513" w:right="187" w:hanging="360"/>
        <w:jc w:val="left"/>
      </w:pPr>
      <w:r>
        <w:rPr/>
        <w:t>初始确认金额。 </w:t>
      </w:r>
      <w:r>
        <w:rPr>
          <w:spacing w:val="-2"/>
        </w:rPr>
        <w:t>持有期间将取得的利息或现金股利确认为投资收益。期末以公允价值计量且将公允价值变动计入其他综合收益。对被投</w:t>
      </w:r>
    </w:p>
    <w:p>
      <w:pPr>
        <w:pStyle w:val="BodyText"/>
        <w:spacing w:line="222" w:lineRule="exact"/>
        <w:ind w:right="0"/>
        <w:jc w:val="left"/>
      </w:pPr>
      <w:r>
        <w:rPr/>
        <w:t>资单位不具有控制、共同控制或重大影响并且在活跃市场中没有报价、公允价值不能可靠计量的股权投资，作为可供出售金</w:t>
      </w:r>
    </w:p>
    <w:p>
      <w:pPr>
        <w:pStyle w:val="BodyText"/>
        <w:spacing w:line="360" w:lineRule="auto" w:before="76"/>
        <w:ind w:left="513" w:right="187" w:hanging="360"/>
        <w:jc w:val="left"/>
      </w:pPr>
      <w:r>
        <w:rPr/>
        <w:t>融资产列报，按成本进行后续计量。 </w:t>
      </w:r>
      <w:r>
        <w:rPr>
          <w:spacing w:val="-2"/>
        </w:rPr>
        <w:t>处置时，将取得的价款与该金融资产账面价值之间的差额，计入投资损益；同时，将原其他综合收益的公允价值变动累</w:t>
      </w:r>
    </w:p>
    <w:p>
      <w:pPr>
        <w:pStyle w:val="BodyText"/>
        <w:spacing w:line="222" w:lineRule="exact"/>
        <w:ind w:right="187"/>
        <w:jc w:val="left"/>
      </w:pPr>
      <w:r>
        <w:rPr/>
        <w:t>计额对应处置部分的金额转出，计入投资损益。</w:t>
      </w:r>
    </w:p>
    <w:p>
      <w:pPr>
        <w:pStyle w:val="BodyText"/>
        <w:spacing w:line="350" w:lineRule="auto" w:before="115"/>
        <w:ind w:left="513" w:right="27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9"/>
        <w:ind w:right="187" w:firstLine="360"/>
        <w:jc w:val="left"/>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6" w:lineRule="auto" w:before="60"/>
        <w:ind w:right="187"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9"/>
        <w:ind w:left="513" w:right="187"/>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101"/>
        <w:ind w:right="183"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72"/>
        <w:ind w:right="9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9"/>
        <w:ind w:left="513" w:right="187"/>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101"/>
        <w:ind w:right="183"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48" w:lineRule="auto" w:before="72"/>
        <w:ind w:left="513" w:right="187"/>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ind w:right="187"/>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59"/>
        <w:ind w:right="187"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59"/>
        <w:ind w:right="187"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1"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4"/>
        </w:rPr>
        <w:t> </w:t>
      </w:r>
      <w:r>
        <w:rPr>
          <w:spacing w:val="-64"/>
        </w:rPr>
      </w:r>
      <w:r>
        <w:rPr/>
        <w:t>期损益。</w:t>
      </w:r>
    </w:p>
    <w:p>
      <w:pPr>
        <w:pStyle w:val="BodyText"/>
        <w:spacing w:line="338" w:lineRule="auto" w:before="58"/>
        <w:ind w:left="513" w:right="0"/>
        <w:jc w:val="left"/>
      </w:pPr>
      <w:r>
        <w:rPr>
          <w:rFonts w:ascii="Times New Roman" w:hAnsi="Times New Roman" w:cs="Times New Roman" w:eastAsia="Times New Roman" w:hint="default"/>
        </w:rPr>
        <w:t>5</w:t>
      </w:r>
      <w:r>
        <w:rPr/>
        <w:t>、金融资产和金融负债公允价值的确定方法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2"/>
        <w:ind w:right="15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   </w:t>
      </w:r>
      <w:r>
        <w:rPr>
          <w:spacing w:val="1"/>
        </w:rPr>
        <w:t> </w:t>
      </w:r>
      <w:r>
        <w:rPr>
          <w:rFonts w:ascii="Times New Roman" w:hAnsi="Times New Roman" w:cs="Times New Roman" w:eastAsia="Times New Roman" w:hint="default"/>
        </w:rPr>
        <w:t>6</w:t>
      </w:r>
      <w:r>
        <w:rPr/>
        <w:t>、金融资产（不含应收款项）减值</w:t>
      </w:r>
    </w:p>
    <w:p>
      <w:pPr>
        <w:pStyle w:val="BodyText"/>
        <w:tabs>
          <w:tab w:pos="5122" w:val="left" w:leader="none"/>
        </w:tabs>
        <w:spacing w:line="316" w:lineRule="auto" w:before="40"/>
        <w:ind w:right="151" w:firstLine="360"/>
        <w:jc w:val="left"/>
      </w:pPr>
      <w:r>
        <w:rPr>
          <w:spacing w:val="-2"/>
        </w:rPr>
        <w:t>除以公允价值计量且其变动计入当期损益的金融资产外，本公司于资产负债表日对金融资产的账面价值进行检查，如果</w:t>
      </w:r>
      <w:r>
        <w:rPr/>
        <w:t> 有客观证据表明某项金融资产发生减值的，计提减值准备。</w:t>
        <w:tab/>
        <w:t>（</w:t>
      </w:r>
      <w:r>
        <w:rPr>
          <w:rFonts w:ascii="Times New Roman" w:hAnsi="Times New Roman" w:cs="Times New Roman" w:eastAsia="Times New Roman" w:hint="default"/>
        </w:rPr>
        <w:t>1</w:t>
      </w:r>
      <w:r>
        <w:rPr/>
        <w:t>）可供出售金融资产的减值</w:t>
      </w:r>
    </w:p>
    <w:p>
      <w:pPr>
        <w:pStyle w:val="BodyText"/>
        <w:spacing w:line="316" w:lineRule="auto" w:before="40"/>
        <w:ind w:right="0" w:firstLine="360"/>
        <w:jc w:val="left"/>
      </w:pPr>
      <w:r>
        <w:rPr>
          <w:spacing w:val="-2"/>
        </w:rPr>
        <w:t>期末如果可供出售金融资产的公允价值发生较大幅度下降，或在综合考虑各种相关因素后，预期这种下降趋势属于非暂</w:t>
      </w:r>
      <w:r>
        <w:rPr/>
        <w:t> 时性的，就认定其已发生减值，将原直接计入其他综合收益的公允价值下降形成的累计损失一并转出，确认减值损失。</w:t>
      </w:r>
    </w:p>
    <w:p>
      <w:pPr>
        <w:pStyle w:val="BodyText"/>
        <w:spacing w:line="240" w:lineRule="auto" w:before="58"/>
        <w:ind w:left="513" w:right="0"/>
        <w:jc w:val="left"/>
      </w:pPr>
      <w:r>
        <w:rPr/>
        <w:t>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03"/>
        <w:ind w:left="513" w:right="0"/>
        <w:jc w:val="left"/>
      </w:pPr>
      <w:r>
        <w:rPr/>
        <w:t>①</w:t>
      </w:r>
      <w:r>
        <w:rPr>
          <w:spacing w:val="-18"/>
        </w:rPr>
        <w:t> </w:t>
      </w:r>
      <w:r>
        <w:rPr/>
        <w:t>债务人发生严重财务困难；</w:t>
      </w:r>
    </w:p>
    <w:p>
      <w:pPr>
        <w:pStyle w:val="BodyText"/>
        <w:spacing w:line="240" w:lineRule="auto" w:before="117"/>
        <w:ind w:left="513" w:right="0"/>
        <w:jc w:val="left"/>
      </w:pPr>
      <w:r>
        <w:rPr/>
        <w:t>②</w:t>
      </w:r>
      <w:r>
        <w:rPr>
          <w:spacing w:val="-18"/>
        </w:rPr>
        <w:t> </w:t>
      </w:r>
      <w:r>
        <w:rPr/>
        <w:t>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01"/>
        <w:ind w:left="513" w:right="0"/>
        <w:jc w:val="left"/>
      </w:pPr>
      <w:r>
        <w:rPr/>
        <w:t>③</w:t>
      </w:r>
      <w:r>
        <w:rPr>
          <w:spacing w:val="-18"/>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03"/>
        <w:ind w:left="513" w:right="0"/>
        <w:jc w:val="left"/>
      </w:pPr>
      <w:r>
        <w:rPr/>
        <w:t>④</w:t>
      </w:r>
      <w:r>
        <w:rPr>
          <w:spacing w:val="-18"/>
        </w:rPr>
        <w:t> </w:t>
      </w:r>
      <w:r>
        <w:rPr/>
        <w:t>债务人很可能倒闭或进行其他财务重组；</w:t>
      </w:r>
    </w:p>
    <w:p>
      <w:pPr>
        <w:pStyle w:val="BodyText"/>
        <w:spacing w:line="240" w:lineRule="auto" w:before="117"/>
        <w:ind w:left="513" w:right="0"/>
        <w:jc w:val="left"/>
      </w:pPr>
      <w:r>
        <w:rPr/>
        <w:t>⑤</w:t>
      </w:r>
      <w:r>
        <w:rPr>
          <w:spacing w:val="-18"/>
        </w:rPr>
        <w:t> </w:t>
      </w:r>
      <w:r>
        <w:rPr/>
        <w:t>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316" w:lineRule="auto" w:before="101"/>
        <w:ind w:right="143" w:firstLine="360"/>
        <w:jc w:val="left"/>
      </w:pPr>
      <w:r>
        <w:rPr/>
        <w:t>⑥ 权益工具发行方经营所处的技术、市场、经济或法律环境等发生重大不利变化，使权益工具投资人可能无法收回投 资成本；</w:t>
      </w:r>
    </w:p>
    <w:p>
      <w:pPr>
        <w:pStyle w:val="BodyText"/>
        <w:spacing w:line="360" w:lineRule="auto" w:before="59"/>
        <w:ind w:left="513" w:right="0"/>
        <w:jc w:val="left"/>
      </w:pPr>
      <w:r>
        <w:rPr/>
        <w:t>⑦</w:t>
      </w:r>
      <w:r>
        <w:rPr>
          <w:spacing w:val="-18"/>
        </w:rPr>
        <w:t> </w:t>
      </w:r>
      <w:r>
        <w:rPr/>
        <w:t>权益工具投资的公允价值发生严重或非暂时性下跌。</w:t>
      </w:r>
      <w:r>
        <w:rPr/>
        <w:t> </w:t>
      </w:r>
      <w:r>
        <w:rPr>
          <w:spacing w:val="-2"/>
        </w:rPr>
        <w:t>认定其已发生减值，将原直接计入所有者权益的公允价值下降形成的累计损失一并转出，确认减值损失。对于已确认减</w:t>
      </w:r>
    </w:p>
    <w:p>
      <w:pPr>
        <w:pStyle w:val="BodyText"/>
        <w:spacing w:line="222" w:lineRule="exact"/>
        <w:ind w:right="0"/>
        <w:jc w:val="both"/>
      </w:pPr>
      <w:r>
        <w:rPr/>
        <w:t>值损失的可供出售债务工具，在随后的会计期间公允价值已上升且客观上与确认原减值损失确认后发生的事项有关的，原确</w:t>
      </w:r>
    </w:p>
    <w:p>
      <w:pPr>
        <w:pStyle w:val="BodyText"/>
        <w:spacing w:line="240" w:lineRule="auto" w:before="77"/>
        <w:ind w:right="0"/>
        <w:jc w:val="both"/>
      </w:pPr>
      <w:r>
        <w:rPr/>
        <w:t>认的减值损失予以转回，计入当期损益。可供出售权益工具投资发生的减值损失，不得通过损益转回。</w:t>
      </w:r>
    </w:p>
    <w:p>
      <w:pPr>
        <w:pStyle w:val="BodyText"/>
        <w:spacing w:line="340" w:lineRule="auto" w:before="115"/>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应收账款单项金额大于等于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万元、其他应收账款单项金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额大于等于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单独进行减值测试，在有客观证据表明其发生了减值的，按 其未来现金流量低于账面价值的差额计提坏账准备。</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单项金额重大、单独进行减值测试未发生减值的应收款项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其他的应收款项以账龄特征划分若干应收款项组合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right="187"/>
        <w:jc w:val="left"/>
      </w:pPr>
      <w:r>
        <w:rPr/>
        <w:t>组合中，采用账龄分析法计提坏账准备的：</w:t>
      </w:r>
    </w:p>
    <w:p>
      <w:pPr>
        <w:pStyle w:val="BodyText"/>
        <w:spacing w:line="240" w:lineRule="auto" w:before="117"/>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87"/>
        <w:jc w:val="left"/>
      </w:pPr>
      <w:r>
        <w:rPr/>
        <w:t>组合中，采用余额百分比法计提坏账准备的：</w:t>
      </w:r>
    </w:p>
    <w:p>
      <w:pPr>
        <w:pStyle w:val="BodyText"/>
        <w:spacing w:line="338" w:lineRule="auto" w:before="117"/>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证据表明其发生了减值的应收款项，按组合计提的坏账准备 不能反映实际情况，本公司单独进行减值测试。</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0" w:lineRule="auto"/>
        <w:ind w:left="513" w:right="2793"/>
        <w:jc w:val="left"/>
      </w:pPr>
      <w:r>
        <w:rPr>
          <w:rFonts w:ascii="Times New Roman" w:hAnsi="Times New Roman" w:cs="Times New Roman" w:eastAsia="Times New Roman" w:hint="default"/>
        </w:rPr>
        <w:t>1</w:t>
      </w:r>
      <w:r>
        <w:rPr/>
        <w:t>、存货的分类 存货主要包括原材料、在产品、库存商品、发出商品、自制半成品和低值易耗品等。 </w:t>
      </w:r>
      <w:r>
        <w:rPr>
          <w:rFonts w:ascii="Times New Roman" w:hAnsi="Times New Roman" w:cs="Times New Roman" w:eastAsia="Times New Roman" w:hint="default"/>
        </w:rPr>
        <w:t>2</w:t>
      </w:r>
      <w:r>
        <w:rPr/>
        <w:t>、存货取得和发出的计价方法</w:t>
      </w:r>
    </w:p>
    <w:p>
      <w:pPr>
        <w:pStyle w:val="BodyText"/>
        <w:spacing w:line="316" w:lineRule="auto" w:before="9"/>
        <w:ind w:right="0" w:firstLine="360"/>
        <w:jc w:val="left"/>
      </w:pPr>
      <w:r>
        <w:rPr>
          <w:spacing w:val="-4"/>
        </w:rPr>
        <w:t>存货取得时按实际成本计价；原材料、库存商品等领用或销售采用加权平均法进行核算；产品成本计算主要采用品种法；</w:t>
      </w:r>
      <w:r>
        <w:rPr/>
        <w:t> 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pStyle w:val="BodyText"/>
        <w:spacing w:line="340" w:lineRule="auto" w:before="40"/>
        <w:ind w:left="513" w:right="187"/>
        <w:jc w:val="left"/>
      </w:pPr>
      <w:r>
        <w:rPr>
          <w:rFonts w:ascii="Times New Roman" w:hAnsi="Times New Roman" w:cs="Times New Roman" w:eastAsia="Times New Roman" w:hint="default"/>
        </w:rPr>
        <w:t>3</w:t>
      </w:r>
      <w:r>
        <w:rPr/>
        <w:t>、存货可变现净值的确定依据及存货跌价准备的计提方法 </w:t>
      </w:r>
      <w:r>
        <w:rPr>
          <w:spacing w:val="-2"/>
        </w:rPr>
        <w:t>期末存货按成本与可变现净值孰低原则计价；本公司于期末在对存货进行全面盘点的基础上，对于存货因霉烂变质、全</w:t>
      </w:r>
    </w:p>
    <w:p>
      <w:pPr>
        <w:pStyle w:val="BodyText"/>
        <w:spacing w:line="316" w:lineRule="auto" w:before="1"/>
        <w:ind w:right="190"/>
        <w:jc w:val="both"/>
      </w:pPr>
      <w:r>
        <w:rPr>
          <w:spacing w:val="-2"/>
        </w:rPr>
        <w:t>部或部分过时或消费者偏好改变而使市场的需求发生变化，导致存货的市场价格持续下跌、并且在可预见的未来不能回升等</w:t>
      </w:r>
      <w:r>
        <w:rPr>
          <w:spacing w:val="-64"/>
        </w:rPr>
        <w:t> </w:t>
      </w:r>
      <w:r>
        <w:rPr>
          <w:spacing w:val="-64"/>
        </w:rPr>
      </w:r>
      <w:r>
        <w:rPr>
          <w:spacing w:val="-2"/>
        </w:rPr>
        <w:t>原因，预计存货的成本高于其可变现净值，则按单个存货项目的成本高于其可变现净值的差额计提存货跌价准备，计入当期</w:t>
      </w:r>
      <w:r>
        <w:rPr>
          <w:spacing w:val="-63"/>
        </w:rPr>
        <w:t> </w:t>
      </w:r>
      <w:r>
        <w:rPr>
          <w:spacing w:val="-63"/>
        </w:rPr>
      </w:r>
      <w:r>
        <w:rPr/>
        <w:t>损益。</w:t>
      </w:r>
    </w:p>
    <w:p>
      <w:pPr>
        <w:pStyle w:val="BodyText"/>
        <w:spacing w:line="316" w:lineRule="auto" w:before="57"/>
        <w:ind w:right="93" w:firstLine="360"/>
        <w:jc w:val="left"/>
      </w:pPr>
      <w:r>
        <w:rPr/>
        <w:t>本公司对直接用于出售的商品存货，其可变现净值按该存货的估计售价减去估计的销售费用和相关税费后的金额确定； </w:t>
      </w:r>
      <w:r>
        <w:rPr>
          <w:spacing w:val="-2"/>
        </w:rPr>
        <w:t>对需要经过加工的材料存货，以所生产的产成品的估计售价减去至完工时估计将要发生的成本、估计的销售费用和相关税费</w:t>
      </w:r>
      <w:r>
        <w:rPr>
          <w:spacing w:val="-64"/>
        </w:rPr>
        <w:t> </w:t>
      </w:r>
      <w:r>
        <w:rPr>
          <w:spacing w:val="-64"/>
        </w:rPr>
      </w:r>
      <w:r>
        <w:rPr>
          <w:spacing w:val="-2"/>
        </w:rPr>
        <w:t>后的金额确定；为执行销售合同或者劳务合同而持有的存货，其可变现净值以合同价格为基础计算；企业持有存货的数量多</w:t>
      </w:r>
      <w:r>
        <w:rPr>
          <w:spacing w:val="-63"/>
        </w:rPr>
        <w:t> </w:t>
      </w:r>
      <w:r>
        <w:rPr>
          <w:spacing w:val="-63"/>
        </w:rPr>
      </w:r>
      <w:r>
        <w:rPr/>
        <w:t>于销售合同订购数量的，超出部分的存货可变现净值以一般销售价格为基础计算。</w:t>
      </w:r>
    </w:p>
    <w:p>
      <w:pPr>
        <w:pStyle w:val="BodyText"/>
        <w:spacing w:line="240" w:lineRule="auto" w:before="59"/>
        <w:ind w:left="513" w:right="0"/>
        <w:jc w:val="left"/>
      </w:pPr>
      <w:r>
        <w:rPr/>
        <w:t>如果以前减记存货价值的影响因素已经消失，则本公司对减记的金额予以恢复，并在原已计提的存货跌价准备的金额内</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8" w:lineRule="auto" w:before="44"/>
        <w:ind w:left="513" w:right="6593" w:hanging="360"/>
        <w:jc w:val="left"/>
      </w:pPr>
      <w:r>
        <w:rPr/>
        <w:t>转回，转回的金额计入当期损益。 </w:t>
      </w:r>
      <w:r>
        <w:rPr>
          <w:rFonts w:ascii="Times New Roman" w:hAnsi="Times New Roman" w:cs="Times New Roman" w:eastAsia="Times New Roman" w:hint="default"/>
        </w:rPr>
        <w:t>4</w:t>
      </w:r>
      <w:r>
        <w:rPr/>
        <w:t>、存货的盘存制度 本公司采用永续盘存制。 </w:t>
      </w:r>
      <w:r>
        <w:rPr>
          <w:rFonts w:ascii="Times New Roman" w:hAnsi="Times New Roman" w:cs="Times New Roman" w:eastAsia="Times New Roman" w:hint="default"/>
        </w:rPr>
        <w:t>5</w:t>
      </w:r>
      <w:r>
        <w:rPr/>
        <w:t>、低值易耗品的摊销方法 本公司采用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spacing w:line="240" w:lineRule="auto" w:before="8"/>
        <w:rPr>
          <w:rFonts w:ascii="宋体" w:hAnsi="宋体" w:cs="宋体" w:eastAsia="宋体" w:hint="default"/>
          <w:sz w:val="19"/>
          <w:szCs w:val="19"/>
        </w:rPr>
      </w:pPr>
    </w:p>
    <w:p>
      <w:pPr>
        <w:pStyle w:val="Heading3"/>
        <w:spacing w:line="240" w:lineRule="auto"/>
        <w:ind w:right="187"/>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left="513" w:right="187"/>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2"/>
        <w:ind w:right="187"/>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59"/>
        <w:ind w:right="187" w:firstLine="432"/>
        <w:jc w:val="left"/>
      </w:pPr>
      <w:r>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BodyText"/>
        <w:spacing w:line="240" w:lineRule="auto" w:before="59"/>
        <w:ind w:left="513" w:right="187"/>
        <w:jc w:val="left"/>
      </w:pPr>
      <w:r>
        <w:rPr>
          <w:rFonts w:ascii="Times New Roman" w:hAnsi="Times New Roman" w:cs="Times New Roman" w:eastAsia="Times New Roman" w:hint="default"/>
        </w:rPr>
        <w:t>2</w:t>
      </w:r>
      <w:r>
        <w:rPr/>
        <w:t>、初始投资成本的确定</w:t>
      </w:r>
    </w:p>
    <w:p>
      <w:pPr>
        <w:pStyle w:val="BodyText"/>
        <w:spacing w:line="340" w:lineRule="auto" w:before="101"/>
        <w:ind w:left="513" w:right="187"/>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同一控制下的企业合并：公司以支付现金、转让非现金资产或承担债务方式以及以发行权益性证券作为合并对价的，在</w:t>
      </w:r>
      <w:r>
        <w:rPr/>
      </w:r>
    </w:p>
    <w:p>
      <w:pPr>
        <w:pStyle w:val="BodyText"/>
        <w:spacing w:line="314" w:lineRule="auto" w:before="1"/>
        <w:ind w:right="93"/>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t>财务报表中的账面价值的份额，确定长期股权投资四川川润股份有限公司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BodyText"/>
        <w:spacing w:line="316" w:lineRule="auto" w:before="61"/>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52" w:lineRule="auto" w:before="57"/>
        <w:ind w:left="513" w:right="187"/>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9" w:lineRule="auto"/>
        <w:ind w:right="192"/>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8"/>
        <w:ind w:left="513" w:right="187"/>
        <w:jc w:val="left"/>
      </w:pPr>
      <w:r>
        <w:rPr/>
        <w:t>通过债务重组取得的长期股权投资，其初始投资成本按照公允价值为基础确定。</w:t>
      </w:r>
    </w:p>
    <w:p>
      <w:pPr>
        <w:pStyle w:val="BodyText"/>
        <w:spacing w:line="240" w:lineRule="auto" w:before="117"/>
        <w:ind w:left="513" w:right="187"/>
        <w:jc w:val="left"/>
      </w:pPr>
      <w:r>
        <w:rPr>
          <w:rFonts w:ascii="Times New Roman" w:hAnsi="Times New Roman" w:cs="Times New Roman" w:eastAsia="Times New Roman" w:hint="default"/>
        </w:rPr>
        <w:t>3</w:t>
      </w:r>
      <w:r>
        <w:rPr/>
        <w:t>、后续计量及损益确认方法</w:t>
      </w:r>
    </w:p>
    <w:p>
      <w:pPr>
        <w:pStyle w:val="BodyText"/>
        <w:spacing w:line="340" w:lineRule="auto" w:before="101"/>
        <w:ind w:left="513" w:right="187"/>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
        <w:ind w:right="187"/>
        <w:jc w:val="left"/>
      </w:pPr>
      <w:r>
        <w:rPr/>
        <w:t>金股利或利润外，公司按照享有被投资单位宣告发放的现金股利或利润确认当期投资收益。</w:t>
      </w:r>
    </w:p>
    <w:p>
      <w:pPr>
        <w:pStyle w:val="BodyText"/>
        <w:spacing w:line="240" w:lineRule="auto" w:before="117"/>
        <w:ind w:left="513" w:right="187"/>
        <w:jc w:val="left"/>
      </w:pPr>
      <w:r>
        <w:rPr/>
        <w:t>（</w:t>
      </w:r>
      <w:r>
        <w:rPr>
          <w:rFonts w:ascii="Times New Roman" w:hAnsi="Times New Roman" w:cs="Times New Roman" w:eastAsia="Times New Roman" w:hint="default"/>
        </w:rPr>
        <w:t>2</w:t>
      </w:r>
      <w:r>
        <w:rPr/>
        <w:t>）权益法核算的长期股权投资</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对联营企业和合营企业的长期股权投资，采用权益法核算。初始投资成本大于投资时应享有被投资单位可辨认净资产公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58"/>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3"/>
        </w:rPr>
        <w:t> </w:t>
      </w:r>
      <w:r>
        <w:rPr>
          <w:spacing w:val="-63"/>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57"/>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59"/>
        <w:ind w:right="18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企业之间发生投出或出售资产的交易，该资产构成业务的，按照本附注</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5</w:t>
      </w:r>
      <w:r>
        <w:rPr>
          <w:spacing w:val="-2"/>
        </w:rPr>
        <w:t>、同一控制下和非同一控制下企业合并的会计</w:t>
      </w:r>
      <w:r>
        <w:rPr>
          <w:spacing w:val="-54"/>
        </w:rPr>
        <w:t> </w:t>
      </w:r>
      <w:r>
        <w:rPr>
          <w:spacing w:val="-54"/>
        </w:rPr>
      </w:r>
      <w:r>
        <w:rPr/>
        <w:t>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44"/>
        <w:ind w:right="9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40" w:lineRule="auto" w:before="57"/>
        <w:ind w:left="513" w:right="369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41"/>
        <w:ind w:right="189" w:firstLine="360"/>
        <w:jc w:val="both"/>
      </w:pPr>
      <w:r>
        <w:rPr>
          <w:spacing w:val="-2"/>
        </w:rPr>
        <w:t>采用权益法核算的长期股权投资，在处置该项投资时，采用与被投资单位直接处置相关资产或负债相同的基础，按相应</w:t>
      </w:r>
      <w:r>
        <w:rPr/>
        <w:t> 比例对原计入其他综合收益的部分进行会计处理。因被投资单位除净损益、其他综合收</w:t>
      </w:r>
      <w:r>
        <w:rPr>
          <w:spacing w:val="6"/>
        </w:rPr>
        <w:t> </w:t>
      </w:r>
      <w:r>
        <w:rPr/>
        <w:t>益和利润分配以外的其他所有者权</w:t>
      </w:r>
      <w:r>
        <w:rPr>
          <w:spacing w:val="-88"/>
        </w:rPr>
        <w:t> </w:t>
      </w:r>
      <w:r>
        <w:rPr>
          <w:spacing w:val="-88"/>
        </w:rPr>
      </w:r>
      <w:r>
        <w:rPr>
          <w:spacing w:val="-2"/>
        </w:rPr>
        <w:t>益变动而确认的所有者权益，按比例结转入当期损益，由于被投资方重新计量设定受益计划净负债或净资产变动而产生的其</w:t>
      </w:r>
      <w:r>
        <w:rPr>
          <w:spacing w:val="-65"/>
        </w:rPr>
        <w:t> </w:t>
      </w:r>
      <w:r>
        <w:rPr>
          <w:spacing w:val="-65"/>
        </w:rPr>
      </w:r>
      <w:r>
        <w:rPr/>
        <w:t>他综合收益除外。</w:t>
      </w:r>
    </w:p>
    <w:p>
      <w:pPr>
        <w:pStyle w:val="BodyText"/>
        <w:spacing w:line="316" w:lineRule="auto" w:before="57"/>
        <w:ind w:right="9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3"/>
        </w:rPr>
        <w:t> </w:t>
      </w:r>
      <w:r>
        <w:rPr>
          <w:spacing w:val="-63"/>
        </w:rPr>
      </w:r>
      <w:r>
        <w:rPr/>
        <w:t>全部转入当期损益。</w:t>
      </w:r>
    </w:p>
    <w:p>
      <w:pPr>
        <w:pStyle w:val="BodyText"/>
        <w:spacing w:line="316" w:lineRule="auto" w:before="59"/>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9" w:lineRule="auto" w:before="59"/>
        <w:ind w:right="19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3"/>
        <w:rPr>
          <w:rFonts w:ascii="宋体" w:hAnsi="宋体" w:cs="宋体" w:eastAsia="宋体" w:hint="default"/>
          <w:sz w:val="22"/>
          <w:szCs w:val="22"/>
        </w:rPr>
      </w:pPr>
    </w:p>
    <w:p>
      <w:pPr>
        <w:pStyle w:val="Heading3"/>
        <w:spacing w:line="240" w:lineRule="auto"/>
        <w:ind w:right="187"/>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8013"/>
        <w:jc w:val="left"/>
      </w:pPr>
      <w:r>
        <w:rPr/>
        <w:t>投资性房地产计量模式 成本法计量 折旧或摊销方法</w:t>
      </w:r>
    </w:p>
    <w:p>
      <w:pPr>
        <w:pStyle w:val="BodyText"/>
        <w:spacing w:line="240" w:lineRule="auto" w:before="29"/>
        <w:ind w:left="513" w:right="187"/>
        <w:jc w:val="left"/>
      </w:pPr>
      <w:r>
        <w:rPr/>
        <w:t>对已出租的建筑物，按其账面价值及房屋建筑物的估计使用年限，扣除残值后，采用直线法按月计提折旧。</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87"/>
        <w:jc w:val="left"/>
      </w:pPr>
      <w:r>
        <w:rPr/>
        <w:t>对已出租的土地使用权，按其账面价值及土地使用权的尚可使用年限，采用直线法按月进行摊销。</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87"/>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3"/>
        <w:jc w:val="left"/>
      </w:pPr>
      <w:r>
        <w:rPr>
          <w:spacing w:val="-2"/>
        </w:rPr>
        <w:t>固定资产是指为生产商品、提供劳务、出租或经营管理而持有的，使用寿命超过一个会计年度的有形资产。固定资产同时满</w:t>
      </w:r>
      <w:r>
        <w:rPr>
          <w:spacing w:val="-66"/>
        </w:rPr>
        <w:t> </w:t>
      </w:r>
      <w:r>
        <w:rPr>
          <w:spacing w:val="-66"/>
        </w:rPr>
      </w:r>
      <w:r>
        <w:rPr/>
        <w:t>足下列条件的，本公司予以确认：①与该固定资产有关的经济利益很可能流入企业；②该固定资产的成本能够可靠地计量。</w:t>
      </w:r>
    </w:p>
    <w:p>
      <w:pPr>
        <w:spacing w:line="240" w:lineRule="auto" w:before="4"/>
        <w:rPr>
          <w:rFonts w:ascii="宋体" w:hAnsi="宋体" w:cs="宋体" w:eastAsia="宋体" w:hint="default"/>
          <w:sz w:val="23"/>
          <w:szCs w:val="23"/>
        </w:rPr>
      </w:pPr>
    </w:p>
    <w:p>
      <w:pPr>
        <w:pStyle w:val="Heading3"/>
        <w:spacing w:line="240" w:lineRule="auto"/>
        <w:ind w:right="187"/>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2.11%-3.80%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7.92%-11.88%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right="191"/>
        <w:jc w:val="both"/>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）租赁期满后租赁资产的所有权 </w:t>
      </w:r>
      <w:r>
        <w:rPr>
          <w:spacing w:val="-2"/>
        </w:rPr>
        <w:t>归属于本公司；（</w:t>
      </w:r>
      <w:r>
        <w:rPr>
          <w:rFonts w:ascii="Times New Roman" w:hAnsi="Times New Roman" w:cs="Times New Roman" w:eastAsia="Times New Roman" w:hint="default"/>
          <w:spacing w:val="-2"/>
        </w:rPr>
        <w:t>2</w:t>
      </w:r>
      <w:r>
        <w:rPr>
          <w:spacing w:val="-2"/>
        </w:rPr>
        <w:t>）公司具有购买资产的选择权，购买价款远低于行使选择权时该资产的公允价值；（</w:t>
      </w:r>
      <w:r>
        <w:rPr>
          <w:rFonts w:ascii="Times New Roman" w:hAnsi="Times New Roman" w:cs="Times New Roman" w:eastAsia="Times New Roman" w:hint="default"/>
          <w:spacing w:val="-2"/>
        </w:rPr>
        <w:t>3</w:t>
      </w:r>
      <w:r>
        <w:rPr>
          <w:spacing w:val="-2"/>
        </w:rPr>
        <w:t>）租赁期占所租赁</w:t>
      </w:r>
      <w:r>
        <w:rPr>
          <w:spacing w:val="-65"/>
        </w:rPr>
        <w:t> </w:t>
      </w:r>
      <w:r>
        <w:rPr>
          <w:spacing w:val="-65"/>
        </w:rPr>
      </w:r>
      <w:r>
        <w:rPr/>
        <w:t>资产使用寿命的大部分；（</w:t>
      </w:r>
      <w:r>
        <w:rPr>
          <w:rFonts w:ascii="Times New Roman" w:hAnsi="Times New Roman" w:cs="Times New Roman" w:eastAsia="Times New Roman" w:hint="default"/>
        </w:rPr>
        <w:t>4</w:t>
      </w:r>
      <w:r>
        <w:rPr/>
        <w:t>）租赁开始日的最低租赁付款额现值，与该资产的公允价值不存在较大的差异。公司在租赁开 </w:t>
      </w:r>
      <w:r>
        <w:rPr>
          <w:spacing w:val="-2"/>
        </w:rPr>
        <w:t>始日，将租赁资产公允价值与最低租赁付款额现值两者中较低者作为融资租入固定资产的入账价值，将最低租赁付款额作为</w:t>
      </w:r>
      <w:r>
        <w:rPr>
          <w:spacing w:val="-63"/>
        </w:rPr>
        <w:t> </w:t>
      </w:r>
      <w:r>
        <w:rPr>
          <w:spacing w:val="-63"/>
        </w:rPr>
      </w:r>
      <w:r>
        <w:rPr/>
        <w:t>长期应付款的入账价值，其差额作为未确认的融资费用。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93" w:firstLine="360"/>
        <w:jc w:val="both"/>
      </w:pPr>
      <w:r>
        <w:rPr>
          <w:rFonts w:ascii="Times New Roman" w:hAnsi="Times New Roman" w:cs="Times New Roman" w:eastAsia="Times New Roman" w:hint="default"/>
        </w:rPr>
        <w:t>1</w:t>
      </w:r>
      <w:r>
        <w:rPr/>
        <w:t>、在建工程的类别：本公司在建工程指为建造或更新改造固定资产而进行的各项建筑和安装工程，包括自营的在建工 程和发包的在建工程；</w:t>
      </w:r>
    </w:p>
    <w:p>
      <w:pPr>
        <w:pStyle w:val="BodyText"/>
        <w:spacing w:line="300" w:lineRule="auto" w:before="72"/>
        <w:ind w:right="193" w:firstLine="360"/>
        <w:jc w:val="both"/>
      </w:pPr>
      <w:r>
        <w:rPr>
          <w:rFonts w:ascii="Times New Roman" w:hAnsi="Times New Roman" w:cs="Times New Roman" w:eastAsia="Times New Roman" w:hint="default"/>
        </w:rPr>
        <w:t>2</w:t>
      </w:r>
      <w:r>
        <w:rPr/>
        <w:t>、在建工程的计价：在建工程按成本进行初始计量，工程成本包括在建期间发生的各项工程支出以及符合资本化条件 的借款费用等；</w:t>
      </w:r>
    </w:p>
    <w:p>
      <w:pPr>
        <w:pStyle w:val="BodyText"/>
        <w:spacing w:line="309" w:lineRule="auto" w:before="70"/>
        <w:ind w:right="189" w:firstLine="360"/>
        <w:jc w:val="both"/>
      </w:pPr>
      <w:r>
        <w:rPr>
          <w:rFonts w:ascii="Times New Roman" w:hAnsi="Times New Roman" w:cs="Times New Roman" w:eastAsia="Times New Roman" w:hint="default"/>
        </w:rPr>
        <w:t>3</w:t>
      </w:r>
      <w:r>
        <w:rPr/>
        <w:t>、在建工程结转固定资产的时点：本公司在工程完工、验收合格交付使用的当月结转固定资产。对已达到预定可使用 </w:t>
      </w:r>
      <w:r>
        <w:rPr>
          <w:spacing w:val="-2"/>
        </w:rPr>
        <w:t>状态但尚未办理竣工决算的固定资产，按照估计价值确定其成本，并计提折旧；待办理竣工结算后，按实际成本调整原来的</w:t>
      </w:r>
      <w:r>
        <w:rPr>
          <w:spacing w:val="-63"/>
        </w:rPr>
        <w:t> </w:t>
      </w:r>
      <w:r>
        <w:rPr>
          <w:spacing w:val="-63"/>
        </w:rPr>
      </w:r>
      <w:r>
        <w:rPr/>
        <w:t>暂估价值，但不调整原已计提的折旧额。</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190" w:firstLine="360"/>
        <w:jc w:val="both"/>
      </w:pPr>
      <w:r>
        <w:rPr>
          <w:rFonts w:ascii="Times New Roman" w:hAnsi="Times New Roman" w:cs="Times New Roman" w:eastAsia="Times New Roman" w:hint="default"/>
        </w:rPr>
        <w:t>1</w:t>
      </w:r>
      <w:r>
        <w:rPr/>
        <w:t>、借款费用资本化的确认原则：借款费用包括因借款而发生的利息、折价或溢价的摊销和辅助费用，以及因外币借款 </w:t>
      </w:r>
      <w:r>
        <w:rPr>
          <w:spacing w:val="-2"/>
        </w:rPr>
        <w:t>而发生的汇兑差额等。本公司发生的借款费用，可直接归属于符合资本化条件的资产的购建或者生产的，予以资本化，计入</w:t>
      </w:r>
      <w:r>
        <w:rPr>
          <w:spacing w:val="-64"/>
        </w:rPr>
        <w:t> </w:t>
      </w:r>
      <w:r>
        <w:rPr>
          <w:spacing w:val="-64"/>
        </w:rPr>
      </w:r>
      <w:r>
        <w:rPr/>
        <w:t>相关资产的成本；其他借款费用，在发生时根据其发生额确认为费用，计入当期损益。</w:t>
      </w:r>
    </w:p>
    <w:p>
      <w:pPr>
        <w:pStyle w:val="BodyText"/>
        <w:spacing w:line="240" w:lineRule="auto" w:before="62"/>
        <w:ind w:left="513" w:right="187"/>
        <w:jc w:val="left"/>
      </w:pPr>
      <w:r>
        <w:rPr>
          <w:rFonts w:ascii="Times New Roman" w:hAnsi="Times New Roman" w:cs="Times New Roman" w:eastAsia="Times New Roman" w:hint="default"/>
        </w:rPr>
        <w:t>2</w:t>
      </w:r>
      <w:r>
        <w:rPr/>
        <w:t>、借款费用资本化的开始：本公司对同时满足以下三个条件的借款费用，开始资本化：</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2" w:firstLine="360"/>
        <w:jc w:val="both"/>
      </w:pPr>
      <w:r>
        <w:rPr/>
        <w:t>（</w:t>
      </w:r>
      <w:r>
        <w:rPr>
          <w:rFonts w:ascii="Times New Roman" w:hAnsi="Times New Roman" w:cs="Times New Roman" w:eastAsia="Times New Roman" w:hint="default"/>
        </w:rPr>
        <w:t>1</w:t>
      </w:r>
      <w:r>
        <w:rPr/>
        <w:t>）资产支出（资产支出包括为购建固定资产或者生产符合资本化条件的资产而以支付现金、转移非现金资产或者承 担带息债务形式发生的支出）已经发生；</w:t>
      </w:r>
    </w:p>
    <w:p>
      <w:pPr>
        <w:pStyle w:val="BodyText"/>
        <w:spacing w:line="240" w:lineRule="auto" w:before="72"/>
        <w:ind w:left="513" w:right="187"/>
        <w:jc w:val="left"/>
      </w:pPr>
      <w:r>
        <w:rPr/>
        <w:t>（</w:t>
      </w:r>
      <w:r>
        <w:rPr>
          <w:rFonts w:ascii="Times New Roman" w:hAnsi="Times New Roman" w:cs="Times New Roman" w:eastAsia="Times New Roman" w:hint="default"/>
        </w:rPr>
        <w:t>2</w:t>
      </w:r>
      <w:r>
        <w:rPr/>
        <w:t>）借款费用已经发生；</w:t>
      </w:r>
    </w:p>
    <w:p>
      <w:pPr>
        <w:pStyle w:val="BodyText"/>
        <w:spacing w:line="240" w:lineRule="auto" w:before="101"/>
        <w:ind w:left="513" w:right="187"/>
        <w:jc w:val="left"/>
      </w:pPr>
      <w:r>
        <w:rPr/>
        <w:t>（</w:t>
      </w:r>
      <w:r>
        <w:rPr>
          <w:rFonts w:ascii="Times New Roman" w:hAnsi="Times New Roman" w:cs="Times New Roman" w:eastAsia="Times New Roman" w:hint="default"/>
        </w:rPr>
        <w:t>3</w:t>
      </w:r>
      <w:r>
        <w:rPr/>
        <w:t>）为使资产达到预定可使用状态或者可销售状态所必要的购建活动或者生产活动已经开始。</w:t>
      </w:r>
    </w:p>
    <w:p>
      <w:pPr>
        <w:pStyle w:val="BodyText"/>
        <w:spacing w:line="240" w:lineRule="auto" w:before="103"/>
        <w:ind w:left="513" w:right="0"/>
        <w:jc w:val="left"/>
      </w:pPr>
      <w:r>
        <w:rPr>
          <w:rFonts w:ascii="Times New Roman" w:hAnsi="Times New Roman" w:cs="Times New Roman" w:eastAsia="Times New Roman" w:hint="default"/>
        </w:rPr>
        <w:t>3</w:t>
      </w:r>
      <w:r>
        <w:rPr/>
        <w:t>、资本化期间：是指从借款费用开始资本化时点到停止资本化时点的期间，借款费用暂停资本化的期间不包括在内。</w:t>
      </w:r>
    </w:p>
    <w:p>
      <w:pPr>
        <w:pStyle w:val="BodyText"/>
        <w:spacing w:line="312" w:lineRule="auto" w:before="103"/>
        <w:ind w:right="190" w:firstLine="360"/>
        <w:jc w:val="both"/>
      </w:pPr>
      <w:r>
        <w:rPr>
          <w:rFonts w:ascii="Times New Roman" w:hAnsi="Times New Roman" w:cs="Times New Roman" w:eastAsia="Times New Roman" w:hint="default"/>
        </w:rPr>
        <w:t>4</w:t>
      </w:r>
      <w:r>
        <w:rPr/>
        <w:t>、借款费用资本化的暂停和停止：本公司对符合资本化条件的资产在购建或者生产过程中发生非正常中断，并且中断 </w:t>
      </w:r>
      <w:r>
        <w:rPr>
          <w:spacing w:val="-2"/>
        </w:rPr>
        <w:t>时间连续超过三个月，暂停借款费用的资本化。在中断期间发生的借款费用确认为费用，计入当期损益，直至资产的购建或</w:t>
      </w:r>
      <w:r>
        <w:rPr>
          <w:spacing w:val="-63"/>
        </w:rPr>
        <w:t> </w:t>
      </w:r>
      <w:r>
        <w:rPr>
          <w:spacing w:val="-63"/>
        </w:rPr>
      </w:r>
      <w:r>
        <w:rPr/>
        <w:t>者生产活动重新开始。如果中断是使所购建或者生产的符合资本化条件的资产达到预定可使用或者可销售状态所必要的程</w:t>
      </w:r>
      <w:r>
        <w:rPr>
          <w:spacing w:val="-11"/>
        </w:rPr>
        <w:t> </w:t>
      </w:r>
      <w:r>
        <w:rPr>
          <w:spacing w:val="-11"/>
        </w:rPr>
      </w:r>
      <w:r>
        <w:rPr/>
        <w:t>序，则借款费用的资本化继续进行。</w:t>
      </w:r>
    </w:p>
    <w:p>
      <w:pPr>
        <w:pStyle w:val="BodyText"/>
        <w:spacing w:line="316" w:lineRule="auto" w:before="61"/>
        <w:ind w:right="192" w:firstLine="360"/>
        <w:jc w:val="both"/>
      </w:pPr>
      <w:r>
        <w:rPr>
          <w:spacing w:val="-2"/>
        </w:rPr>
        <w:t>当购建或者生产符合资本化条件的资产达到预定可使用或者可销售状态时，停止借款费用的资本化，以后发生的费用于</w:t>
      </w:r>
      <w:r>
        <w:rPr/>
        <w:t> 发生当期确认为费用。</w:t>
      </w:r>
    </w:p>
    <w:p>
      <w:pPr>
        <w:pStyle w:val="BodyText"/>
        <w:spacing w:line="340" w:lineRule="auto" w:before="59"/>
        <w:ind w:left="513" w:right="2973"/>
        <w:jc w:val="left"/>
      </w:pPr>
      <w:r>
        <w:rPr>
          <w:rFonts w:ascii="Times New Roman" w:hAnsi="Times New Roman" w:cs="Times New Roman" w:eastAsia="Times New Roman" w:hint="default"/>
        </w:rPr>
        <w:t>5</w:t>
      </w:r>
      <w:r>
        <w:rPr/>
        <w:t>、借款费用资本化金额的计算方法 在资本化期间内，本公司对每一会计期间的利息资本化金额，按照下列方法确定：</w:t>
      </w:r>
    </w:p>
    <w:p>
      <w:pPr>
        <w:pStyle w:val="BodyText"/>
        <w:spacing w:line="300" w:lineRule="auto" w:before="39"/>
        <w:ind w:right="193" w:firstLine="360"/>
        <w:jc w:val="both"/>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9" w:lineRule="auto" w:before="72"/>
        <w:ind w:right="192" w:firstLine="360"/>
        <w:jc w:val="both"/>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3"/>
          <w:szCs w:val="23"/>
        </w:rPr>
      </w:pPr>
    </w:p>
    <w:p>
      <w:pPr>
        <w:pStyle w:val="Heading3"/>
        <w:spacing w:line="240" w:lineRule="auto"/>
        <w:ind w:right="187"/>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187"/>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87"/>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87"/>
        <w:jc w:val="left"/>
      </w:pPr>
      <w:r>
        <w:rPr>
          <w:rFonts w:ascii="Times New Roman" w:hAnsi="Times New Roman" w:cs="Times New Roman" w:eastAsia="Times New Roman" w:hint="default"/>
        </w:rPr>
        <w:t>1</w:t>
      </w:r>
      <w:r>
        <w:rPr/>
        <w:t>、本公司对无形资产按照成本进行初始计量，具体方法如下：</w:t>
      </w:r>
    </w:p>
    <w:p>
      <w:pPr>
        <w:pStyle w:val="BodyText"/>
        <w:spacing w:line="300" w:lineRule="auto" w:before="103"/>
        <w:ind w:right="111" w:firstLine="360"/>
        <w:jc w:val="both"/>
      </w:pPr>
      <w:r>
        <w:rPr/>
        <w:t>（</w:t>
      </w:r>
      <w:r>
        <w:rPr>
          <w:rFonts w:ascii="Times New Roman" w:hAnsi="Times New Roman" w:cs="Times New Roman" w:eastAsia="Times New Roman" w:hint="default"/>
        </w:rPr>
        <w:t>1</w:t>
      </w:r>
      <w:r>
        <w:rPr/>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BodyText"/>
        <w:spacing w:line="300" w:lineRule="auto" w:before="70"/>
        <w:ind w:right="193" w:firstLine="360"/>
        <w:jc w:val="both"/>
      </w:pPr>
      <w:r>
        <w:rPr/>
        <w:t>（</w:t>
      </w:r>
      <w:r>
        <w:rPr>
          <w:rFonts w:ascii="Times New Roman" w:hAnsi="Times New Roman" w:cs="Times New Roman" w:eastAsia="Times New Roman" w:hint="default"/>
        </w:rPr>
        <w:t>2</w:t>
      </w:r>
      <w:r>
        <w:rPr/>
        <w:t>）自行开发的无形资产的成本，按满足资本化条件的时点至达到预定用途前发生的支出总额确定，但对于以前期间 已经费用化的支出不再调整；</w:t>
      </w:r>
    </w:p>
    <w:p>
      <w:pPr>
        <w:pStyle w:val="BodyText"/>
        <w:spacing w:line="240" w:lineRule="auto" w:before="72"/>
        <w:ind w:left="513" w:right="187"/>
        <w:jc w:val="left"/>
      </w:pPr>
      <w:r>
        <w:rPr/>
        <w:t>（</w:t>
      </w:r>
      <w:r>
        <w:rPr>
          <w:rFonts w:ascii="Times New Roman" w:hAnsi="Times New Roman" w:cs="Times New Roman" w:eastAsia="Times New Roman" w:hint="default"/>
        </w:rPr>
        <w:t>3</w:t>
      </w:r>
      <w:r>
        <w:rPr/>
        <w:t>）投资者投入的无形资产的成本，按投资合同或协议约定的价值确定，但合同或协议约定价值不公允的除外；</w:t>
      </w:r>
    </w:p>
    <w:p>
      <w:pPr>
        <w:pStyle w:val="BodyText"/>
        <w:spacing w:line="300" w:lineRule="auto" w:before="103"/>
        <w:ind w:right="190"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w:t>
      </w:r>
      <w:r>
        <w:rPr/>
        <w:t> </w:t>
      </w: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4"/>
        </w:rPr>
        <w:t> </w:t>
      </w:r>
      <w:r>
        <w:rPr/>
        <w:t>业合并》的相关规定确定。</w:t>
      </w:r>
    </w:p>
    <w:p>
      <w:pPr>
        <w:pStyle w:val="BodyText"/>
        <w:spacing w:line="340" w:lineRule="auto" w:before="70"/>
        <w:ind w:left="513" w:right="187"/>
        <w:jc w:val="left"/>
      </w:pPr>
      <w:r>
        <w:rPr>
          <w:rFonts w:ascii="Times New Roman" w:hAnsi="Times New Roman" w:cs="Times New Roman" w:eastAsia="Times New Roman" w:hint="default"/>
        </w:rPr>
        <w:t>2</w:t>
      </w:r>
      <w:r>
        <w:rPr/>
        <w:t>、本公司对无形资产使用寿命的估计情况如下： </w:t>
      </w:r>
      <w:r>
        <w:rPr>
          <w:spacing w:val="-2"/>
        </w:rPr>
        <w:t>本公司对来源于合同性权利或其他法定权利的无形资产，认定其使用寿命不超过合同性权利或其他法定权利的期限；对</w:t>
      </w:r>
    </w:p>
    <w:p>
      <w:pPr>
        <w:pStyle w:val="BodyText"/>
        <w:spacing w:line="240" w:lineRule="auto" w:before="1"/>
        <w:ind w:right="0"/>
        <w:jc w:val="left"/>
      </w:pPr>
      <w:r>
        <w:rPr/>
        <w:t>合同或法律没有规定使用寿命的无形资产，通常综合各方面因素判断（如与同行业比较、参考历史经验，或聘用相关专家进</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7"/>
        <w:jc w:val="left"/>
      </w:pPr>
      <w:r>
        <w:rPr/>
        <w:t>行论证等），确定无形资产为公司带来经济利益的期限。本公司确定无形资产使用寿命通常考虑如下因素：</w:t>
      </w:r>
    </w:p>
    <w:p>
      <w:pPr>
        <w:pStyle w:val="BodyText"/>
        <w:spacing w:line="240" w:lineRule="auto" w:before="117"/>
        <w:ind w:left="513" w:right="187"/>
        <w:jc w:val="left"/>
      </w:pPr>
      <w:r>
        <w:rPr/>
        <w:t>（</w:t>
      </w: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101"/>
        <w:ind w:left="513" w:right="187"/>
        <w:jc w:val="left"/>
      </w:pPr>
      <w:r>
        <w:rPr/>
        <w:t>（</w:t>
      </w: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103"/>
        <w:ind w:left="513" w:right="187"/>
        <w:jc w:val="left"/>
      </w:pPr>
      <w:r>
        <w:rPr/>
        <w:t>（</w:t>
      </w:r>
      <w:r>
        <w:rPr>
          <w:rFonts w:ascii="Times New Roman" w:hAnsi="Times New Roman" w:cs="Times New Roman" w:eastAsia="Times New Roman" w:hint="default"/>
        </w:rPr>
        <w:t>3</w:t>
      </w:r>
      <w:r>
        <w:rPr/>
        <w:t>）以该资产生产的产品或提供的服务的市场需求情况；</w:t>
      </w:r>
    </w:p>
    <w:p>
      <w:pPr>
        <w:pStyle w:val="BodyText"/>
        <w:spacing w:line="240" w:lineRule="auto" w:before="103"/>
        <w:ind w:left="513" w:right="187"/>
        <w:jc w:val="left"/>
      </w:pPr>
      <w:r>
        <w:rPr/>
        <w:t>（</w:t>
      </w:r>
      <w:r>
        <w:rPr>
          <w:rFonts w:ascii="Times New Roman" w:hAnsi="Times New Roman" w:cs="Times New Roman" w:eastAsia="Times New Roman" w:hint="default"/>
        </w:rPr>
        <w:t>4</w:t>
      </w:r>
      <w:r>
        <w:rPr/>
        <w:t>）现在或潜在的竞争者预期采取的行动；</w:t>
      </w:r>
    </w:p>
    <w:p>
      <w:pPr>
        <w:pStyle w:val="BodyText"/>
        <w:spacing w:line="240" w:lineRule="auto" w:before="101"/>
        <w:ind w:left="513" w:right="187"/>
        <w:jc w:val="left"/>
      </w:pPr>
      <w:r>
        <w:rPr/>
        <w:t>（</w:t>
      </w:r>
      <w:r>
        <w:rPr>
          <w:rFonts w:ascii="Times New Roman" w:hAnsi="Times New Roman" w:cs="Times New Roman" w:eastAsia="Times New Roman" w:hint="default"/>
        </w:rPr>
        <w:t>5</w:t>
      </w:r>
      <w:r>
        <w:rPr/>
        <w:t>）为维护该资产带来经济利益能力的预期维护支出、以及公司预计支付有关支出的能力；</w:t>
      </w:r>
    </w:p>
    <w:p>
      <w:pPr>
        <w:pStyle w:val="BodyText"/>
        <w:spacing w:line="240" w:lineRule="auto" w:before="103"/>
        <w:ind w:left="513" w:right="187"/>
        <w:jc w:val="left"/>
      </w:pPr>
      <w:r>
        <w:rPr/>
        <w:t>（</w:t>
      </w:r>
      <w:r>
        <w:rPr>
          <w:rFonts w:ascii="Times New Roman" w:hAnsi="Times New Roman" w:cs="Times New Roman" w:eastAsia="Times New Roman" w:hint="default"/>
        </w:rPr>
        <w:t>6</w:t>
      </w:r>
      <w:r>
        <w:rPr/>
        <w:t>）对该资产控制期限的相关法律规定或类似限制；</w:t>
      </w:r>
    </w:p>
    <w:p>
      <w:pPr>
        <w:pStyle w:val="BodyText"/>
        <w:spacing w:line="348" w:lineRule="auto" w:before="103"/>
        <w:ind w:left="513" w:right="183"/>
        <w:jc w:val="left"/>
      </w:pPr>
      <w:r>
        <w:rPr/>
        <w:t>（</w:t>
      </w:r>
      <w:r>
        <w:rPr>
          <w:rFonts w:ascii="Times New Roman" w:hAnsi="Times New Roman" w:cs="Times New Roman" w:eastAsia="Times New Roman" w:hint="default"/>
        </w:rPr>
        <w:t>7</w:t>
      </w:r>
      <w:r>
        <w:rPr/>
        <w:t>）与公司持有的其他资产使用寿命的关联性等。 按照上述方法仍无法合理确定无形资产为公司带来经济利益期限的，本公司将其视为使用寿命不确定的无形资产。 </w:t>
      </w:r>
      <w:r>
        <w:rPr>
          <w:rFonts w:ascii="Times New Roman" w:hAnsi="Times New Roman" w:cs="Times New Roman" w:eastAsia="Times New Roman" w:hint="default"/>
        </w:rPr>
        <w:t>3</w:t>
      </w:r>
      <w:r>
        <w:rPr/>
        <w:t>、本公司对使用寿命有限的无形资产自其可供使用时起至不再作为无形资产确认时止在无形资产使用寿命内采用直线</w:t>
      </w:r>
    </w:p>
    <w:p>
      <w:pPr>
        <w:pStyle w:val="BodyText"/>
        <w:spacing w:line="209" w:lineRule="exact"/>
        <w:ind w:right="0"/>
        <w:jc w:val="left"/>
      </w:pPr>
      <w:r>
        <w:rPr/>
        <w:t>法摊销。即按预计使用年限、合同规定的受益年限和法律规定的有效年限三者中最短者分期平均摊销。摊销金额按其受益对</w:t>
      </w:r>
    </w:p>
    <w:p>
      <w:pPr>
        <w:pStyle w:val="BodyText"/>
        <w:spacing w:line="319" w:lineRule="auto" w:before="76"/>
        <w:ind w:right="187"/>
        <w:jc w:val="left"/>
      </w:pPr>
      <w:r>
        <w:rPr>
          <w:spacing w:val="-2"/>
        </w:rPr>
        <w:t>象计入相关资产成本和当期损益。本公司对已提减值准备的无形资产计算应摊销金额时，还需扣除该无形资产已计提的减值</w:t>
      </w:r>
      <w:r>
        <w:rPr>
          <w:spacing w:val="-64"/>
        </w:rPr>
        <w:t> </w:t>
      </w:r>
      <w:r>
        <w:rPr>
          <w:spacing w:val="-64"/>
        </w:rPr>
      </w:r>
      <w:r>
        <w:rPr/>
        <w:t>准备累计金额；</w:t>
      </w:r>
    </w:p>
    <w:p>
      <w:pPr>
        <w:pStyle w:val="BodyText"/>
        <w:spacing w:line="316" w:lineRule="auto" w:before="58"/>
        <w:ind w:right="0" w:firstLine="360"/>
        <w:jc w:val="left"/>
      </w:pPr>
      <w:r>
        <w:rPr>
          <w:spacing w:val="-4"/>
        </w:rPr>
        <w:t>对于使用寿命不确定的无形资产，本公司不对其进行摊销，但在每个会计期末，对该部分无形资产的使用寿命进行复核，</w:t>
      </w:r>
      <w:r>
        <w:rPr/>
        <w:t> 如使用寿命仍不能确定，则对其进行减值测试。</w:t>
      </w:r>
    </w:p>
    <w:p>
      <w:pPr>
        <w:pStyle w:val="BodyText"/>
        <w:spacing w:line="340" w:lineRule="auto" w:before="57"/>
        <w:ind w:left="513" w:right="187"/>
        <w:jc w:val="left"/>
      </w:pPr>
      <w:r>
        <w:rPr>
          <w:rFonts w:ascii="Times New Roman" w:hAnsi="Times New Roman" w:cs="Times New Roman" w:eastAsia="Times New Roman" w:hint="default"/>
        </w:rPr>
        <w:t>4</w:t>
      </w:r>
      <w:r>
        <w:rPr/>
        <w:t>、无形资产减值准备的确认标准和计提方法 </w:t>
      </w:r>
      <w:r>
        <w:rPr>
          <w:spacing w:val="-2"/>
        </w:rPr>
        <w:t>本公司对商标等受益年限不确定的无形资产，每年末均需进行减值测试，估计其可收回金额，按其可收回金额低于账面</w:t>
      </w:r>
    </w:p>
    <w:p>
      <w:pPr>
        <w:pStyle w:val="BodyText"/>
        <w:spacing w:line="360" w:lineRule="auto" w:before="1"/>
        <w:ind w:left="513" w:right="187" w:hanging="360"/>
        <w:jc w:val="left"/>
      </w:pPr>
      <w:r>
        <w:rPr/>
        <w:t>价值的差额计提无形资产减值准备，确认资产减值损失。 </w:t>
      </w:r>
      <w:r>
        <w:rPr>
          <w:spacing w:val="-2"/>
        </w:rPr>
        <w:t>对其他无形资产，期末进行检查，当存在下述减值迹象时估计其可收回金额，按其可收回金额低于账面价值的差额计提</w:t>
      </w:r>
    </w:p>
    <w:p>
      <w:pPr>
        <w:pStyle w:val="BodyText"/>
        <w:spacing w:line="222" w:lineRule="exact"/>
        <w:ind w:right="187"/>
        <w:jc w:val="left"/>
      </w:pPr>
      <w:r>
        <w:rPr/>
        <w:t>无形资产减值准备，确认资产减值损失：</w:t>
      </w:r>
    </w:p>
    <w:p>
      <w:pPr>
        <w:pStyle w:val="BodyText"/>
        <w:spacing w:line="240" w:lineRule="auto" w:before="115"/>
        <w:ind w:left="513" w:right="187"/>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3"/>
        <w:ind w:left="513" w:right="187"/>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4"/>
        <w:ind w:left="513" w:right="187"/>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40" w:lineRule="auto" w:before="101"/>
        <w:ind w:left="513" w:right="4773"/>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12"/>
        <w:rPr>
          <w:rFonts w:ascii="宋体" w:hAnsi="宋体" w:cs="宋体" w:eastAsia="宋体" w:hint="default"/>
          <w:sz w:val="21"/>
          <w:szCs w:val="21"/>
        </w:rPr>
      </w:pPr>
    </w:p>
    <w:p>
      <w:pPr>
        <w:pStyle w:val="Heading3"/>
        <w:spacing w:line="240" w:lineRule="auto"/>
        <w:ind w:right="187"/>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本公司对内部研究开发无形资产的计量原则和会计处理如下：</w:t>
      </w:r>
    </w:p>
    <w:p>
      <w:pPr>
        <w:pStyle w:val="BodyText"/>
        <w:spacing w:line="309" w:lineRule="auto" w:before="115"/>
        <w:ind w:right="192" w:firstLine="360"/>
        <w:jc w:val="both"/>
      </w:pPr>
      <w:r>
        <w:rPr/>
        <w:t>（</w:t>
      </w:r>
      <w:r>
        <w:rPr>
          <w:rFonts w:ascii="Times New Roman" w:hAnsi="Times New Roman" w:cs="Times New Roman" w:eastAsia="Times New Roman" w:hint="default"/>
        </w:rPr>
        <w:t>1</w:t>
      </w:r>
      <w:r>
        <w:rPr/>
        <w:t>）本公司将企业内部研究开发项目的支出区分为研究阶段支出和开发阶段支出，研究阶段支出是指为获取并理解新 </w:t>
      </w:r>
      <w:r>
        <w:rPr>
          <w:spacing w:val="-2"/>
        </w:rPr>
        <w:t>的科学或技术知识而进行的独创性的有计划调查阶段而发生的支出；开发阶段支出是指在进行商业性生产或使用前，将研究</w:t>
      </w:r>
      <w:r>
        <w:rPr>
          <w:spacing w:val="-64"/>
        </w:rPr>
        <w:t> </w:t>
      </w:r>
      <w:r>
        <w:rPr>
          <w:spacing w:val="-64"/>
        </w:rPr>
      </w:r>
      <w:r>
        <w:rPr/>
        <w:t>成果或其他知识应用于某项计划或设计，以生产出新的或具有实质性改进的材料、装置、产品等阶段而发生的支出。</w:t>
      </w:r>
    </w:p>
    <w:p>
      <w:pPr>
        <w:pStyle w:val="BodyText"/>
        <w:spacing w:line="300" w:lineRule="auto" w:before="65"/>
        <w:ind w:right="0" w:firstLine="360"/>
        <w:jc w:val="left"/>
      </w:pPr>
      <w:r>
        <w:rPr>
          <w:spacing w:val="-2"/>
        </w:rPr>
        <w:t>（</w:t>
      </w:r>
      <w:r>
        <w:rPr>
          <w:rFonts w:ascii="Times New Roman" w:hAnsi="Times New Roman" w:cs="Times New Roman" w:eastAsia="Times New Roman" w:hint="default"/>
          <w:spacing w:val="-2"/>
        </w:rPr>
        <w:t>2</w:t>
      </w:r>
      <w:r>
        <w:rPr>
          <w:spacing w:val="-2"/>
        </w:rPr>
        <w:t>）本公司对研究阶段的支出，于发生时计入当期损益；对开发阶段的支出，在同时满足下列条件时确认为无形资产，</w:t>
      </w:r>
      <w:r>
        <w:rPr/>
        <w:t> 不同时满足下列条件的确认为损益：</w:t>
      </w:r>
    </w:p>
    <w:p>
      <w:pPr>
        <w:pStyle w:val="BodyText"/>
        <w:spacing w:line="240" w:lineRule="auto" w:before="73"/>
        <w:ind w:left="513" w:right="187"/>
        <w:jc w:val="left"/>
      </w:pPr>
      <w:r>
        <w:rPr/>
        <w:t>①完成该无形资产以使其能够使用或出售在技术上具有可行性；</w:t>
      </w:r>
    </w:p>
    <w:p>
      <w:pPr>
        <w:pStyle w:val="BodyText"/>
        <w:spacing w:line="240" w:lineRule="auto" w:before="115"/>
        <w:ind w:left="513" w:right="187"/>
        <w:jc w:val="left"/>
      </w:pPr>
      <w:r>
        <w:rPr/>
        <w:t>②具有完成该无形资产并使用或出售的意图；</w:t>
      </w:r>
    </w:p>
    <w:p>
      <w:pPr>
        <w:pStyle w:val="BodyText"/>
        <w:spacing w:line="316" w:lineRule="auto" w:before="117"/>
        <w:ind w:right="187" w:firstLine="360"/>
        <w:jc w:val="left"/>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7"/>
        <w:ind w:left="513" w:right="187"/>
        <w:jc w:val="left"/>
      </w:pPr>
      <w:r>
        <w:rPr/>
        <w:t>④有足够的技术、财务资源和其他资源支持，以完成该无形资产的开发，并有能力使用或出售该无形资产；</w:t>
      </w:r>
    </w:p>
    <w:p>
      <w:pPr>
        <w:pStyle w:val="BodyText"/>
        <w:spacing w:line="240" w:lineRule="auto" w:before="117"/>
        <w:ind w:left="513" w:right="187"/>
        <w:jc w:val="left"/>
      </w:pPr>
      <w:r>
        <w:rPr/>
        <w:t>⑤归属于该无形资产开发阶段的支出能够可靠地计量。</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1"/>
        <w:rPr>
          <w:rFonts w:ascii="宋体" w:hAnsi="宋体" w:cs="宋体" w:eastAsia="宋体" w:hint="default"/>
          <w:b/>
          <w:bCs/>
          <w:sz w:val="26"/>
          <w:szCs w:val="26"/>
        </w:rPr>
      </w:pPr>
    </w:p>
    <w:p>
      <w:pPr>
        <w:pStyle w:val="BodyText"/>
        <w:spacing w:line="314" w:lineRule="auto"/>
        <w:ind w:right="152" w:firstLine="360"/>
        <w:jc w:val="both"/>
      </w:pPr>
      <w:r>
        <w:rPr>
          <w:rFonts w:ascii="Times New Roman" w:hAnsi="Times New Roman" w:cs="Times New Roman" w:eastAsia="Times New Roman" w:hint="default"/>
        </w:rPr>
        <w:t>1</w:t>
      </w:r>
      <w:r>
        <w:rPr/>
        <w:t>、长期股权投资的减值测试方法及减值准备计提方法：本公司于期末对长期股权投资的账面价值逐项进行检查，如果 </w:t>
      </w:r>
      <w:r>
        <w:rPr>
          <w:spacing w:val="-2"/>
        </w:rPr>
        <w:t>由于市价持续下跌或被投资单位经营状况发生变化等原因导致长期股权投资的可收回金额低于其账面价值，并且这种降低的</w:t>
      </w:r>
      <w:r>
        <w:rPr>
          <w:spacing w:val="-64"/>
        </w:rPr>
        <w:t> </w:t>
      </w:r>
      <w:r>
        <w:rPr>
          <w:spacing w:val="-64"/>
        </w:rPr>
      </w:r>
      <w:r>
        <w:rPr/>
        <w:t>价值在可预计的未来期间内不可能恢复时，按单项长期股权投资账面价值高于可收回金额的差额计提长期股权投资减值准</w:t>
      </w:r>
      <w:r>
        <w:rPr>
          <w:spacing w:val="-11"/>
        </w:rPr>
        <w:t> </w:t>
      </w:r>
      <w:r>
        <w:rPr>
          <w:spacing w:val="-11"/>
        </w:rPr>
      </w:r>
      <w:r>
        <w:rPr>
          <w:spacing w:val="-2"/>
        </w:rPr>
        <w:t>备，确认资产减值损失。除对资产进行处置、出售、对外投资等情况外，长期股权投资减值损失一经确认，在以后的会计期</w:t>
      </w:r>
      <w:r>
        <w:rPr>
          <w:spacing w:val="-68"/>
        </w:rPr>
        <w:t> </w:t>
      </w:r>
      <w:r>
        <w:rPr>
          <w:spacing w:val="-68"/>
        </w:rPr>
      </w:r>
      <w:r>
        <w:rPr/>
        <w:t>间不予转回。</w:t>
      </w:r>
    </w:p>
    <w:p>
      <w:pPr>
        <w:pStyle w:val="BodyText"/>
        <w:spacing w:line="300" w:lineRule="auto" w:before="59"/>
        <w:ind w:right="153" w:firstLine="360"/>
        <w:jc w:val="both"/>
      </w:pPr>
      <w:r>
        <w:rPr>
          <w:rFonts w:ascii="Times New Roman" w:hAnsi="Times New Roman" w:cs="Times New Roman" w:eastAsia="Times New Roman" w:hint="default"/>
        </w:rPr>
        <w:t>2</w:t>
      </w:r>
      <w:r>
        <w:rPr/>
        <w:t>、投资性房地产减值准备的计提依据：期末按单项资产账面价值大于可收回金额的差额计提投资性房地产减值准备； 投资性房地产减值准备一经确认，在以后的会计期间不再转回。</w:t>
      </w:r>
    </w:p>
    <w:p>
      <w:pPr>
        <w:pStyle w:val="BodyText"/>
        <w:spacing w:line="340" w:lineRule="auto" w:before="72"/>
        <w:ind w:left="513" w:right="0"/>
        <w:jc w:val="left"/>
      </w:pPr>
      <w:r>
        <w:rPr>
          <w:rFonts w:ascii="Times New Roman" w:hAnsi="Times New Roman" w:cs="Times New Roman" w:eastAsia="Times New Roman" w:hint="default"/>
        </w:rPr>
        <w:t>3</w:t>
      </w:r>
      <w:r>
        <w:rPr/>
        <w:t>、固定资产的减值测试方法、减值准备计提方法： </w:t>
      </w:r>
      <w:r>
        <w:rPr>
          <w:spacing w:val="-2"/>
        </w:rPr>
        <w:t>期末固定资产由于市价持续下跌，或技术陈旧、损坏、长期闲置等原因导致其可收回金额低于其账面价值的，将固定资</w:t>
      </w:r>
    </w:p>
    <w:p>
      <w:pPr>
        <w:pStyle w:val="BodyText"/>
        <w:spacing w:line="319" w:lineRule="auto" w:before="1"/>
        <w:ind w:right="0"/>
        <w:jc w:val="left"/>
      </w:pPr>
      <w:r>
        <w:rPr>
          <w:spacing w:val="-2"/>
        </w:rPr>
        <w:t>产的账面价值减记至可收回金额。对计提了减值准备的固定资产，则在未来期间按扣除减值准备后的账面价值及依据尚可使</w:t>
      </w:r>
      <w:r>
        <w:rPr>
          <w:spacing w:val="-64"/>
        </w:rPr>
        <w:t> </w:t>
      </w:r>
      <w:r>
        <w:rPr>
          <w:spacing w:val="-64"/>
        </w:rPr>
      </w:r>
      <w:r>
        <w:rPr/>
        <w:t>用年限确定折旧额。</w:t>
      </w:r>
    </w:p>
    <w:p>
      <w:pPr>
        <w:pStyle w:val="BodyText"/>
        <w:spacing w:line="316" w:lineRule="auto" w:before="55"/>
        <w:ind w:right="152" w:firstLine="360"/>
        <w:jc w:val="both"/>
      </w:pPr>
      <w:r>
        <w:rPr>
          <w:spacing w:val="-2"/>
        </w:rPr>
        <w:t>符合持有待售条件的固定资产，以账面价值与公允价值减去处置费用孰低的金额列示。公允价值减去处置费用低于原账</w:t>
      </w:r>
      <w:r>
        <w:rPr/>
        <w:t> 面价值的金额，确认为资产减值损失。</w:t>
      </w:r>
    </w:p>
    <w:p>
      <w:pPr>
        <w:pStyle w:val="BodyText"/>
        <w:spacing w:line="240" w:lineRule="auto" w:before="59"/>
        <w:ind w:left="513" w:right="0"/>
        <w:jc w:val="left"/>
      </w:pPr>
      <w:r>
        <w:rPr/>
        <w:t>固定资产减值损失一经确认，在以后的会计期间不再转回。</w:t>
      </w:r>
    </w:p>
    <w:p>
      <w:pPr>
        <w:pStyle w:val="BodyText"/>
        <w:spacing w:line="338" w:lineRule="auto" w:before="117"/>
        <w:ind w:left="513" w:right="0"/>
        <w:jc w:val="left"/>
      </w:pPr>
      <w:r>
        <w:rPr>
          <w:rFonts w:ascii="Times New Roman" w:hAnsi="Times New Roman" w:cs="Times New Roman" w:eastAsia="Times New Roman" w:hint="default"/>
        </w:rPr>
        <w:t>4</w:t>
      </w:r>
      <w:r>
        <w:rPr/>
        <w:t>、在建工程减值准备的确认标准和计提方法 </w:t>
      </w:r>
      <w:r>
        <w:rPr>
          <w:spacing w:val="-2"/>
        </w:rPr>
        <w:t>本公司于期末对在建工程进行检查，如发现存在下列情况，则计算在建工程的可收回金额，以确定资产是否已经发生减</w:t>
      </w:r>
    </w:p>
    <w:p>
      <w:pPr>
        <w:pStyle w:val="BodyText"/>
        <w:spacing w:line="316" w:lineRule="auto" w:before="2"/>
        <w:ind w:right="0"/>
        <w:jc w:val="left"/>
      </w:pPr>
      <w:r>
        <w:rPr>
          <w:spacing w:val="-2"/>
        </w:rPr>
        <w:t>值。对于可收回金额低于其账面价值的在建工程，按该资产可收回金额低于其账面价值的差额计提减值准备，确认资产减值</w:t>
      </w:r>
      <w:r>
        <w:rPr>
          <w:spacing w:val="-63"/>
        </w:rPr>
        <w:t> </w:t>
      </w:r>
      <w:r>
        <w:rPr>
          <w:spacing w:val="-63"/>
        </w:rPr>
      </w:r>
      <w:r>
        <w:rPr/>
        <w:t>损失。</w:t>
      </w:r>
    </w:p>
    <w:p>
      <w:pPr>
        <w:pStyle w:val="BodyText"/>
        <w:spacing w:line="240" w:lineRule="auto" w:before="59"/>
        <w:ind w:left="513" w:right="0"/>
        <w:jc w:val="left"/>
      </w:pPr>
      <w:r>
        <w:rPr/>
        <w:t>（</w:t>
      </w:r>
      <w:r>
        <w:rPr>
          <w:rFonts w:ascii="Times New Roman" w:hAnsi="Times New Roman" w:cs="Times New Roman" w:eastAsia="Times New Roman" w:hint="default"/>
        </w:rPr>
        <w:t>1</w:t>
      </w:r>
      <w:r>
        <w:rPr/>
        <w:t>）长期停建并且预计未来三年内不会重新开工的在建工程；</w:t>
      </w:r>
    </w:p>
    <w:p>
      <w:pPr>
        <w:pStyle w:val="BodyText"/>
        <w:spacing w:line="240" w:lineRule="auto" w:before="103"/>
        <w:ind w:left="513" w:right="0"/>
        <w:jc w:val="left"/>
      </w:pPr>
      <w:r>
        <w:rPr/>
        <w:t>（</w:t>
      </w:r>
      <w:r>
        <w:rPr>
          <w:rFonts w:ascii="Times New Roman" w:hAnsi="Times New Roman" w:cs="Times New Roman" w:eastAsia="Times New Roman" w:hint="default"/>
        </w:rPr>
        <w:t>2</w:t>
      </w:r>
      <w:r>
        <w:rPr/>
        <w:t>）项目无论在性能上，还是在技术上已经落后，并且给企业带来的经济利益具有很大的不确定性；</w:t>
      </w:r>
    </w:p>
    <w:p>
      <w:pPr>
        <w:pStyle w:val="BodyText"/>
        <w:spacing w:line="350" w:lineRule="auto" w:before="101"/>
        <w:ind w:left="513" w:right="4733"/>
        <w:jc w:val="left"/>
      </w:pPr>
      <w:r>
        <w:rPr/>
        <w:t>（</w:t>
      </w:r>
      <w:r>
        <w:rPr>
          <w:rFonts w:ascii="Times New Roman" w:hAnsi="Times New Roman" w:cs="Times New Roman" w:eastAsia="Times New Roman" w:hint="default"/>
        </w:rPr>
        <w:t>3</w:t>
      </w:r>
      <w:r>
        <w:rPr/>
        <w:t>）其他足以证明在建工程已经发生减值的情形。 在建工程减值损失一经确认，在以后的会计期间不再转回。 </w:t>
      </w:r>
      <w:r>
        <w:rPr>
          <w:rFonts w:ascii="Times New Roman" w:hAnsi="Times New Roman" w:cs="Times New Roman" w:eastAsia="Times New Roman" w:hint="default"/>
        </w:rPr>
        <w:t>5</w:t>
      </w:r>
      <w:r>
        <w:rPr/>
        <w:t>、无形资产减值准备的确认标准和计提方法</w:t>
      </w:r>
    </w:p>
    <w:p>
      <w:pPr>
        <w:pStyle w:val="BodyText"/>
        <w:spacing w:line="316" w:lineRule="auto" w:before="9"/>
        <w:ind w:right="150" w:firstLine="360"/>
        <w:jc w:val="both"/>
      </w:pPr>
      <w:r>
        <w:rPr>
          <w:spacing w:val="-2"/>
        </w:rPr>
        <w:t>本公司对商标等受益年限不确定的无形资产，每年末均需进行减值测试，估计其可收回金额，按其可收回金额低于账面</w:t>
      </w:r>
      <w:r>
        <w:rPr/>
        <w:t> 价值的差额计提无形资产减值准备，确认资产减值损失。</w:t>
      </w:r>
    </w:p>
    <w:p>
      <w:pPr>
        <w:pStyle w:val="BodyText"/>
        <w:spacing w:line="316" w:lineRule="auto" w:before="59"/>
        <w:ind w:right="150" w:firstLine="360"/>
        <w:jc w:val="both"/>
      </w:pPr>
      <w:r>
        <w:rPr>
          <w:spacing w:val="-2"/>
        </w:rPr>
        <w:t>对其他无形资产，期末进行检查，当存在下述减值迹象时估计其可收回金额，按其可收回金额低于账面价值的差额计提</w:t>
      </w:r>
      <w:r>
        <w:rPr/>
        <w:t> 无形资产减值准备，确认资产减值损失：</w:t>
      </w:r>
    </w:p>
    <w:p>
      <w:pPr>
        <w:pStyle w:val="BodyText"/>
        <w:spacing w:line="240" w:lineRule="auto" w:before="59"/>
        <w:ind w:left="513" w:right="0"/>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1"/>
        <w:ind w:left="513" w:right="0"/>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3"/>
        <w:ind w:left="513" w:right="0"/>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38" w:lineRule="auto" w:before="103"/>
        <w:ind w:left="513" w:right="4733"/>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151"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after="0" w:line="309" w:lineRule="auto"/>
        <w:jc w:val="both"/>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left="513" w:right="0"/>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224" w:lineRule="exact"/>
        <w:ind w:right="0"/>
        <w:jc w:val="left"/>
      </w:pPr>
      <w:r>
        <w:rPr/>
        <w:t>本。根据设定提存计划，预期不会在职工提供相关服务的年度报告期结束后十二个月内支付全部应缴存金额的，根据资产负</w:t>
      </w:r>
    </w:p>
    <w:p>
      <w:pPr>
        <w:pStyle w:val="BodyText"/>
        <w:spacing w:line="316" w:lineRule="auto" w:before="76"/>
        <w:ind w:right="0"/>
        <w:jc w:val="left"/>
      </w:pP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60"/>
        <w:ind w:right="151"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316" w:lineRule="auto" w:before="59"/>
        <w:ind w:right="152"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pStyle w:val="BodyText"/>
        <w:spacing w:line="316" w:lineRule="auto" w:before="57"/>
        <w:ind w:right="15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360" w:lineRule="auto" w:before="59"/>
        <w:ind w:left="513" w:right="0"/>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22" w:lineRule="exact"/>
        <w:ind w:right="0"/>
        <w:jc w:val="left"/>
      </w:pPr>
      <w:r>
        <w:rPr/>
        <w:t>的差。</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在下列两者孰早日确认辞退福利产生的职工薪酬负债，并计入当期损益：</w:t>
      </w:r>
    </w:p>
    <w:p>
      <w:pPr>
        <w:pStyle w:val="BodyText"/>
        <w:spacing w:line="240" w:lineRule="auto" w:before="117"/>
        <w:ind w:left="513" w:right="0"/>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40" w:lineRule="auto" w:before="101"/>
        <w:ind w:left="513" w:right="0"/>
        <w:jc w:val="left"/>
      </w:pPr>
      <w:r>
        <w:rPr/>
        <w:t>（</w:t>
      </w:r>
      <w:r>
        <w:rPr>
          <w:rFonts w:ascii="Times New Roman" w:hAnsi="Times New Roman" w:cs="Times New Roman" w:eastAsia="Times New Roman" w:hint="default"/>
        </w:rPr>
        <w:t>2</w:t>
      </w:r>
      <w:r>
        <w:rPr/>
        <w:t>）企业确认与涉及支付辞退福利的重组相关的成本或费用时。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1"/>
        <w:ind w:right="0"/>
        <w:jc w:val="left"/>
      </w:pPr>
      <w:r>
        <w:rPr/>
        <w:t>告期结束后十二个月内不能完全支付的，适用其他长期职工福利的有关规定。</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right="149" w:firstLine="360"/>
        <w:jc w:val="both"/>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4"/>
        </w:rPr>
        <w:t> </w:t>
      </w:r>
      <w:r>
        <w:rPr>
          <w:spacing w:val="-64"/>
        </w:rPr>
      </w:r>
      <w:r>
        <w:rPr/>
        <w:t>产的利息净额、重新计量其他长期职工福利净负债或净资产所产生的变动的总净额计入当期损益或相关资产成本。</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3" w:firstLine="360"/>
        <w:jc w:val="both"/>
      </w:pPr>
      <w:r>
        <w:rPr>
          <w:spacing w:val="-2"/>
        </w:rPr>
        <w:t>因产品质量保证、对外提供担保、已贴现商业承兑汇票、未决诉讼等事项形成的现时义务，其履行很可能导致经济利益</w:t>
      </w:r>
      <w:r>
        <w:rPr/>
        <w:t> 的流出，在该义务的金额能够可靠计量时，确认为预计负债。对于未来经营亏损，不确认预计负债。</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49"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58"/>
        <w:ind w:left="513" w:right="0"/>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513" w:right="3833"/>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338" w:lineRule="auto" w:before="41"/>
        <w:ind w:left="513" w:right="0"/>
        <w:jc w:val="left"/>
      </w:pPr>
      <w:r>
        <w:rPr/>
        <w:t>（</w:t>
      </w: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19" w:lineRule="auto" w:before="2"/>
        <w:ind w:right="0"/>
        <w:jc w:val="left"/>
      </w:pPr>
      <w:r>
        <w:rPr>
          <w:spacing w:val="-2"/>
        </w:rPr>
        <w:t>权等权益工具，采用期权定价模型等确定其公允价值，选用的期权定价模型至少考虑以下因素：①期权的行权价格；②期权</w:t>
      </w:r>
      <w:r>
        <w:rPr>
          <w:spacing w:val="-63"/>
        </w:rPr>
        <w:t> </w:t>
      </w:r>
      <w:r>
        <w:rPr>
          <w:spacing w:val="-63"/>
        </w:rPr>
      </w:r>
      <w:r>
        <w:rPr/>
        <w:t>期限；③基础股份的现行价格；④股价的预计波动率；⑤股份的预计股利；⑥期权期限内的无风险利率。</w:t>
      </w:r>
    </w:p>
    <w:p>
      <w:pPr>
        <w:pStyle w:val="BodyText"/>
        <w:spacing w:line="340" w:lineRule="auto" w:before="58"/>
        <w:ind w:left="513" w:right="0"/>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在等待期内的每个资产负债表日，以根据最新取得的可行权职工人数变动等后续信息对可行权权益工具数量做出最佳估</w:t>
      </w:r>
    </w:p>
    <w:p>
      <w:pPr>
        <w:pStyle w:val="BodyText"/>
        <w:spacing w:line="240" w:lineRule="auto" w:before="1"/>
        <w:ind w:right="0"/>
        <w:jc w:val="left"/>
      </w:pPr>
      <w:r>
        <w:rPr/>
        <w:t>计。</w:t>
      </w:r>
    </w:p>
    <w:p>
      <w:pPr>
        <w:pStyle w:val="BodyText"/>
        <w:spacing w:line="240" w:lineRule="auto" w:before="115"/>
        <w:ind w:left="513" w:right="0"/>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103"/>
        <w:ind w:left="513" w:right="0"/>
        <w:jc w:val="left"/>
      </w:pPr>
      <w:r>
        <w:rPr/>
        <w:t>①以权益结算的股份支付</w:t>
      </w:r>
    </w:p>
    <w:p>
      <w:pPr>
        <w:pStyle w:val="BodyText"/>
        <w:spacing w:line="309" w:lineRule="auto" w:before="117"/>
        <w:ind w:right="150" w:firstLine="360"/>
        <w:jc w:val="both"/>
      </w:pPr>
      <w:r>
        <w:rPr>
          <w:rFonts w:ascii="Times New Roman" w:hAnsi="Times New Roman" w:cs="Times New Roman" w:eastAsia="Times New Roman" w:hint="default"/>
          <w:spacing w:val="-1"/>
        </w:rPr>
        <w:t>A</w:t>
      </w:r>
      <w:r>
        <w:rPr>
          <w:spacing w:val="-1"/>
        </w:rPr>
        <w:t>、对于换取职工服务的股份支付，本公司以股份支付所授予的权益工具的公允价值计量。在等待期内的每个资产负债</w:t>
      </w:r>
      <w:r>
        <w:rPr/>
        <w:t> </w:t>
      </w:r>
      <w:r>
        <w:rPr>
          <w:spacing w:val="-2"/>
        </w:rPr>
        <w:t>表日，以根据最新取得的可行权职工人数变动等后续信息对可行权权益工具数量做出的最佳估计为基础，按照权益工具在授</w:t>
      </w:r>
      <w:r>
        <w:rPr>
          <w:spacing w:val="-64"/>
        </w:rPr>
        <w:t> </w:t>
      </w:r>
      <w:r>
        <w:rPr>
          <w:spacing w:val="-64"/>
        </w:rPr>
      </w:r>
      <w:r>
        <w:rPr/>
        <w:t>予日的公允价值，将当期取得的服务计入相关资产成本或当期费用，同时计入资本公积中的其他资本公积；</w:t>
      </w:r>
    </w:p>
    <w:p>
      <w:pPr>
        <w:pStyle w:val="BodyText"/>
        <w:spacing w:line="300" w:lineRule="auto" w:before="62"/>
        <w:ind w:right="152" w:firstLine="360"/>
        <w:jc w:val="both"/>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72"/>
        <w:ind w:left="513" w:right="0"/>
        <w:jc w:val="left"/>
      </w:pPr>
      <w:r>
        <w:rPr/>
        <w:t>②以现金结算的股份支付</w:t>
      </w:r>
    </w:p>
    <w:p>
      <w:pPr>
        <w:pStyle w:val="BodyText"/>
        <w:spacing w:line="309" w:lineRule="auto" w:before="117"/>
        <w:ind w:right="150"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7"/>
        </w:rPr>
        <w:t> </w:t>
      </w:r>
      <w:r>
        <w:rPr>
          <w:spacing w:val="-67"/>
        </w:rPr>
      </w:r>
      <w:r>
        <w:rPr/>
        <w:t>付职工薪酬），并在结算前的每个资产负债表日和结算日对负债的公允价值重新计量，将其变动计入损益；</w:t>
      </w:r>
    </w:p>
    <w:p>
      <w:pPr>
        <w:pStyle w:val="BodyText"/>
        <w:spacing w:line="309" w:lineRule="auto" w:before="62"/>
        <w:ind w:right="153"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r>
        <w:rPr>
          <w:spacing w:val="-67"/>
        </w:rPr>
        <w:t> </w:t>
      </w:r>
      <w:r>
        <w:rPr>
          <w:spacing w:val="-67"/>
        </w:rPr>
      </w:r>
      <w:r>
        <w:rPr/>
        <w:t>损益。</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收入确认原则和计量方法</w:t>
      </w:r>
    </w:p>
    <w:p>
      <w:pPr>
        <w:pStyle w:val="BodyText"/>
        <w:spacing w:line="240" w:lineRule="auto" w:before="117"/>
        <w:ind w:left="513" w:right="0"/>
        <w:jc w:val="left"/>
      </w:pPr>
      <w:r>
        <w:rPr>
          <w:rFonts w:ascii="Times New Roman" w:hAnsi="Times New Roman" w:cs="Times New Roman" w:eastAsia="Times New Roman" w:hint="default"/>
        </w:rPr>
        <w:t>1</w:t>
      </w:r>
      <w:r>
        <w:rPr/>
        <w:t>、本公司在同时满足下列条件时，确认商品销售收入：</w:t>
      </w:r>
    </w:p>
    <w:p>
      <w:pPr>
        <w:pStyle w:val="BodyText"/>
        <w:spacing w:line="240" w:lineRule="auto" w:before="103"/>
        <w:ind w:left="513" w:right="0"/>
        <w:jc w:val="left"/>
      </w:pPr>
      <w:r>
        <w:rPr/>
        <w:t>（</w:t>
      </w:r>
      <w:r>
        <w:rPr>
          <w:rFonts w:ascii="Times New Roman" w:hAnsi="Times New Roman" w:cs="Times New Roman" w:eastAsia="Times New Roman" w:hint="default"/>
        </w:rPr>
        <w:t>1</w:t>
      </w:r>
      <w:r>
        <w:rPr/>
        <w:t>）公司已将商品所有权上的主要风险和报酬转移给购买方；</w:t>
      </w:r>
    </w:p>
    <w:p>
      <w:pPr>
        <w:pStyle w:val="BodyText"/>
        <w:spacing w:line="240" w:lineRule="auto" w:before="101"/>
        <w:ind w:left="513" w:right="0"/>
        <w:jc w:val="left"/>
      </w:pPr>
      <w:r>
        <w:rPr/>
        <w:t>（</w:t>
      </w:r>
      <w:r>
        <w:rPr>
          <w:rFonts w:ascii="Times New Roman" w:hAnsi="Times New Roman" w:cs="Times New Roman" w:eastAsia="Times New Roman" w:hint="default"/>
        </w:rPr>
        <w:t>2</w:t>
      </w:r>
      <w:r>
        <w:rPr/>
        <w:t>）不再保留通常与商品所有权相联系的继续管理权，也没有对已售出的商品实施有效控制；</w:t>
      </w:r>
    </w:p>
    <w:p>
      <w:pPr>
        <w:pStyle w:val="BodyText"/>
        <w:spacing w:line="240" w:lineRule="auto" w:before="103"/>
        <w:ind w:left="513" w:right="0"/>
        <w:jc w:val="left"/>
      </w:pPr>
      <w:r>
        <w:rPr/>
        <w:t>（</w:t>
      </w:r>
      <w:r>
        <w:rPr>
          <w:rFonts w:ascii="Times New Roman" w:hAnsi="Times New Roman" w:cs="Times New Roman" w:eastAsia="Times New Roman" w:hint="default"/>
        </w:rPr>
        <w:t>3</w:t>
      </w:r>
      <w:r>
        <w:rPr/>
        <w:t>）收入的金额能够可靠地计量；</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87"/>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4"/>
        <w:ind w:left="513" w:right="187"/>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01"/>
        <w:ind w:left="513" w:right="187"/>
        <w:jc w:val="left"/>
      </w:pPr>
      <w:r>
        <w:rPr>
          <w:rFonts w:ascii="Times New Roman" w:hAnsi="Times New Roman" w:cs="Times New Roman" w:eastAsia="Times New Roman" w:hint="default"/>
        </w:rPr>
        <w:t>2</w:t>
      </w:r>
      <w:r>
        <w:rPr/>
        <w:t>、本公司对外提供劳务时，按以下方法确定收入：</w:t>
      </w:r>
    </w:p>
    <w:p>
      <w:pPr>
        <w:pStyle w:val="BodyText"/>
        <w:spacing w:line="340" w:lineRule="auto" w:before="103"/>
        <w:ind w:left="513" w:right="903"/>
        <w:jc w:val="left"/>
      </w:pPr>
      <w:r>
        <w:rPr/>
        <w:t>（</w:t>
      </w:r>
      <w:r>
        <w:rPr>
          <w:rFonts w:ascii="Times New Roman" w:hAnsi="Times New Roman" w:cs="Times New Roman" w:eastAsia="Times New Roman" w:hint="default"/>
        </w:rPr>
        <w:t>1</w:t>
      </w:r>
      <w:r>
        <w:rPr/>
        <w:t>）在提供劳务交易的结果能够可靠估计的情况下，于资产负债表日按完工百分比法确认相关的劳务收入； 提供劳务交易的结果能够可靠估计，是指同时满足下列条件：</w:t>
      </w:r>
    </w:p>
    <w:p>
      <w:pPr>
        <w:pStyle w:val="BodyText"/>
        <w:spacing w:line="240" w:lineRule="auto" w:before="39"/>
        <w:ind w:left="513" w:right="187"/>
        <w:jc w:val="left"/>
      </w:pPr>
      <w:r>
        <w:rPr/>
        <w:t>①收入的金额能够可靠地计量；</w:t>
      </w:r>
    </w:p>
    <w:p>
      <w:pPr>
        <w:pStyle w:val="BodyText"/>
        <w:spacing w:line="240" w:lineRule="auto" w:before="117"/>
        <w:ind w:left="513" w:right="187"/>
        <w:jc w:val="left"/>
      </w:pPr>
      <w:r>
        <w:rPr/>
        <w:t>②相关的经济利益很可能流入本公司；</w:t>
      </w:r>
    </w:p>
    <w:p>
      <w:pPr>
        <w:pStyle w:val="BodyText"/>
        <w:spacing w:line="240" w:lineRule="auto" w:before="117"/>
        <w:ind w:left="513" w:right="187"/>
        <w:jc w:val="left"/>
      </w:pPr>
      <w:r>
        <w:rPr/>
        <w:t>③交易的完工进度能够可靠地确定；</w:t>
      </w:r>
    </w:p>
    <w:p>
      <w:pPr>
        <w:pStyle w:val="BodyText"/>
        <w:spacing w:line="360" w:lineRule="auto" w:before="115"/>
        <w:ind w:left="513" w:right="5133"/>
        <w:jc w:val="left"/>
      </w:pPr>
      <w:r>
        <w:rPr/>
        <w:t>④交易中已发生和将发生的成本能够可靠地计量。 本公司确定提供劳务交易的完工进度时选用下列方法：</w:t>
      </w:r>
    </w:p>
    <w:p>
      <w:pPr>
        <w:pStyle w:val="BodyText"/>
        <w:spacing w:line="240" w:lineRule="auto" w:before="27"/>
        <w:ind w:left="513" w:right="187"/>
        <w:jc w:val="left"/>
      </w:pPr>
      <w:r>
        <w:rPr/>
        <w:t>①已完工作的测量；</w:t>
      </w:r>
    </w:p>
    <w:p>
      <w:pPr>
        <w:pStyle w:val="BodyText"/>
        <w:spacing w:line="240" w:lineRule="auto" w:before="115"/>
        <w:ind w:left="513" w:right="187"/>
        <w:jc w:val="left"/>
      </w:pPr>
      <w:r>
        <w:rPr/>
        <w:t>②已经提供的劳务占应提供劳务总量的比例；</w:t>
      </w:r>
    </w:p>
    <w:p>
      <w:pPr>
        <w:pStyle w:val="BodyText"/>
        <w:spacing w:line="240" w:lineRule="auto" w:before="117"/>
        <w:ind w:left="513" w:right="187"/>
        <w:jc w:val="left"/>
      </w:pPr>
      <w:r>
        <w:rPr/>
        <w:t>③已经发生的成本占估计总成本的比例。</w:t>
      </w:r>
    </w:p>
    <w:p>
      <w:pPr>
        <w:pStyle w:val="BodyText"/>
        <w:spacing w:line="300" w:lineRule="auto" w:before="117"/>
        <w:ind w:right="183" w:firstLine="360"/>
        <w:jc w:val="left"/>
      </w:pPr>
      <w:r>
        <w:rPr/>
        <w:t>（</w:t>
      </w:r>
      <w:r>
        <w:rPr>
          <w:rFonts w:ascii="Times New Roman" w:hAnsi="Times New Roman" w:cs="Times New Roman" w:eastAsia="Times New Roman" w:hint="default"/>
        </w:rPr>
        <w:t>2</w:t>
      </w:r>
      <w:r>
        <w:rPr/>
        <w:t>）在提供劳务交易的结果不能可靠估计的情况下，于资产负债表日按已经发生并预计能够补偿的劳务成本金额确认 收入，并按相同金额结转成本；</w:t>
      </w:r>
    </w:p>
    <w:p>
      <w:pPr>
        <w:pStyle w:val="BodyText"/>
        <w:spacing w:line="240" w:lineRule="auto" w:before="70"/>
        <w:ind w:left="513" w:right="187"/>
        <w:jc w:val="left"/>
      </w:pPr>
      <w:r>
        <w:rPr/>
        <w:t>如预计已经发生的劳务成本不能得到补偿，则将已经发生的劳务成本计入当期损益，不确认提供劳务收入。</w:t>
      </w:r>
    </w:p>
    <w:p>
      <w:pPr>
        <w:pStyle w:val="BodyText"/>
        <w:spacing w:line="300" w:lineRule="auto" w:before="117"/>
        <w:ind w:right="183" w:firstLine="360"/>
        <w:jc w:val="left"/>
      </w:pPr>
      <w:r>
        <w:rPr>
          <w:rFonts w:ascii="Times New Roman" w:hAnsi="Times New Roman" w:cs="Times New Roman" w:eastAsia="Times New Roman" w:hint="default"/>
        </w:rPr>
        <w:t>3</w:t>
      </w:r>
      <w:r>
        <w:rPr/>
        <w:t>、让渡资产使用权：公司预计相关的经济利益很可能流入本公司、收入的金额能够可靠地计量时，按有关合同或协议 规定的收费时间和方法计算确定。</w:t>
      </w:r>
    </w:p>
    <w:p>
      <w:pPr>
        <w:spacing w:line="240" w:lineRule="auto" w:before="4"/>
        <w:rPr>
          <w:rFonts w:ascii="宋体" w:hAnsi="宋体" w:cs="宋体" w:eastAsia="宋体" w:hint="default"/>
          <w:sz w:val="24"/>
          <w:szCs w:val="24"/>
        </w:rPr>
      </w:pPr>
    </w:p>
    <w:p>
      <w:pPr>
        <w:pStyle w:val="Heading3"/>
        <w:spacing w:line="240" w:lineRule="auto"/>
        <w:ind w:right="187"/>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87"/>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87"/>
        <w:jc w:val="left"/>
      </w:pPr>
      <w:r>
        <w:rPr/>
        <w:t>与资产相关的政府补助，确认为递延收益，并在相关资产使用寿命内平均分配，计入当期损益。</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87"/>
        <w:jc w:val="left"/>
      </w:pPr>
      <w:r>
        <w:rPr/>
        <w:t>（</w:t>
      </w:r>
      <w:r>
        <w:rPr>
          <w:rFonts w:ascii="Times New Roman" w:hAnsi="Times New Roman" w:cs="Times New Roman" w:eastAsia="Times New Roman" w:hint="default"/>
        </w:rPr>
        <w:t>1</w:t>
      </w:r>
      <w:r>
        <w:rPr/>
        <w:t>）用于补偿公司以后期间的相关费用或损失的，确认为递延收益，并在确认相关费用的期间，计入当期损益。</w:t>
      </w:r>
    </w:p>
    <w:p>
      <w:pPr>
        <w:pStyle w:val="BodyText"/>
        <w:spacing w:line="240" w:lineRule="auto" w:before="101"/>
        <w:ind w:left="513" w:right="187"/>
        <w:jc w:val="left"/>
      </w:pPr>
      <w:r>
        <w:rPr/>
        <w:t>（</w:t>
      </w:r>
      <w:r>
        <w:rPr>
          <w:rFonts w:ascii="Times New Roman" w:hAnsi="Times New Roman" w:cs="Times New Roman" w:eastAsia="Times New Roman" w:hint="default"/>
        </w:rPr>
        <w:t>2</w:t>
      </w:r>
      <w:r>
        <w:rPr/>
        <w:t>）用于补偿公司已发生的相关费用或损失的，直接计入当期损益。</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87"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法规定能够于以后年度抵减应纳税所得额的可抵扣亏损，视同暂时性差异确认相应的递延所得税资产。</w:t>
      </w:r>
    </w:p>
    <w:p>
      <w:pPr>
        <w:pStyle w:val="BodyText"/>
        <w:spacing w:line="309" w:lineRule="auto" w:before="70"/>
        <w:ind w:right="103"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6" w:lineRule="auto" w:before="65"/>
        <w:ind w:right="192"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after="0" w:line="316" w:lineRule="auto"/>
        <w:jc w:val="both"/>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0" w:firstLine="360"/>
        <w:jc w:val="left"/>
      </w:pPr>
      <w:r>
        <w:rPr>
          <w:spacing w:val="-2"/>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494" w:right="9231"/>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销售货物或提供应税劳务收入、技术服 务收入</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技术服务收入、资金占用费收入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9"/>
          <w:szCs w:val="19"/>
        </w:rPr>
      </w:pPr>
    </w:p>
    <w:p>
      <w:pPr>
        <w:pStyle w:val="Heading3"/>
        <w:spacing w:line="240" w:lineRule="auto" w:before="37"/>
        <w:ind w:right="187"/>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93" w:firstLine="360"/>
        <w:jc w:val="left"/>
      </w:pPr>
      <w:r>
        <w:rPr>
          <w:rFonts w:ascii="Times New Roman" w:hAnsi="Times New Roman" w:cs="Times New Roman" w:eastAsia="Times New Roman" w:hint="default"/>
        </w:rPr>
        <w:t>1</w:t>
      </w:r>
      <w:r>
        <w:rPr/>
        <w:t>、北京君正集成电路股份有限公司于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日取得北京市科学技术委员会、北京市财政局、北京市国家税务局、 北京市地方税务局联合颁发的高新技术企业证书，证书编号</w:t>
      </w:r>
      <w:r>
        <w:rPr>
          <w:rFonts w:ascii="Times New Roman" w:hAnsi="Times New Roman" w:cs="Times New Roman" w:eastAsia="Times New Roman" w:hint="default"/>
        </w:rPr>
        <w:t>GR201511000476</w:t>
      </w:r>
      <w:r>
        <w:rPr/>
        <w:t>，有效期限三年。</w:t>
      </w:r>
      <w:r>
        <w:rPr>
          <w:rFonts w:ascii="Times New Roman" w:hAnsi="Times New Roman" w:cs="Times New Roman" w:eastAsia="Times New Roman" w:hint="default"/>
        </w:rPr>
        <w:t>2015</w:t>
      </w:r>
      <w:r>
        <w:rPr/>
        <w:t>年度按应纳税所得额的</w:t>
      </w:r>
      <w:r>
        <w:rPr>
          <w:spacing w:val="-72"/>
        </w:rPr>
        <w:t> </w:t>
      </w:r>
      <w:r>
        <w:rPr>
          <w:spacing w:val="-72"/>
        </w:rPr>
      </w:r>
      <w:r>
        <w:rPr>
          <w:rFonts w:ascii="Times New Roman" w:hAnsi="Times New Roman" w:cs="Times New Roman" w:eastAsia="Times New Roman" w:hint="default"/>
        </w:rPr>
        <w:t>15%</w:t>
      </w:r>
      <w:r>
        <w:rPr/>
        <w:t>计算缴纳企业所得税；</w:t>
      </w:r>
    </w:p>
    <w:p>
      <w:pPr>
        <w:pStyle w:val="BodyText"/>
        <w:spacing w:line="300" w:lineRule="auto" w:before="13"/>
        <w:ind w:right="189" w:firstLine="360"/>
        <w:jc w:val="both"/>
      </w:pPr>
      <w:r>
        <w:rPr>
          <w:rFonts w:ascii="Times New Roman" w:hAnsi="Times New Roman" w:cs="Times New Roman" w:eastAsia="Times New Roman" w:hint="default"/>
          <w:spacing w:val="-2"/>
        </w:rPr>
        <w:t>2</w:t>
      </w:r>
      <w:r>
        <w:rPr>
          <w:spacing w:val="-2"/>
        </w:rPr>
        <w:t>、深圳君正时代集成电路有限公司于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日取得由深圳市科技创新委员会、深圳市财政委员会、深圳市国家税</w:t>
      </w:r>
      <w:r>
        <w:rPr/>
        <w:t> 务局、深圳市地方税务局联合颁发的高新技术企业证书，证书编号：</w:t>
      </w:r>
      <w:r>
        <w:rPr>
          <w:rFonts w:ascii="Times New Roman" w:hAnsi="Times New Roman" w:cs="Times New Roman" w:eastAsia="Times New Roman" w:hint="default"/>
        </w:rPr>
        <w:t>GR201444201276</w:t>
      </w:r>
      <w:r>
        <w:rPr/>
        <w:t>，有效期限三年。</w:t>
      </w:r>
      <w:r>
        <w:rPr>
          <w:rFonts w:ascii="Times New Roman" w:hAnsi="Times New Roman" w:cs="Times New Roman" w:eastAsia="Times New Roman" w:hint="default"/>
        </w:rPr>
        <w:t>2015</w:t>
      </w:r>
      <w:r>
        <w:rPr/>
        <w:t>年度按应纳税</w:t>
      </w:r>
      <w:r>
        <w:rPr>
          <w:spacing w:val="-71"/>
        </w:rPr>
        <w:t> </w:t>
      </w:r>
      <w:r>
        <w:rPr/>
        <w:t>所得额的</w:t>
      </w:r>
      <w:r>
        <w:rPr>
          <w:rFonts w:ascii="Times New Roman" w:hAnsi="Times New Roman" w:cs="Times New Roman" w:eastAsia="Times New Roman" w:hint="default"/>
        </w:rPr>
        <w:t>15%</w:t>
      </w:r>
      <w:r>
        <w:rPr/>
        <w:t>计算缴纳企业所得税。</w:t>
      </w:r>
    </w:p>
    <w:p>
      <w:pPr>
        <w:spacing w:line="240" w:lineRule="auto" w:before="11"/>
        <w:rPr>
          <w:rFonts w:ascii="宋体" w:hAnsi="宋体" w:cs="宋体" w:eastAsia="宋体" w:hint="default"/>
          <w:sz w:val="22"/>
          <w:szCs w:val="22"/>
        </w:rPr>
      </w:pPr>
    </w:p>
    <w:p>
      <w:pPr>
        <w:pStyle w:val="Heading3"/>
        <w:spacing w:line="240" w:lineRule="auto"/>
        <w:ind w:right="18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87"/>
        <w:jc w:val="left"/>
      </w:pPr>
      <w:r>
        <w:rPr/>
        <w:t>无</w:t>
      </w:r>
    </w:p>
    <w:p>
      <w:pPr>
        <w:spacing w:line="240" w:lineRule="auto" w:before="3"/>
        <w:rPr>
          <w:rFonts w:ascii="宋体" w:hAnsi="宋体" w:cs="宋体" w:eastAsia="宋体" w:hint="default"/>
          <w:sz w:val="25"/>
          <w:szCs w:val="25"/>
        </w:rPr>
      </w:pPr>
    </w:p>
    <w:p>
      <w:pPr>
        <w:pStyle w:val="Heading2"/>
        <w:spacing w:line="240" w:lineRule="auto"/>
        <w:ind w:right="187"/>
        <w:jc w:val="left"/>
        <w:rPr>
          <w:b w:val="0"/>
          <w:bCs w:val="0"/>
        </w:rPr>
      </w:pPr>
      <w:r>
        <w:rPr/>
        <w:t>七、合并财务报表项目注释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8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42,592.94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194,943.93</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43,357,813.20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835,770,456.51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43,400,406.14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835,965,400.44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253,192.87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48,410.16</w:t>
            </w:r>
          </w:p>
        </w:tc>
      </w:tr>
    </w:tbl>
    <w:p>
      <w:pPr>
        <w:pStyle w:val="BodyText"/>
        <w:spacing w:line="240" w:lineRule="auto" w:before="49"/>
        <w:ind w:right="187"/>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7,862,57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7,862,572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4,526,8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78.93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571,894.9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3,954,983.9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7,862,57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4,526,8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78.93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7,862,572.87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7,862,572.87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7,862,572.87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38"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69,871.45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 </w:t>
      </w:r>
      <w:r>
        <w:rPr/>
        <w:t>元。</w:t>
      </w:r>
    </w:p>
    <w:p>
      <w:pPr>
        <w:spacing w:after="0" w:line="24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641,766.40</w:t>
            </w:r>
          </w:p>
        </w:tc>
      </w:tr>
    </w:tbl>
    <w:p>
      <w:pPr>
        <w:pStyle w:val="BodyText"/>
        <w:spacing w:line="240" w:lineRule="auto" w:before="49"/>
        <w:ind w:right="0"/>
        <w:jc w:val="left"/>
      </w:pPr>
      <w:r>
        <w:rPr/>
        <w:t>其中重要的应收账款核销情况：</w:t>
      </w:r>
    </w:p>
    <w:p>
      <w:pPr>
        <w:pStyle w:val="BodyText"/>
        <w:spacing w:line="240" w:lineRule="auto" w:before="11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深圳悠易阅科技有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641,766.40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641,766.40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应收账款核销说明：本期核销深圳悠易阅科技有限公司的应收账款</w:t>
      </w:r>
      <w:r>
        <w:rPr>
          <w:spacing w:val="-49"/>
        </w:rPr>
        <w:t> </w:t>
      </w:r>
      <w:r>
        <w:rPr>
          <w:rFonts w:ascii="Times New Roman" w:hAnsi="Times New Roman" w:cs="Times New Roman" w:eastAsia="Times New Roman" w:hint="default"/>
        </w:rPr>
        <w:t>641,766.40</w:t>
      </w:r>
      <w:r>
        <w:rPr>
          <w:rFonts w:ascii="Times New Roman" w:hAnsi="Times New Roman" w:cs="Times New Roman" w:eastAsia="Times New Roman" w:hint="default"/>
          <w:spacing w:val="-12"/>
        </w:rPr>
        <w:t> </w:t>
      </w:r>
      <w:r>
        <w:rPr/>
        <w:t>元，原因系账龄较长，确定已无法收回。</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3"/>
        <w:jc w:val="right"/>
      </w:pPr>
      <w:r>
        <w:rPr>
          <w:spacing w:val="6"/>
        </w:rPr>
        <w:t>本报告期按欠款方归集的期末余额前五名应收账款汇总金额</w:t>
      </w:r>
      <w:r>
        <w:rPr>
          <w:rFonts w:ascii="Times New Roman" w:hAnsi="Times New Roman" w:cs="Times New Roman" w:eastAsia="Times New Roman" w:hint="default"/>
          <w:spacing w:val="6"/>
        </w:rPr>
        <w:t>7,810,971.04</w:t>
      </w:r>
      <w:r>
        <w:rPr>
          <w:spacing w:val="6"/>
        </w:rPr>
        <w:t>元，占应收账款期末余额合计数的比例为</w:t>
      </w:r>
    </w:p>
    <w:p>
      <w:pPr>
        <w:pStyle w:val="BodyText"/>
        <w:spacing w:line="240" w:lineRule="auto" w:before="63"/>
        <w:ind w:right="0"/>
        <w:jc w:val="left"/>
      </w:pPr>
      <w:r>
        <w:rPr>
          <w:rFonts w:ascii="Times New Roman" w:hAnsi="Times New Roman" w:cs="Times New Roman" w:eastAsia="Times New Roman" w:hint="default"/>
        </w:rPr>
        <w:t>99.34%</w:t>
      </w:r>
      <w:r>
        <w:rPr/>
        <w:t>，相应计提的坏账准备期末余额汇总金额</w:t>
      </w:r>
      <w:r>
        <w:rPr>
          <w:rFonts w:ascii="Times New Roman" w:hAnsi="Times New Roman" w:cs="Times New Roman" w:eastAsia="Times New Roman" w:hint="default"/>
        </w:rPr>
        <w:t>0</w:t>
      </w:r>
      <w:r>
        <w:rPr/>
        <w:t>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3,709,554.81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2,968,805.38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72,197.75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3,853,207.46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3,045,383.13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624"/>
        <w:gridCol w:w="1315"/>
        <w:gridCol w:w="1181"/>
        <w:gridCol w:w="1993"/>
        <w:gridCol w:w="1135"/>
        <w:gridCol w:w="1496"/>
      </w:tblGrid>
      <w:tr>
        <w:trPr>
          <w:trHeight w:val="737"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83" w:right="87" w:hanging="195"/>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合肥高新股份有限公司</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1,463,288.41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37.98%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预付购房款</w:t>
            </w:r>
          </w:p>
        </w:tc>
      </w:tr>
      <w:tr>
        <w:trPr>
          <w:trHeight w:val="427"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合肥市国土资源局</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25.95%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27"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352,639.56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预付生产加工费</w:t>
            </w:r>
          </w:p>
        </w:tc>
      </w:tr>
      <w:tr>
        <w:trPr>
          <w:trHeight w:val="433"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深圳市思锐达传媒有限公司</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140,825.00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3.65%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421"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中国海关</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7"/>
              <w:ind w:right="-3"/>
              <w:jc w:val="right"/>
              <w:rPr>
                <w:rFonts w:ascii="Times New Roman" w:hAnsi="Times New Roman" w:cs="Times New Roman" w:eastAsia="Times New Roman" w:hint="default"/>
                <w:sz w:val="18"/>
                <w:szCs w:val="18"/>
              </w:rPr>
            </w:pPr>
            <w:r>
              <w:rPr>
                <w:rFonts w:ascii="Times New Roman"/>
                <w:sz w:val="18"/>
              </w:rPr>
              <w:t>126,936.79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3.29%</w:t>
            </w:r>
          </w:p>
        </w:tc>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预付进口增值税</w:t>
            </w:r>
          </w:p>
        </w:tc>
      </w:tr>
      <w:tr>
        <w:trPr>
          <w:trHeight w:val="422" w:hRule="exact"/>
        </w:trPr>
        <w:tc>
          <w:tcPr>
            <w:tcW w:w="26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3,083,689.76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80.02%</w:t>
            </w:r>
          </w:p>
        </w:tc>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9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54"/>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2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1"/>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10,644,819.15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10,644,819.15</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6"/>
        <w:gridCol w:w="752"/>
        <w:gridCol w:w="761"/>
        <w:gridCol w:w="763"/>
        <w:gridCol w:w="753"/>
        <w:gridCol w:w="800"/>
        <w:gridCol w:w="653"/>
        <w:gridCol w:w="761"/>
        <w:gridCol w:w="814"/>
        <w:gridCol w:w="934"/>
        <w:gridCol w:w="932"/>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3"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3"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7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1,430,94</w:t>
            </w:r>
          </w:p>
          <w:p>
            <w:pPr>
              <w:pStyle w:val="TableParagraph"/>
              <w:spacing w:line="240" w:lineRule="auto" w:before="102"/>
              <w:ind w:left="399" w:right="0"/>
              <w:jc w:val="left"/>
              <w:rPr>
                <w:rFonts w:ascii="Times New Roman" w:hAnsi="Times New Roman" w:cs="Times New Roman" w:eastAsia="Times New Roman" w:hint="default"/>
                <w:sz w:val="18"/>
                <w:szCs w:val="18"/>
              </w:rPr>
            </w:pPr>
            <w:r>
              <w:rPr>
                <w:rFonts w:ascii="Times New Roman"/>
                <w:sz w:val="18"/>
              </w:rPr>
              <w:t>8.89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85,073.0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5.95%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1,345,875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775,688</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40,731.91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734,956.32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1,430,94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1,345,875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775,688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40,731.91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734,956.32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5"/>
        <w:gridCol w:w="2399"/>
        <w:gridCol w:w="2393"/>
        <w:gridCol w:w="2393"/>
      </w:tblGrid>
      <w:tr>
        <w:trPr>
          <w:trHeight w:val="402" w:hRule="exact"/>
        </w:trPr>
        <w:tc>
          <w:tcPr>
            <w:tcW w:w="2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5" w:type="dxa"/>
            <w:vMerge/>
            <w:tcBorders>
              <w:left w:val="single" w:sz="4" w:space="0" w:color="000000"/>
              <w:bottom w:val="single" w:sz="4" w:space="0" w:color="000000"/>
              <w:right w:val="single" w:sz="4" w:space="0" w:color="000000"/>
            </w:tcBorders>
            <w:shd w:val="clear" w:color="auto" w:fill="D2D2D2"/>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1,197,336.99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59,866.85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1,197,336.99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59,866.85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1,430,948.89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85,073.04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44,691.13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350.00 </w:t>
      </w:r>
      <w:r>
        <w:rPr/>
        <w:t>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7,165.12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731,561.90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47,136.99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1,430,948.89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775,688.23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202"/>
        <w:gridCol w:w="1352"/>
        <w:gridCol w:w="1133"/>
        <w:gridCol w:w="1844"/>
        <w:gridCol w:w="1628"/>
      </w:tblGrid>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账龄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69.88%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深圳市创维物业发展有限公司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158,541.90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11.08%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15,854.19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合肥高新物业管理有限公司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7,122.00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朱成洲</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1,409,761.90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81,976.19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1,022,486.13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1,022,486.13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875,730.80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875,730.80</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41,577,488.70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41,577,488.70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36,729,280.54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36,729,280.54</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18,309,617.37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8,747,924.51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9,561,692.86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21,619,077.91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7,301,634.52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14,317,443.39</w:t>
            </w:r>
            <w:r>
              <w:rPr>
                <w:rFonts w:ascii="Times New Roman"/>
                <w:sz w:val="18"/>
              </w:rPr>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60,909,592.20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8,747,924.51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52,161,667.69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59,224,089.25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7,301,634.52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51,922,454.73</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5"/>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1,818,089.50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371,799.51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8,747,924.51</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1,818,089.50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371,799.51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8,747,924.51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1,502,421.69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1,502,421.69</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792,018,246.51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792,018,246.51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5"/>
        <w:gridCol w:w="1198"/>
        <w:gridCol w:w="1196"/>
        <w:gridCol w:w="1247"/>
        <w:gridCol w:w="1368"/>
        <w:gridCol w:w="1355"/>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115,659,777.78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115,659,777.78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59,500,000.00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59,500,000.00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5"/>
        <w:gridCol w:w="1249"/>
        <w:gridCol w:w="1368"/>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115,659,777.78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115,659,777.78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115,659,777.78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115,659,777.78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59,500,000.00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深圳市明</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道汇智投</w:t>
            </w:r>
          </w:p>
        </w:tc>
        <w:tc>
          <w:tcPr>
            <w:tcW w:w="869"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资基金合 伙企业</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49,500,000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49,500,000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79.49%</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1,718,677.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w:t>
            </w:r>
          </w:p>
        </w:tc>
      </w:tr>
      <w:tr>
        <w:trPr>
          <w:trHeight w:val="30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北京柘益</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6,840,222.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13,159,777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3,615,923.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南昌建恩</w:t>
            </w:r>
          </w:p>
        </w:tc>
        <w:tc>
          <w:tcPr>
            <w:tcW w:w="869" w:type="dxa"/>
            <w:vMerge w:val="restart"/>
            <w:tcBorders>
              <w:top w:val="single" w:sz="4" w:space="0" w:color="000000"/>
              <w:left w:val="single" w:sz="4" w:space="0" w:color="000000"/>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r>
      <w:tr>
        <w:trPr>
          <w:trHeight w:val="628"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8"/>
              <w:jc w:val="left"/>
              <w:rPr>
                <w:rFonts w:ascii="宋体" w:hAnsi="宋体" w:cs="宋体" w:eastAsia="宋体" w:hint="default"/>
                <w:sz w:val="18"/>
                <w:szCs w:val="18"/>
              </w:rPr>
            </w:pPr>
            <w:r>
              <w:rPr>
                <w:rFonts w:ascii="宋体" w:hAnsi="宋体" w:cs="宋体" w:eastAsia="宋体" w:hint="default"/>
                <w:sz w:val="18"/>
                <w:szCs w:val="18"/>
              </w:rPr>
              <w:t>半导体产 业投资中</w:t>
            </w:r>
          </w:p>
        </w:tc>
        <w:tc>
          <w:tcPr>
            <w:tcW w:w="869" w:type="dxa"/>
            <w:vMerge/>
            <w:tcBorders>
              <w:left w:val="single" w:sz="4" w:space="0" w:color="000000"/>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872"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心</w:t>
            </w:r>
          </w:p>
        </w:tc>
        <w:tc>
          <w:tcPr>
            <w:tcW w:w="869" w:type="dxa"/>
            <w:vMerge/>
            <w:tcBorders>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宁波鼎锋</w:t>
            </w:r>
          </w:p>
        </w:tc>
        <w:tc>
          <w:tcPr>
            <w:tcW w:w="869" w:type="dxa"/>
            <w:vMerge w:val="restart"/>
            <w:tcBorders>
              <w:top w:val="single" w:sz="4" w:space="0" w:color="000000"/>
              <w:left w:val="single" w:sz="4" w:space="0" w:color="000000"/>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明道汇正 投资合伙 企业（有</w:t>
            </w:r>
          </w:p>
        </w:tc>
        <w:tc>
          <w:tcPr>
            <w:tcW w:w="869" w:type="dxa"/>
            <w:vMerge/>
            <w:tcBorders>
              <w:left w:val="single" w:sz="4" w:space="0" w:color="000000"/>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43.07%</w:t>
            </w:r>
          </w:p>
        </w:tc>
        <w:tc>
          <w:tcPr>
            <w:tcW w:w="872"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vMerge/>
            <w:tcBorders>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深圳市盛 耀微电子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11.11%</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6,840,222.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115,659,77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7.78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5,334,601.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北京君</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诚易恒科</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404,569.5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2,004,569</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1"/>
              <w:jc w:val="righ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.54</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404,569.5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2,004,569</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bottom w:val="nil" w:sz="6" w:space="0" w:color="auto"/>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.54</w:t>
            </w: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404,569.5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2,004,569</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bottom w:val="nil" w:sz="6" w:space="0" w:color="auto"/>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.54</w:t>
            </w: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63,171,071.98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16,044,916.65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80,489,751.25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6,984,793.76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1,024,961.36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8,009,755.12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6,984,793.76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1,024,961.36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8,009,755.12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85,766.05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85,766.05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54,082.05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54,082.05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70,155,865.74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16,984,111.96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88,413,740.32</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1,667,014.40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7,375,305.53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797,145.05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9,839,464.98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1,483,476.40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2,744,618.15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128,758.44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4,356,852.99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1,483,476.40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2,744,618.15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128,758.44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4,356,852.99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80,980.63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80,980.63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49,296.63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3,150,490.80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10,038,943.05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925,903.49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14,115,337.34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67,005,374.94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6,945,168.91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347,859.13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74,298,402.98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61,504,057.58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8,669,611.12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476,617.57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70,650,286.27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君正集成电路合 肥研发基地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394,272.83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394,272.83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394,272.83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394,272.83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15"/>
          <w:pgSz w:w="11910" w:h="16840"/>
          <w:pgMar w:footer="980" w:header="745" w:top="1060" w:bottom="1160" w:left="980" w:right="980"/>
          <w:pgNumType w:start="101"/>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32,884,945.40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2,009,349.01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34,894,294.41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32,884,945.40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2,009,349.01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34,894,294.41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2,192,329.75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1,063,141.56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3,255,471.31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657,698.88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631,285.32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1,288,984.20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657,698.88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631,285.32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1,288,984.20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2,850,028.63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1,694,426.88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4,544,455.51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30,034,916.77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314,922.13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30,349,838.90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30,692,615.65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946,207.45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31,638,823.10</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3,694,445.86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554,166.88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2,446,562.39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366,984.35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770,209.17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115,531.38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16,494,330.93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2,474,149.64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12,214,454.92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1,832,168.24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3,140,930.00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471,139.50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2,961,895.00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444,284.25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2,063,340.00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309,501.00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19,641,004.95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2,946,150.75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24,145,163.32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3,621,774.49</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1"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2,946,150.75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3,621,774.49</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28,634,005.99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25,128,604.13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13,078.09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5,467,698.99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29,473,434.08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31,684,353.12</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4,158,345.93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5,870,911.56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5,870,911.56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6,638,454.58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6,638,454.58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4,451,039.54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5,429,542.14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3,031,349.92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8,070,439.39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28,634,005.99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25,128,604.13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11"/>
        <w:rPr>
          <w:rFonts w:ascii="宋体" w:hAnsi="宋体" w:cs="宋体" w:eastAsia="宋体" w:hint="default"/>
          <w:b/>
          <w:bCs/>
          <w:sz w:val="26"/>
          <w:szCs w:val="26"/>
        </w:rPr>
      </w:pPr>
    </w:p>
    <w:p>
      <w:pPr>
        <w:spacing w:line="559" w:lineRule="auto" w:before="0"/>
        <w:ind w:left="153"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、应付票据</w:t>
      </w:r>
      <w:r>
        <w:rPr>
          <w:rFonts w:ascii="宋体" w:hAnsi="宋体" w:cs="宋体" w:eastAsia="宋体" w:hint="default"/>
          <w:b/>
          <w:bCs/>
          <w:w w:val="99"/>
          <w:sz w:val="20"/>
          <w:szCs w:val="20"/>
        </w:rPr>
        <w:t> </w:t>
      </w:r>
      <w:r>
        <w:rPr>
          <w:rFonts w:ascii="宋体" w:hAnsi="宋体" w:cs="宋体" w:eastAsia="宋体" w:hint="default"/>
          <w:sz w:val="18"/>
          <w:szCs w:val="18"/>
        </w:rPr>
        <w:t>无</w:t>
      </w:r>
    </w:p>
    <w:p>
      <w:pPr>
        <w:pStyle w:val="Heading3"/>
        <w:spacing w:line="240" w:lineRule="auto" w:before="124"/>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4,566,594.20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5,388,760.76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7,729.19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4,574,323.39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5,399,267.39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2,375,187.85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1,867,980.12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33,333.36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10,322.10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2,390,509.95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2,105,135.58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3,449,636.19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45,682,895.83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43,994,863.54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5,137,668.48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287,113.47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4,591,613.24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4,591,427.10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287,299.61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3,736,749.66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50,274,509.07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48,586,290.64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5,424,968.09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3,151,390.00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38,164,669.32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36,500,814.32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4,815,245.00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1,644,346.28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1,644,346.28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158,777.34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2,444,564.65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2,444,535.57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158,806.42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136,882.00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2,101,478.46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2,101,558.46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136,802.00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153,248.77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10,857.01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189,880.83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189,728.34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11,147.41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2,940,235.92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2,926,587.92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56,512.00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96,604.85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489,079.66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478,579.45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107,105.06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3,449,636.19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45,682,895.83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43,994,863.54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5,137,668.48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273,441.40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4,361,184.25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4,361,237.45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273,388.20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230,428.99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230,189.65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13,911.41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287,113.47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4,591,613.24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4,591,427.10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287,299.61</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-150,758.76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88,746.66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64,242.06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2,826,074.02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-1,372,794.32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327,878.43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132,022.46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38,092.13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15,495.04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6,640.84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10,883.46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4,427.11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3,157,241.14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-1,136,094.19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2,838.30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2,737,639.34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1,369,003.65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330,441.40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184,943.93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210,980.48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3,069,766.74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1,767,766.36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3,140,930.00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62,324,100.00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47,250,575.08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18,214,454.92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3,140,930.00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62,324,100.00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47,250,575.08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18,214,454.92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181"/>
        <w:gridCol w:w="1280"/>
        <w:gridCol w:w="1274"/>
        <w:gridCol w:w="802"/>
        <w:gridCol w:w="1274"/>
        <w:gridCol w:w="1136"/>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5" w:right="9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2" w:right="87"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领军人才专项（注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高密度三维系统集成技术开发与 产业化（注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2,962,930.00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1,481,480.00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1,481,450.00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可穿戴设备移动处理器芯片的研 发（注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433,300.00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866,700.00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可穿戴设备共性关键技术研发项 目管理费（注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14,286.00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85,714.00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平板电脑类产 品批量应用（注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40,770,900.00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40,770,900.00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平板电脑类产 品批量应用（注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6,228,700.00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3,553,372.08</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2,675,327.92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181"/>
        <w:gridCol w:w="1280"/>
        <w:gridCol w:w="1274"/>
        <w:gridCol w:w="802"/>
        <w:gridCol w:w="1274"/>
        <w:gridCol w:w="1136"/>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
              <w:jc w:val="left"/>
              <w:rPr>
                <w:rFonts w:ascii="宋体" w:hAnsi="宋体" w:cs="宋体" w:eastAsia="宋体" w:hint="default"/>
                <w:sz w:val="18"/>
                <w:szCs w:val="18"/>
              </w:rPr>
            </w:pPr>
            <w:r>
              <w:rPr>
                <w:rFonts w:ascii="宋体" w:hAnsi="宋体" w:cs="宋体" w:eastAsia="宋体" w:hint="default"/>
                <w:sz w:val="18"/>
                <w:szCs w:val="18"/>
              </w:rPr>
              <w:t>面向电子书市场的高性能嵌入式 处理器芯片研发及产业化（注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智能硬件软硬件一体化安全芯片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核（注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394,737.00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7,105,263.00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年新型工业化政策资金项目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334,500.00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视频监控芯片研发及产业化项目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3,140,930.00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62,324,100.00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47,250,575.08</w:t>
            </w:r>
          </w:p>
        </w:tc>
        <w:tc>
          <w:tcPr>
            <w:tcW w:w="8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18,214,454.92</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其他说明：</w:t>
      </w:r>
    </w:p>
    <w:p>
      <w:pPr>
        <w:pStyle w:val="BodyText"/>
        <w:spacing w:line="300" w:lineRule="auto" w:before="115"/>
        <w:ind w:right="122"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月，本公司与北京市科学技术委员会签订《北京市科技专项工作任务书》，协议约定：北京市科学技 术委员会为本公司承担的</w:t>
      </w:r>
      <w:r>
        <w:rPr>
          <w:rFonts w:ascii="Times New Roman" w:hAnsi="Times New Roman" w:cs="Times New Roman" w:eastAsia="Times New Roman" w:hint="default"/>
        </w:rPr>
        <w:t>“</w:t>
      </w:r>
      <w:r>
        <w:rPr/>
        <w:t>科技北京百名领军人才培养工程</w:t>
      </w:r>
      <w:r>
        <w:rPr>
          <w:rFonts w:ascii="Times New Roman" w:hAnsi="Times New Roman" w:cs="Times New Roman" w:eastAsia="Times New Roman" w:hint="default"/>
        </w:rPr>
        <w:t>-</w:t>
      </w:r>
      <w:r>
        <w:rPr/>
        <w:t>领军人才</w:t>
      </w:r>
      <w:r>
        <w:rPr>
          <w:rFonts w:ascii="Times New Roman" w:hAnsi="Times New Roman" w:cs="Times New Roman" w:eastAsia="Times New Roman" w:hint="default"/>
        </w:rPr>
        <w:t>-</w:t>
      </w:r>
      <w:r>
        <w:rPr/>
        <w:t>刘强</w:t>
      </w:r>
      <w:r>
        <w:rPr>
          <w:rFonts w:ascii="Times New Roman" w:hAnsi="Times New Roman" w:cs="Times New Roman" w:eastAsia="Times New Roman" w:hint="default"/>
        </w:rPr>
        <w:t>-</w:t>
      </w:r>
      <w:r>
        <w:rPr>
          <w:rFonts w:ascii="Times New Roman" w:hAnsi="Times New Roman" w:cs="Times New Roman" w:eastAsia="Times New Roman" w:hint="default"/>
        </w:rPr>
        <w:t>201206”</w:t>
      </w:r>
      <w:r>
        <w:rPr/>
        <w:t>项目提供经费资助</w:t>
      </w:r>
      <w:r>
        <w:rPr>
          <w:rFonts w:ascii="Times New Roman" w:hAnsi="Times New Roman" w:cs="Times New Roman" w:eastAsia="Times New Roman" w:hint="default"/>
        </w:rPr>
        <w:t>550,000.00</w:t>
      </w:r>
      <w:r>
        <w:rPr/>
        <w:t>元，项目研</w:t>
      </w:r>
      <w:r>
        <w:rPr>
          <w:spacing w:val="-67"/>
        </w:rPr>
        <w:t> </w:t>
      </w:r>
      <w:r>
        <w:rPr/>
        <w:t>发期为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月收到北京市科学技术委员会拨款</w:t>
      </w:r>
      <w:r>
        <w:rPr>
          <w:rFonts w:ascii="Times New Roman" w:hAnsi="Times New Roman" w:cs="Times New Roman" w:eastAsia="Times New Roman" w:hint="default"/>
        </w:rPr>
        <w:t>550,000.00</w:t>
      </w:r>
      <w:r>
        <w:rPr/>
        <w:t>元，按照收款日至研发结束 </w:t>
      </w:r>
      <w:r>
        <w:rPr>
          <w:spacing w:val="-2"/>
        </w:rPr>
        <w:t>的期间，本公司</w:t>
      </w:r>
      <w:r>
        <w:rPr>
          <w:rFonts w:ascii="Times New Roman" w:hAnsi="Times New Roman" w:cs="Times New Roman" w:eastAsia="Times New Roman" w:hint="default"/>
          <w:spacing w:val="-2"/>
        </w:rPr>
        <w:t>2015</w:t>
      </w:r>
      <w:r>
        <w:rPr>
          <w:spacing w:val="-2"/>
        </w:rPr>
        <w:t>年结转营业外收入</w:t>
      </w:r>
      <w:r>
        <w:rPr>
          <w:rFonts w:ascii="Times New Roman" w:hAnsi="Times New Roman" w:cs="Times New Roman" w:eastAsia="Times New Roman" w:hint="default"/>
          <w:spacing w:val="-2"/>
        </w:rPr>
        <w:t>178,000.00</w:t>
      </w:r>
      <w:r>
        <w:rPr>
          <w:spacing w:val="-2"/>
        </w:rPr>
        <w:t>元，累计结转营业外收入</w:t>
      </w:r>
      <w:r>
        <w:rPr>
          <w:rFonts w:ascii="Times New Roman" w:hAnsi="Times New Roman" w:cs="Times New Roman" w:eastAsia="Times New Roman" w:hint="default"/>
          <w:spacing w:val="-2"/>
        </w:rPr>
        <w:t>550,000.00</w:t>
      </w:r>
      <w:r>
        <w:rPr>
          <w:spacing w:val="-2"/>
        </w:rPr>
        <w:t>元，截至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日余额为</w:t>
      </w:r>
      <w:r>
        <w:rPr>
          <w:rFonts w:ascii="Times New Roman" w:hAnsi="Times New Roman" w:cs="Times New Roman" w:eastAsia="Times New Roman" w:hint="default"/>
          <w:spacing w:val="-2"/>
        </w:rPr>
        <w:t>0.00</w:t>
      </w:r>
      <w:r>
        <w:rPr>
          <w:spacing w:val="-2"/>
        </w:rPr>
        <w:t>元；</w:t>
      </w:r>
    </w:p>
    <w:p>
      <w:pPr>
        <w:pStyle w:val="BodyText"/>
        <w:spacing w:line="300" w:lineRule="auto" w:before="13"/>
        <w:ind w:right="117" w:firstLine="360"/>
        <w:jc w:val="left"/>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月，根据《财政部关于下达极大规模集成电路制造装备及成套工艺科技重大专项</w:t>
      </w:r>
      <w:r>
        <w:rPr>
          <w:rFonts w:ascii="Times New Roman" w:hAnsi="Times New Roman" w:cs="Times New Roman" w:eastAsia="Times New Roman" w:hint="default"/>
          <w:spacing w:val="-1"/>
        </w:rPr>
        <w:t>2014</w:t>
      </w:r>
      <w:r>
        <w:rPr>
          <w:spacing w:val="-1"/>
        </w:rPr>
        <w:t>年预算的通知》，</w:t>
      </w:r>
      <w:r>
        <w:rPr/>
        <w:t> </w:t>
      </w:r>
      <w:r>
        <w:rPr>
          <w:spacing w:val="15"/>
        </w:rPr>
        <w:t>本公司收到江苏省科学技术厅为本公司承担的</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4"/>
        </w:rPr>
        <w:t> </w:t>
      </w:r>
      <w:r>
        <w:rPr>
          <w:spacing w:val="15"/>
        </w:rPr>
        <w:t>智能终端处理器芯片研发及先进封装技术导入</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6"/>
        </w:rPr>
        <w:t> </w:t>
      </w:r>
      <w:r>
        <w:rPr>
          <w:spacing w:val="14"/>
        </w:rPr>
        <w:t>项目提供经费资助</w:t>
      </w:r>
      <w:r>
        <w:rPr>
          <w:spacing w:val="-62"/>
        </w:rPr>
        <w:t> </w:t>
      </w:r>
      <w:r>
        <w:rPr>
          <w:spacing w:val="-62"/>
        </w:rPr>
      </w:r>
      <w:r>
        <w:rPr>
          <w:rFonts w:ascii="Times New Roman" w:hAnsi="Times New Roman" w:cs="Times New Roman" w:eastAsia="Times New Roman" w:hint="default"/>
          <w:spacing w:val="-3"/>
        </w:rPr>
        <w:t>3,333,300.00</w:t>
      </w:r>
      <w:r>
        <w:rPr>
          <w:spacing w:val="-3"/>
        </w:rPr>
        <w:t>元，项目研发期为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月收到江苏省科学技术厅为本公司拨款</w:t>
      </w:r>
      <w:r>
        <w:rPr>
          <w:rFonts w:ascii="Times New Roman" w:hAnsi="Times New Roman" w:cs="Times New Roman" w:eastAsia="Times New Roman" w:hint="default"/>
          <w:spacing w:val="-3"/>
        </w:rPr>
        <w:t>3,333,300.00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元，按照收款日至研发结束的期间，本公司</w:t>
      </w:r>
      <w:r>
        <w:rPr>
          <w:rFonts w:ascii="Times New Roman" w:hAnsi="Times New Roman" w:cs="Times New Roman" w:eastAsia="Times New Roman" w:hint="default"/>
        </w:rPr>
        <w:t>2015</w:t>
      </w:r>
      <w:r>
        <w:rPr/>
        <w:t>年结转营业外收入</w:t>
      </w:r>
      <w:r>
        <w:rPr>
          <w:rFonts w:ascii="Times New Roman" w:hAnsi="Times New Roman" w:cs="Times New Roman" w:eastAsia="Times New Roman" w:hint="default"/>
        </w:rPr>
        <w:t>1,481,480.00</w:t>
      </w:r>
      <w:r>
        <w:rPr/>
        <w:t>元，累计结转营业外收入</w:t>
      </w:r>
      <w:r>
        <w:rPr>
          <w:rFonts w:ascii="Times New Roman" w:hAnsi="Times New Roman" w:cs="Times New Roman" w:eastAsia="Times New Roman" w:hint="default"/>
        </w:rPr>
        <w:t>1,851,850.00</w:t>
      </w:r>
      <w:r>
        <w:rPr/>
        <w:t>元，截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1,481,450.00</w:t>
      </w:r>
      <w:r>
        <w:rPr/>
        <w:t>元。</w:t>
      </w:r>
    </w:p>
    <w:p>
      <w:pPr>
        <w:pStyle w:val="BodyText"/>
        <w:spacing w:line="300" w:lineRule="auto" w:before="13"/>
        <w:ind w:right="207" w:firstLine="36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月，北京市科学技术委员会下发文件《关于下达</w:t>
      </w:r>
      <w:r>
        <w:rPr>
          <w:rFonts w:ascii="Times New Roman" w:hAnsi="Times New Roman" w:cs="Times New Roman" w:eastAsia="Times New Roman" w:hint="default"/>
        </w:rPr>
        <w:t>2015</w:t>
      </w:r>
      <w:r>
        <w:rPr/>
        <w:t>年度北京市科技计划</w:t>
      </w:r>
      <w:r>
        <w:rPr>
          <w:rFonts w:ascii="Times New Roman" w:hAnsi="Times New Roman" w:cs="Times New Roman" w:eastAsia="Times New Roman" w:hint="default"/>
        </w:rPr>
        <w:t>“</w:t>
      </w:r>
      <w:r>
        <w:rPr/>
        <w:t>可穿戴设备共性关键技术研 发</w:t>
      </w:r>
      <w:r>
        <w:rPr>
          <w:rFonts w:ascii="Times New Roman" w:hAnsi="Times New Roman" w:cs="Times New Roman" w:eastAsia="Times New Roman" w:hint="default"/>
        </w:rPr>
        <w:t>”</w:t>
      </w:r>
      <w:r>
        <w:rPr/>
        <w:t>项目任务的通知》（京科发</w:t>
      </w:r>
      <w:r>
        <w:rPr>
          <w:rFonts w:ascii="Times New Roman" w:hAnsi="Times New Roman" w:cs="Times New Roman" w:eastAsia="Times New Roman" w:hint="default"/>
        </w:rPr>
        <w:t>[2015]304</w:t>
      </w:r>
      <w:r>
        <w:rPr/>
        <w:t>号），文件中声明：北京市科学技术委员会为本公司承担的</w:t>
      </w:r>
      <w:r>
        <w:rPr>
          <w:rFonts w:ascii="Times New Roman" w:hAnsi="Times New Roman" w:cs="Times New Roman" w:eastAsia="Times New Roman" w:hint="default"/>
        </w:rPr>
        <w:t>“</w:t>
      </w:r>
      <w:r>
        <w:rPr/>
        <w:t>可穿戴设备移动处理</w:t>
      </w:r>
      <w:r>
        <w:rPr>
          <w:spacing w:val="-9"/>
        </w:rPr>
        <w:t> </w:t>
      </w:r>
      <w:r>
        <w:rPr>
          <w:spacing w:val="-9"/>
        </w:rPr>
      </w:r>
      <w:r>
        <w:rPr/>
        <w:t>器芯片的研发</w:t>
      </w:r>
      <w:r>
        <w:rPr>
          <w:rFonts w:ascii="Times New Roman" w:hAnsi="Times New Roman" w:cs="Times New Roman" w:eastAsia="Times New Roman" w:hint="default"/>
        </w:rPr>
        <w:t>”</w:t>
      </w:r>
      <w:r>
        <w:rPr/>
        <w:t>项目提供经费资助</w:t>
      </w:r>
      <w:r>
        <w:rPr>
          <w:rFonts w:ascii="Times New Roman" w:hAnsi="Times New Roman" w:cs="Times New Roman" w:eastAsia="Times New Roman" w:hint="default"/>
        </w:rPr>
        <w:t>1,300,000.00</w:t>
      </w:r>
      <w:r>
        <w:rPr/>
        <w:t>元，项目管理经费资助</w:t>
      </w:r>
      <w:r>
        <w:rPr>
          <w:rFonts w:ascii="Times New Roman" w:hAnsi="Times New Roman" w:cs="Times New Roman" w:eastAsia="Times New Roman" w:hint="default"/>
        </w:rPr>
        <w:t>100,000.00</w:t>
      </w:r>
      <w:r>
        <w:rPr/>
        <w:t>元。项目研发期为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月收到北京市科学技术委员会拨款</w:t>
      </w:r>
      <w:r>
        <w:rPr>
          <w:rFonts w:ascii="Times New Roman" w:hAnsi="Times New Roman" w:cs="Times New Roman" w:eastAsia="Times New Roman" w:hint="default"/>
        </w:rPr>
        <w:t>1,300,000.00</w:t>
      </w:r>
      <w:r>
        <w:rPr/>
        <w:t>元、</w:t>
      </w:r>
      <w:r>
        <w:rPr>
          <w:rFonts w:ascii="Times New Roman" w:hAnsi="Times New Roman" w:cs="Times New Roman" w:eastAsia="Times New Roman" w:hint="default"/>
        </w:rPr>
        <w:t>100,000.00</w:t>
      </w:r>
      <w:r>
        <w:rPr/>
        <w:t>元，按照收款日至研发结束的</w:t>
      </w:r>
      <w:r>
        <w:rPr>
          <w:spacing w:val="-53"/>
        </w:rPr>
        <w:t> </w:t>
      </w:r>
      <w:r>
        <w:rPr>
          <w:spacing w:val="-53"/>
        </w:rPr>
      </w:r>
      <w:r>
        <w:rPr>
          <w:spacing w:val="-3"/>
        </w:rPr>
        <w:t>期间，本公司</w:t>
      </w:r>
      <w:r>
        <w:rPr>
          <w:rFonts w:ascii="Times New Roman" w:hAnsi="Times New Roman" w:cs="Times New Roman" w:eastAsia="Times New Roman" w:hint="default"/>
          <w:spacing w:val="-3"/>
        </w:rPr>
        <w:t>2015</w:t>
      </w:r>
      <w:r>
        <w:rPr>
          <w:spacing w:val="-3"/>
        </w:rPr>
        <w:t>年结转营业外收入</w:t>
      </w:r>
      <w:r>
        <w:rPr>
          <w:rFonts w:ascii="Times New Roman" w:hAnsi="Times New Roman" w:cs="Times New Roman" w:eastAsia="Times New Roman" w:hint="default"/>
          <w:spacing w:val="-3"/>
        </w:rPr>
        <w:t>447,586.00</w:t>
      </w:r>
      <w:r>
        <w:rPr>
          <w:spacing w:val="-3"/>
        </w:rPr>
        <w:t>元，累计结转营业外收入</w:t>
      </w:r>
      <w:r>
        <w:rPr>
          <w:rFonts w:ascii="Times New Roman" w:hAnsi="Times New Roman" w:cs="Times New Roman" w:eastAsia="Times New Roman" w:hint="default"/>
          <w:spacing w:val="-3"/>
        </w:rPr>
        <w:t>447,586.00</w:t>
      </w:r>
      <w:r>
        <w:rPr>
          <w:spacing w:val="-3"/>
        </w:rPr>
        <w:t>元，截至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日余额为</w:t>
      </w:r>
      <w:r>
        <w:rPr>
          <w:rFonts w:ascii="Times New Roman" w:hAnsi="Times New Roman" w:cs="Times New Roman" w:eastAsia="Times New Roman" w:hint="default"/>
          <w:spacing w:val="-3"/>
        </w:rPr>
        <w:t>952,414.00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w:t>
      </w:r>
    </w:p>
    <w:p>
      <w:pPr>
        <w:pStyle w:val="BodyText"/>
        <w:spacing w:line="300" w:lineRule="auto" w:before="31"/>
        <w:ind w:right="210" w:firstLine="360"/>
        <w:jc w:val="both"/>
      </w:pPr>
      <w:r>
        <w:rPr>
          <w:spacing w:val="-1"/>
        </w:rPr>
        <w:t>注</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月，中华人民共和国工业和信心化部下发文件《关于批复核心电子器件高端通用芯片及基础软件产品科</w:t>
      </w:r>
      <w:r>
        <w:rPr/>
        <w:t> 技重大专项</w:t>
      </w:r>
      <w:r>
        <w:rPr>
          <w:rFonts w:ascii="Times New Roman" w:hAnsi="Times New Roman" w:cs="Times New Roman" w:eastAsia="Times New Roman" w:hint="default"/>
        </w:rPr>
        <w:t>2015</w:t>
      </w:r>
      <w:r>
        <w:rPr/>
        <w:t>年立项课题（非涉密部分）中央财政资金预算以及</w:t>
      </w:r>
      <w:r>
        <w:rPr>
          <w:rFonts w:ascii="Times New Roman" w:hAnsi="Times New Roman" w:cs="Times New Roman" w:eastAsia="Times New Roman" w:hint="default"/>
        </w:rPr>
        <w:t>2015</w:t>
      </w:r>
      <w:r>
        <w:rPr/>
        <w:t>年度资金下达的通知》（工信专项一简（</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48</w:t>
      </w:r>
      <w:r>
        <w:rPr>
          <w:rFonts w:ascii="Times New Roman" w:hAnsi="Times New Roman" w:cs="Times New Roman" w:eastAsia="Times New Roman" w:hint="default"/>
          <w:spacing w:val="37"/>
        </w:rPr>
        <w:t> </w:t>
      </w:r>
      <w:r>
        <w:rPr/>
        <w:t>号，文件中声名补助方式为事后立项事后补助；本公司于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月收到中华人民共和国工业和信心化部拨款</w:t>
      </w:r>
      <w:r>
        <w:rPr>
          <w:rFonts w:ascii="Times New Roman" w:hAnsi="Times New Roman" w:cs="Times New Roman" w:eastAsia="Times New Roman" w:hint="default"/>
        </w:rPr>
        <w:t>46,999,600.00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元；其中与收益相关的政府补助为</w:t>
      </w:r>
      <w:r>
        <w:rPr>
          <w:rFonts w:ascii="Times New Roman" w:hAnsi="Times New Roman" w:cs="Times New Roman" w:eastAsia="Times New Roman" w:hint="default"/>
        </w:rPr>
        <w:t>40,770,900.00</w:t>
      </w:r>
      <w:r>
        <w:rPr>
          <w:rFonts w:ascii="Times New Roman" w:hAnsi="Times New Roman" w:cs="Times New Roman" w:eastAsia="Times New Roman" w:hint="default"/>
          <w:spacing w:val="42"/>
        </w:rPr>
        <w:t> </w:t>
      </w:r>
      <w:r>
        <w:rPr/>
        <w:t>元，与资产相关的政府补助为</w:t>
      </w:r>
      <w:r>
        <w:rPr>
          <w:rFonts w:ascii="Times New Roman" w:hAnsi="Times New Roman" w:cs="Times New Roman" w:eastAsia="Times New Roman" w:hint="default"/>
        </w:rPr>
        <w:t>6,228,700.00</w:t>
      </w:r>
      <w:r>
        <w:rPr/>
        <w:t>元。依据项目中固定资产收益年</w:t>
      </w:r>
      <w:r>
        <w:rPr>
          <w:spacing w:val="-87"/>
        </w:rPr>
        <w:t> </w:t>
      </w:r>
      <w:r>
        <w:rPr>
          <w:spacing w:val="-87"/>
        </w:rPr>
      </w:r>
      <w:r>
        <w:rPr/>
        <w:t>限分摊该款项，本期计入营业外收入金额为</w:t>
      </w:r>
      <w:r>
        <w:rPr>
          <w:rFonts w:ascii="Times New Roman" w:hAnsi="Times New Roman" w:cs="Times New Roman" w:eastAsia="Times New Roman" w:hint="default"/>
        </w:rPr>
        <w:t>3,553,372.08</w:t>
      </w:r>
      <w:r>
        <w:rPr/>
        <w:t>元，尚未摊销金额</w:t>
      </w:r>
      <w:r>
        <w:rPr>
          <w:rFonts w:ascii="Times New Roman" w:hAnsi="Times New Roman" w:cs="Times New Roman" w:eastAsia="Times New Roman" w:hint="default"/>
        </w:rPr>
        <w:t>2,675,327.92</w:t>
      </w:r>
      <w:r>
        <w:rPr>
          <w:rFonts w:ascii="Times New Roman" w:hAnsi="Times New Roman" w:cs="Times New Roman" w:eastAsia="Times New Roman" w:hint="default"/>
          <w:spacing w:val="24"/>
        </w:rPr>
        <w:t> </w:t>
      </w:r>
      <w:r>
        <w:rPr>
          <w:spacing w:val="-3"/>
        </w:rPr>
        <w:t>元。</w:t>
      </w:r>
      <w:r>
        <w:rPr/>
      </w:r>
    </w:p>
    <w:p>
      <w:pPr>
        <w:pStyle w:val="BodyText"/>
        <w:spacing w:line="300" w:lineRule="auto" w:before="13"/>
        <w:ind w:right="208" w:firstLine="360"/>
        <w:jc w:val="both"/>
      </w:pPr>
      <w:r>
        <w:rPr>
          <w:spacing w:val="-1"/>
        </w:rPr>
        <w:t>注</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月，本公司与中关村科技园区管理委员会签订《中关村科技园区小企业创新支持资金（中关村移动互联</w:t>
      </w:r>
      <w:r>
        <w:rPr/>
        <w:t> </w:t>
      </w:r>
      <w:r>
        <w:rPr>
          <w:spacing w:val="-2"/>
        </w:rPr>
        <w:t>网产业集群专项）无偿资助项目合同》（立项代码：</w:t>
      </w:r>
      <w:r>
        <w:rPr>
          <w:rFonts w:ascii="Times New Roman" w:hAnsi="Times New Roman" w:cs="Times New Roman" w:eastAsia="Times New Roman" w:hint="default"/>
          <w:spacing w:val="-2"/>
        </w:rPr>
        <w:t>10ZJ29</w:t>
      </w:r>
      <w:r>
        <w:rPr>
          <w:spacing w:val="-2"/>
        </w:rPr>
        <w:t>），合同约定：中关村科技园区管理委员会向本公司承担的</w:t>
      </w:r>
      <w:r>
        <w:rPr/>
        <w:t> </w:t>
      </w:r>
      <w:r>
        <w:rPr>
          <w:rFonts w:ascii="Times New Roman" w:hAnsi="Times New Roman" w:cs="Times New Roman" w:eastAsia="Times New Roman" w:hint="default"/>
          <w:spacing w:val="-1"/>
        </w:rPr>
        <w:t>“</w:t>
      </w:r>
      <w:r>
        <w:rPr>
          <w:spacing w:val="-1"/>
        </w:rPr>
        <w:t>面</w:t>
      </w:r>
      <w:r>
        <w:rPr>
          <w:spacing w:val="-58"/>
        </w:rPr>
        <w:t> </w:t>
      </w:r>
      <w:r>
        <w:rPr/>
        <w:t>向电子书市场的高性能嵌入式处理器芯片研发及产业化</w:t>
      </w:r>
      <w:r>
        <w:rPr>
          <w:rFonts w:ascii="Times New Roman" w:hAnsi="Times New Roman" w:cs="Times New Roman" w:eastAsia="Times New Roman" w:hint="default"/>
        </w:rPr>
        <w:t>”</w:t>
      </w:r>
      <w:r>
        <w:rPr/>
        <w:t>项目无偿提供</w:t>
      </w:r>
      <w:r>
        <w:rPr>
          <w:rFonts w:ascii="Times New Roman" w:hAnsi="Times New Roman" w:cs="Times New Roman" w:eastAsia="Times New Roman" w:hint="default"/>
        </w:rPr>
        <w:t>300,000.00</w:t>
      </w:r>
      <w:r>
        <w:rPr/>
        <w:t>元的资金资助，首次拨付</w:t>
      </w:r>
      <w:r>
        <w:rPr>
          <w:rFonts w:ascii="Times New Roman" w:hAnsi="Times New Roman" w:cs="Times New Roman" w:eastAsia="Times New Roman" w:hint="default"/>
        </w:rPr>
        <w:t>70%</w:t>
      </w:r>
      <w:r>
        <w:rPr/>
        <w:t>即</w:t>
      </w:r>
      <w:r>
        <w:rPr>
          <w:rFonts w:ascii="Times New Roman" w:hAnsi="Times New Roman" w:cs="Times New Roman" w:eastAsia="Times New Roman" w:hint="default"/>
        </w:rPr>
        <w:t>210,000.00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元，项目验收合格后拨付</w:t>
      </w:r>
      <w:r>
        <w:rPr>
          <w:rFonts w:ascii="Times New Roman" w:hAnsi="Times New Roman" w:cs="Times New Roman" w:eastAsia="Times New Roman" w:hint="default"/>
          <w:spacing w:val="-2"/>
        </w:rPr>
        <w:t>90,000.00</w:t>
      </w:r>
      <w:r>
        <w:rPr>
          <w:spacing w:val="-2"/>
        </w:rPr>
        <w:t>元，首次拨付金额已在以前年度确认至营业外收入。本公司于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月收到中关村科技</w:t>
      </w:r>
      <w:r>
        <w:rPr>
          <w:spacing w:val="-57"/>
        </w:rPr>
        <w:t> </w:t>
      </w:r>
      <w:r>
        <w:rPr>
          <w:spacing w:val="-57"/>
        </w:rPr>
      </w:r>
      <w:r>
        <w:rPr/>
        <w:t>园区管理委员会项目尾款</w:t>
      </w:r>
      <w:r>
        <w:rPr>
          <w:rFonts w:ascii="Times New Roman" w:hAnsi="Times New Roman" w:cs="Times New Roman" w:eastAsia="Times New Roman" w:hint="default"/>
        </w:rPr>
        <w:t>90,000.00</w:t>
      </w:r>
      <w:r>
        <w:rPr/>
        <w:t>元，本年结转至营业外收入。</w:t>
      </w:r>
    </w:p>
    <w:p>
      <w:pPr>
        <w:pStyle w:val="BodyText"/>
        <w:spacing w:line="240" w:lineRule="auto" w:before="13"/>
        <w:ind w:left="513" w:right="116"/>
        <w:jc w:val="left"/>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月，本公司与工业和信息化部签订《</w:t>
      </w:r>
      <w:r>
        <w:rPr>
          <w:rFonts w:ascii="Times New Roman" w:hAnsi="Times New Roman" w:cs="Times New Roman" w:eastAsia="Times New Roman" w:hint="default"/>
        </w:rPr>
        <w:t>2015</w:t>
      </w:r>
      <w:r>
        <w:rPr/>
        <w:t>年工业转型升级只能制造和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行动支撑保障能力工程</w:t>
      </w:r>
    </w:p>
    <w:p>
      <w:pPr>
        <w:pStyle w:val="BodyText"/>
        <w:spacing w:line="300" w:lineRule="auto" w:before="63"/>
        <w:ind w:right="206"/>
        <w:jc w:val="both"/>
      </w:pPr>
      <w:r>
        <w:rPr>
          <w:rFonts w:ascii="Times New Roman" w:hAnsi="Times New Roman" w:cs="Times New Roman" w:eastAsia="Times New Roman" w:hint="default"/>
        </w:rPr>
        <w:t>--</w:t>
      </w:r>
      <w:r>
        <w:rPr/>
        <w:t>安全芯片能力提升及应用方向》合同书，合同约定：工业和信息化部为本公司</w:t>
      </w:r>
      <w:r>
        <w:rPr>
          <w:rFonts w:ascii="Times New Roman" w:hAnsi="Times New Roman" w:cs="Times New Roman" w:eastAsia="Times New Roman" w:hint="default"/>
        </w:rPr>
        <w:t>“</w:t>
      </w:r>
      <w:r>
        <w:rPr/>
        <w:t>智能硬件软硬件一体化安全芯片及</w:t>
      </w:r>
      <w:r>
        <w:rPr>
          <w:rFonts w:ascii="Times New Roman" w:hAnsi="Times New Roman" w:cs="Times New Roman" w:eastAsia="Times New Roman" w:hint="default"/>
        </w:rPr>
        <w:t>IP</w:t>
      </w:r>
      <w:r>
        <w:rPr/>
        <w:t>核</w:t>
      </w:r>
      <w:r>
        <w:rPr>
          <w:rFonts w:ascii="Times New Roman" w:hAnsi="Times New Roman" w:cs="Times New Roman" w:eastAsia="Times New Roman" w:hint="default"/>
        </w:rPr>
        <w:t>”</w:t>
      </w:r>
      <w:r>
        <w:rPr/>
        <w:t>项</w:t>
      </w:r>
      <w:r>
        <w:rPr>
          <w:spacing w:val="-73"/>
        </w:rPr>
        <w:t> </w:t>
      </w:r>
      <w:r>
        <w:rPr>
          <w:spacing w:val="2"/>
        </w:rPr>
        <w:t>目提供经费资助</w:t>
      </w:r>
      <w:r>
        <w:rPr>
          <w:rFonts w:ascii="Times New Roman" w:hAnsi="Times New Roman" w:cs="Times New Roman" w:eastAsia="Times New Roman" w:hint="default"/>
          <w:spacing w:val="2"/>
        </w:rPr>
        <w:t>7,500,000.00</w:t>
      </w:r>
      <w:r>
        <w:rPr>
          <w:spacing w:val="2"/>
        </w:rPr>
        <w:t>元，项目实施年限为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月收到工业和信息化部拨款</w:t>
      </w:r>
      <w:r>
        <w:rPr>
          <w:spacing w:val="-26"/>
        </w:rPr>
        <w:t> </w:t>
      </w:r>
      <w:r>
        <w:rPr>
          <w:spacing w:val="-26"/>
        </w:rPr>
      </w:r>
      <w:r>
        <w:rPr>
          <w:rFonts w:ascii="Times New Roman" w:hAnsi="Times New Roman" w:cs="Times New Roman" w:eastAsia="Times New Roman" w:hint="default"/>
        </w:rPr>
        <w:t>7,500,000.00</w:t>
      </w:r>
      <w:r>
        <w:rPr/>
        <w:t>元，按照收款日至项目结束日共</w:t>
      </w:r>
      <w:r>
        <w:rPr>
          <w:rFonts w:ascii="Times New Roman" w:hAnsi="Times New Roman" w:cs="Times New Roman" w:eastAsia="Times New Roman" w:hint="default"/>
        </w:rPr>
        <w:t>19</w:t>
      </w:r>
      <w:r>
        <w:rPr/>
        <w:t>个月。本公司本年摊销</w:t>
      </w:r>
      <w:r>
        <w:rPr>
          <w:rFonts w:ascii="Times New Roman" w:hAnsi="Times New Roman" w:cs="Times New Roman" w:eastAsia="Times New Roman" w:hint="default"/>
        </w:rPr>
        <w:t>1</w:t>
      </w:r>
      <w:r>
        <w:rPr/>
        <w:t>个月共结转营业外收入</w:t>
      </w:r>
      <w:r>
        <w:rPr>
          <w:rFonts w:ascii="Times New Roman" w:hAnsi="Times New Roman" w:cs="Times New Roman" w:eastAsia="Times New Roman" w:hint="default"/>
        </w:rPr>
        <w:t>394,737.00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7,105,263.00</w:t>
      </w:r>
      <w:r>
        <w:rPr/>
        <w:t>元。</w:t>
      </w:r>
    </w:p>
    <w:p>
      <w:pPr>
        <w:pStyle w:val="BodyText"/>
        <w:spacing w:line="240" w:lineRule="auto" w:before="13"/>
        <w:ind w:left="513" w:right="213"/>
        <w:jc w:val="left"/>
      </w:pPr>
      <w:r>
        <w:rPr/>
        <w:t>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月，本公司全资子公司合肥君正科技有限公司收到合肥市经济和信息化委员会拨付的集成电路流片项</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left="0" w:right="151"/>
        <w:jc w:val="right"/>
      </w:pPr>
      <w:r>
        <w:rPr>
          <w:spacing w:val="-1"/>
        </w:rPr>
        <w:t>目补贴</w:t>
      </w:r>
      <w:r>
        <w:rPr>
          <w:rFonts w:ascii="Times New Roman" w:hAnsi="Times New Roman" w:cs="Times New Roman" w:eastAsia="Times New Roman" w:hint="default"/>
          <w:spacing w:val="-1"/>
        </w:rPr>
        <w:t>300,000.00</w:t>
      </w:r>
      <w:r>
        <w:rPr>
          <w:spacing w:val="-1"/>
        </w:rPr>
        <w:t>元，该项目补贴属于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w:t>
      </w:r>
      <w:r>
        <w:rPr>
          <w:spacing w:val="-1"/>
        </w:rPr>
        <w:t>事后奖补</w:t>
      </w:r>
      <w:r>
        <w:rPr>
          <w:rFonts w:ascii="Times New Roman" w:hAnsi="Times New Roman" w:cs="Times New Roman" w:eastAsia="Times New Roman" w:hint="default"/>
          <w:spacing w:val="-1"/>
        </w:rPr>
        <w:t>”</w:t>
      </w:r>
      <w:r>
        <w:rPr>
          <w:spacing w:val="-1"/>
        </w:rPr>
        <w:t>类两化融合和信息消费奖励项目，于本年一次结转至营业外收入。</w:t>
      </w:r>
      <w:r>
        <w:rPr>
          <w:spacing w:val="-71"/>
        </w:rPr>
        <w:t> </w:t>
      </w:r>
      <w:r>
        <w:rPr/>
        <w:t>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w:t>
      </w:r>
      <w:r>
        <w:rPr>
          <w:spacing w:val="-2"/>
        </w:rPr>
        <w:t>局（以下简称为</w:t>
      </w:r>
      <w:r>
        <w:rPr>
          <w:rFonts w:ascii="Times New Roman" w:hAnsi="Times New Roman" w:cs="Times New Roman" w:eastAsia="Times New Roman" w:hint="default"/>
          <w:spacing w:val="-2"/>
        </w:rPr>
        <w:t>“</w:t>
      </w:r>
      <w:r>
        <w:rPr>
          <w:spacing w:val="-2"/>
        </w:rPr>
        <w:t>甲方</w:t>
      </w:r>
      <w:r>
        <w:rPr>
          <w:rFonts w:ascii="Times New Roman" w:hAnsi="Times New Roman" w:cs="Times New Roman" w:eastAsia="Times New Roman" w:hint="default"/>
          <w:spacing w:val="-2"/>
        </w:rPr>
        <w:t>”</w:t>
      </w:r>
      <w:r>
        <w:rPr>
          <w:spacing w:val="-2"/>
        </w:rPr>
        <w:t>）签订《安徽省集成电路产业集聚发展合肥基地</w:t>
      </w:r>
      <w:r>
        <w:rPr>
          <w:rFonts w:ascii="Times New Roman" w:hAnsi="Times New Roman" w:cs="Times New Roman" w:eastAsia="Times New Roman" w:hint="default"/>
          <w:spacing w:val="-2"/>
        </w:rPr>
        <w:t>2015</w:t>
      </w:r>
      <w:r>
        <w:rPr>
          <w:spacing w:val="-2"/>
        </w:rPr>
        <w:t>年度专项引导资金使用协议书》，协议约定：甲</w:t>
      </w:r>
      <w:r>
        <w:rPr>
          <w:spacing w:val="-59"/>
        </w:rPr>
        <w:t> </w:t>
      </w:r>
      <w:r>
        <w:rPr>
          <w:spacing w:val="-59"/>
        </w:rPr>
      </w:r>
      <w:r>
        <w:rPr/>
        <w:t>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6,000,000.00</w:t>
      </w:r>
      <w:r>
        <w:rPr/>
        <w:t>元拨付给乙方，乙方专款专用于视频监控芯片研发及产业化，专项资金使</w:t>
      </w:r>
      <w:r>
        <w:rPr>
          <w:spacing w:val="-62"/>
        </w:rPr>
        <w:t> </w:t>
      </w:r>
      <w:r>
        <w:rPr>
          <w:spacing w:val="-62"/>
        </w:rPr>
      </w:r>
      <w:r>
        <w:rPr>
          <w:spacing w:val="-2"/>
        </w:rPr>
        <w:t>用期限为：自资金拨付之日至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日。在此期间，乙方使用专项资金，甲方不计收利息，期满后，甲方按协议约定</w:t>
      </w:r>
      <w:r>
        <w:rPr>
          <w:spacing w:val="-78"/>
        </w:rPr>
        <w:t> </w:t>
      </w:r>
      <w:r>
        <w:rPr>
          <w:spacing w:val="-78"/>
        </w:rPr>
      </w:r>
      <w:r>
        <w:rPr>
          <w:spacing w:val="-2"/>
        </w:rPr>
        <w:t>绩效考核目标，组织对乙方项目验收。合肥君正科技有限公司于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月收到合肥高新技术产业开发区招商局拨付的补贴</w:t>
      </w:r>
    </w:p>
    <w:p>
      <w:pPr>
        <w:pStyle w:val="BodyText"/>
        <w:spacing w:line="240" w:lineRule="auto" w:before="13"/>
        <w:ind w:right="0"/>
        <w:jc w:val="left"/>
      </w:pPr>
      <w:r>
        <w:rPr/>
        <w:t>款</w:t>
      </w:r>
      <w:r>
        <w:rPr>
          <w:rFonts w:ascii="Times New Roman" w:hAnsi="Times New Roman" w:cs="Times New Roman" w:eastAsia="Times New Roman" w:hint="default"/>
        </w:rPr>
        <w:t>6,000,000.00</w:t>
      </w:r>
      <w:r>
        <w:rPr/>
        <w:t>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62,400,000.00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62,400,000.00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166,400,000.00</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795,817,178.85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733,417,178.85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795,817,178.85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733,417,178.85</w:t>
            </w:r>
          </w:p>
        </w:tc>
      </w:tr>
    </w:tbl>
    <w:p>
      <w:pPr>
        <w:pStyle w:val="BodyText"/>
        <w:spacing w:line="240" w:lineRule="auto" w:before="49"/>
        <w:ind w:right="0"/>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6"/>
        <w:gridCol w:w="936"/>
        <w:gridCol w:w="797"/>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3"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31" w:right="29"/>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5" w:right="98"/>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8"/>
        <w:gridCol w:w="1079"/>
        <w:gridCol w:w="936"/>
        <w:gridCol w:w="1152"/>
        <w:gridCol w:w="934"/>
        <w:gridCol w:w="936"/>
        <w:gridCol w:w="936"/>
        <w:gridCol w:w="797"/>
      </w:tblGrid>
      <w:tr>
        <w:trPr>
          <w:trHeight w:val="362"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-894,356.88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6,249.48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6,249.48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161" w:hRule="exact"/>
        </w:trPr>
        <w:tc>
          <w:tcPr>
            <w:tcW w:w="2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-894,356.88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6,249.48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6,249.48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2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-894,356.88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6,249.48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6,249.48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391" w:hRule="exact"/>
        </w:trPr>
        <w:tc>
          <w:tcPr>
            <w:tcW w:w="2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26,231,189.77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3,322,722.90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29,553,912.67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26,231,189.77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3,322,722.90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29,553,912.67</w:t>
            </w:r>
          </w:p>
        </w:tc>
      </w:tr>
    </w:tbl>
    <w:p>
      <w:pPr>
        <w:pStyle w:val="BodyText"/>
        <w:spacing w:line="240" w:lineRule="auto" w:before="49"/>
        <w:ind w:right="0"/>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132,266,627.32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152,717,694.29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132,266,627.32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152,717,694.29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32,048,918.72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-10,029,719.23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3,322,722.90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10,421,347.74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160,992,823.14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132,266,627.32</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62,328,766.58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30,787,357.75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55,912,644.05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25,382,860.66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7,776,187.62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682,288.88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3,119,013.22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912,723.71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70,104,954.20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31,469,646.63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59,031,657.27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26,295,584.37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392,763.06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215,750.78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248,822.08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421,578.57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178,964.27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71,092.10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119,309.49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819,315.18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935,603.11</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429,458.19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299,628.84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863,961.72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1,595,490.05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117,843.60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118,877.86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310,229.79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127,358.64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19,975.44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58,694.80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1,741,468.74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2,200,050.19</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532,035.03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429,053.71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1,088,051.80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1,114,602.01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919,938.31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1,129,062.16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10,405,062.47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9,783,818.87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1,733,628.39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1,203,128.40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5,007,292.29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5,558,375.03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794,533.04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877,253.71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2,435,502.52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1,857,942.46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51,001,797.22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42,835,126.30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770,982.40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540,507.97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148,890.15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335,447.11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74,837,713.62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65,664,317.73</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-12,461,701.03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-23,638,610.36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-14,690.61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35,655.57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7,942.15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7,856.80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-12,397,340.80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-23,609,788.60</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114,562.58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-193,866.41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1,818,089.50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7,301,634.52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1,932,652.08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7,107,768.11</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187"/>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-1,753,998.36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5,334,601.19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11,864,985.15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15,445,587.98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1,074,657.39</w:t>
            </w:r>
          </w:p>
        </w:tc>
      </w:tr>
    </w:tbl>
    <w:p>
      <w:pPr>
        <w:pStyle w:val="BodyText"/>
        <w:spacing w:line="240" w:lineRule="auto" w:before="49"/>
        <w:ind w:right="187"/>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290"/>
        <w:gridCol w:w="2269"/>
        <w:gridCol w:w="2624"/>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1,470.87</w:t>
            </w:r>
          </w:p>
        </w:tc>
        <w:tc>
          <w:tcPr>
            <w:tcW w:w="2269"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1,470.87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1,470.87</w:t>
            </w:r>
          </w:p>
        </w:tc>
        <w:tc>
          <w:tcPr>
            <w:tcW w:w="2269"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1,470.87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48,713,825.08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6,218,911.00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48,713,825.08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2,512,877.24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1,365,391.80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537,461.62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160,647.72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537,461.62</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51,765,634.81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7,744,950.52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49,252,757.57</w:t>
            </w:r>
          </w:p>
        </w:tc>
      </w:tr>
    </w:tbl>
    <w:p>
      <w:pPr>
        <w:pStyle w:val="BodyText"/>
        <w:spacing w:line="240" w:lineRule="auto" w:before="49"/>
        <w:ind w:right="187"/>
        <w:jc w:val="left"/>
      </w:pPr>
      <w:r>
        <w:rPr/>
        <w:t>计入当期损益的政府补助：</w:t>
      </w:r>
    </w:p>
    <w:p>
      <w:pPr>
        <w:pStyle w:val="BodyText"/>
        <w:spacing w:line="240" w:lineRule="auto" w:before="117"/>
        <w:ind w:left="0" w:right="19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853"/>
        <w:gridCol w:w="566"/>
        <w:gridCol w:w="1844"/>
        <w:gridCol w:w="847"/>
        <w:gridCol w:w="638"/>
        <w:gridCol w:w="1133"/>
        <w:gridCol w:w="1063"/>
        <w:gridCol w:w="1064"/>
      </w:tblGrid>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73" w:right="110"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CPU/OS </w:t>
            </w:r>
            <w:r>
              <w:rPr>
                <w:rFonts w:ascii="宋体" w:hAnsi="宋体" w:cs="宋体" w:eastAsia="宋体" w:hint="default"/>
                <w:sz w:val="18"/>
                <w:szCs w:val="18"/>
              </w:rPr>
              <w:t>平 板电脑类产品批量应 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工业和信 息化部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44,324,272.08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高密度三维系统集成 技术开发与产业化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江苏省科 学技术厅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1,481,480.00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370,370.00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可穿戴设备移动处理 器芯片的研发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北京市科 学技术委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智能硬件软硬件一体 化安全芯片及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工业和信 息化部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394,737.00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center"/>
              <w:rPr>
                <w:rFonts w:ascii="宋体" w:hAnsi="宋体" w:cs="宋体" w:eastAsia="宋体" w:hint="default"/>
                <w:sz w:val="18"/>
                <w:szCs w:val="18"/>
              </w:rPr>
            </w:pPr>
            <w:r>
              <w:rPr>
                <w:rFonts w:ascii="宋体" w:hAnsi="宋体" w:cs="宋体" w:eastAsia="宋体" w:hint="default"/>
                <w:sz w:val="18"/>
                <w:szCs w:val="18"/>
              </w:rPr>
              <w:t>集成电路流片补贴款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合肥市经 济和信息 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853"/>
        <w:gridCol w:w="566"/>
        <w:gridCol w:w="1844"/>
        <w:gridCol w:w="847"/>
        <w:gridCol w:w="638"/>
        <w:gridCol w:w="1133"/>
        <w:gridCol w:w="1063"/>
        <w:gridCol w:w="1064"/>
      </w:tblGrid>
      <w:tr>
        <w:trPr>
          <w:trHeight w:val="356" w:hRule="exact"/>
        </w:trPr>
        <w:tc>
          <w:tcPr>
            <w:tcW w:w="1702"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84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北京市商 务委员会</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495,546.00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84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领军人才专项项目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both"/>
              <w:rPr>
                <w:rFonts w:ascii="宋体" w:hAnsi="宋体" w:cs="宋体" w:eastAsia="宋体" w:hint="default"/>
                <w:sz w:val="18"/>
                <w:szCs w:val="18"/>
              </w:rPr>
            </w:pPr>
            <w:r>
              <w:rPr>
                <w:rFonts w:ascii="宋体" w:hAnsi="宋体" w:cs="宋体" w:eastAsia="宋体" w:hint="default"/>
                <w:sz w:val="18"/>
                <w:szCs w:val="18"/>
              </w:rPr>
              <w:t>北京市科 学技术委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5"/>
              <w:jc w:val="left"/>
              <w:rPr>
                <w:rFonts w:ascii="宋体" w:hAnsi="宋体" w:cs="宋体" w:eastAsia="宋体" w:hint="default"/>
                <w:sz w:val="18"/>
                <w:szCs w:val="18"/>
              </w:rPr>
            </w:pPr>
            <w:r>
              <w:rPr>
                <w:rFonts w:ascii="宋体" w:hAnsi="宋体" w:cs="宋体" w:eastAsia="宋体" w:hint="default"/>
                <w:sz w:val="18"/>
                <w:szCs w:val="18"/>
              </w:rPr>
              <w:t>政策创新创业团队补 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合肥市高 新区人事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策规定依法取得）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7"/>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“228”</w:t>
            </w:r>
            <w:r>
              <w:rPr>
                <w:rFonts w:ascii="宋体" w:hAnsi="宋体" w:cs="宋体" w:eastAsia="宋体" w:hint="default"/>
                <w:sz w:val="18"/>
                <w:szCs w:val="18"/>
              </w:rPr>
              <w:t>创新团 队补贴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中共合肥 市为组织 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策规定依法取得）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中关村科 技园区管 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5"/>
              <w:jc w:val="left"/>
              <w:rPr>
                <w:rFonts w:ascii="宋体" w:hAnsi="宋体" w:cs="宋体" w:eastAsia="宋体" w:hint="default"/>
                <w:sz w:val="18"/>
                <w:szCs w:val="18"/>
              </w:rPr>
            </w:pPr>
            <w:r>
              <w:rPr>
                <w:rFonts w:ascii="宋体" w:hAnsi="宋体" w:cs="宋体" w:eastAsia="宋体" w:hint="default"/>
                <w:sz w:val="18"/>
                <w:szCs w:val="18"/>
              </w:rPr>
              <w:t>可穿戴设备共性关键 技术研发项目管理费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both"/>
              <w:rPr>
                <w:rFonts w:ascii="宋体" w:hAnsi="宋体" w:cs="宋体" w:eastAsia="宋体" w:hint="default"/>
                <w:sz w:val="18"/>
                <w:szCs w:val="18"/>
              </w:rPr>
            </w:pPr>
            <w:r>
              <w:rPr>
                <w:rFonts w:ascii="宋体" w:hAnsi="宋体" w:cs="宋体" w:eastAsia="宋体" w:hint="default"/>
                <w:sz w:val="18"/>
                <w:szCs w:val="18"/>
              </w:rPr>
              <w:t>北京市科 学技术委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pacing w:val="-3"/>
                <w:sz w:val="18"/>
                <w:szCs w:val="18"/>
              </w:rPr>
              <w:t>因研究开发、技术更新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45"/>
              <w:jc w:val="left"/>
              <w:rPr>
                <w:rFonts w:ascii="宋体" w:hAnsi="宋体" w:cs="宋体" w:eastAsia="宋体" w:hint="default"/>
                <w:sz w:val="18"/>
                <w:szCs w:val="18"/>
              </w:rPr>
            </w:pPr>
            <w:r>
              <w:rPr>
                <w:rFonts w:ascii="宋体" w:hAnsi="宋体" w:cs="宋体" w:eastAsia="宋体" w:hint="default"/>
                <w:sz w:val="18"/>
                <w:szCs w:val="18"/>
              </w:rPr>
              <w:t>中关村企业信用促进 会信用评级补贴款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中关村企 业信用促 进会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策规定依法取得）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702"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84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君正高层次人才补贴</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96"/>
              <w:jc w:val="left"/>
              <w:rPr>
                <w:rFonts w:ascii="宋体" w:hAnsi="宋体" w:cs="宋体" w:eastAsia="宋体" w:hint="default"/>
                <w:sz w:val="18"/>
                <w:szCs w:val="18"/>
              </w:rPr>
            </w:pPr>
            <w:r>
              <w:rPr>
                <w:rFonts w:ascii="宋体" w:hAnsi="宋体" w:cs="宋体" w:eastAsia="宋体" w:hint="default"/>
                <w:sz w:val="18"/>
                <w:szCs w:val="18"/>
              </w:rPr>
              <w:t>高新区招 商局</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20"/>
              <w:jc w:val="left"/>
              <w:rPr>
                <w:rFonts w:ascii="宋体" w:hAnsi="宋体" w:cs="宋体" w:eastAsia="宋体" w:hint="default"/>
                <w:sz w:val="18"/>
                <w:szCs w:val="18"/>
              </w:rPr>
            </w:pP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702"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84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5"/>
              <w:jc w:val="left"/>
              <w:rPr>
                <w:rFonts w:ascii="宋体" w:hAnsi="宋体" w:cs="宋体" w:eastAsia="宋体" w:hint="default"/>
                <w:sz w:val="18"/>
                <w:szCs w:val="18"/>
              </w:rPr>
            </w:pPr>
            <w:r>
              <w:rPr>
                <w:rFonts w:ascii="宋体" w:hAnsi="宋体" w:cs="宋体" w:eastAsia="宋体" w:hint="default"/>
                <w:sz w:val="18"/>
                <w:szCs w:val="18"/>
              </w:rPr>
              <w:t>中关村科技园管委会 党建工作和活动经费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中关村科 技园区管 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策规定依法取得）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2,250.00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专利定额资助金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8"/>
              <w:jc w:val="both"/>
              <w:rPr>
                <w:rFonts w:ascii="宋体" w:hAnsi="宋体" w:cs="宋体" w:eastAsia="宋体" w:hint="default"/>
                <w:sz w:val="18"/>
                <w:szCs w:val="18"/>
              </w:rPr>
            </w:pPr>
            <w:r>
              <w:rPr>
                <w:rFonts w:ascii="宋体" w:hAnsi="宋体" w:cs="宋体" w:eastAsia="宋体" w:hint="default"/>
                <w:sz w:val="18"/>
                <w:szCs w:val="18"/>
              </w:rPr>
              <w:t>合肥市高 新区科技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702"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84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高新区招 商局</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持特定行业、产业而获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得的补助（按国家级政</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940,000.00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9" w:hRule="exact"/>
        </w:trPr>
        <w:tc>
          <w:tcPr>
            <w:tcW w:w="1702"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84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48,713,825.08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1,056,616.00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43,745.83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1,110,885.83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1,963,834.22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1,110,885.83</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26,450.00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1,137,335.83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2,010,780.05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1,137,335.83</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4,544,984.23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675,536.24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-2,759,485.90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5,220,520.47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-2,759,485.90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37,775,385.71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5,096,191.45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-25,607.42</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2,084.24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419,189.54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-557,525.23</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2,066,039.16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-1,779,851.27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5,220,520.47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2,519,907.47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1,473,180.47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1,511,422.73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648,746.40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7,853,705.42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8,129,419.41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62,324,100.00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15,240,998.97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6,905,314.00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89,450,134.59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20,489,960.28</w:t>
            </w:r>
          </w:p>
        </w:tc>
      </w:tr>
    </w:tbl>
    <w:p>
      <w:pPr>
        <w:pStyle w:val="BodyText"/>
        <w:spacing w:line="240" w:lineRule="auto" w:before="49"/>
        <w:ind w:right="0"/>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2,102,539.53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2,131,779.19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18,317,242.76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14,261,088.13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66,816.83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42,949.56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249,737.40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1,684,510.20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20,762,786.52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18,123,527.08</w:t>
            </w:r>
          </w:p>
        </w:tc>
      </w:tr>
    </w:tbl>
    <w:p>
      <w:pPr>
        <w:pStyle w:val="BodyText"/>
        <w:spacing w:line="240" w:lineRule="auto" w:before="49"/>
        <w:ind w:right="0"/>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579.549988pt;width:184.5pt;height:19.6pt;mso-position-horizontal-relative:page;mso-position-vertical-relative:page;z-index:-81116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23.369995pt;margin-top:579.01001pt;width:151.25pt;height:20.65pt;mso-position-horizontal-relative:page;mso-position-vertical-relative:page;z-index:-811144" coordorigin="4467,11580" coordsize="3025,413">
            <v:group style="position:absolute;left:4478;top:11591;width:2;height:392" coordorigin="4478,11591" coordsize="2,392">
              <v:shape style="position:absolute;left:4478;top:11591;width:2;height:392" coordorigin="4478,11591" coordsize="0,392" path="m4478,11591l4478,11982e" filled="false" stroked="true" strokeweight="1.08pt" strokecolor="#ffffff">
                <v:path arrowok="t"/>
              </v:shape>
            </v:group>
            <v:group style="position:absolute;left:4489;top:11591;width:3003;height:392" coordorigin="4489,11591" coordsize="3003,392">
              <v:shape style="position:absolute;left:4489;top:11591;width:3003;height:392" coordorigin="4489,11591" coordsize="3003,392" path="m4489,11982l7492,11982,7492,11591,4489,11591,4489,1198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 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3,057,804.37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3,057,804.37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32,554,865.24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-9,993,563.88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1,932,652.08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7,107,768.11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4,356,852.99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4,193,698.79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1,288,984.20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1,289,205.83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1,502,421.69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1,502,421.60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43,745.83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-15,445,587.98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675,623.74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-2,759,485.90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-2,057,302.46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-4,168,720.65</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8,725,667.39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-118,754.78</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18,711,324.64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2,898,730.93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-989.62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52,242,673.15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-1,080,681.02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43,400,406.14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835,965,400.44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835,965,400.44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847,827,125.03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-792,564,994.30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-11,861,724.59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43,400,406.14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835,965,400.44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42,592.94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194,943.93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43,357,813.20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835,770,456.51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43,400,406.14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835,965,400.44</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spacing w:line="559" w:lineRule="auto" w:before="125"/>
        <w:ind w:left="153" w:right="421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75</w:t>
      </w:r>
      <w:r>
        <w:rPr>
          <w:rFonts w:ascii="宋体" w:hAnsi="宋体" w:cs="宋体" w:eastAsia="宋体" w:hint="default"/>
          <w:b/>
          <w:bCs/>
          <w:sz w:val="20"/>
          <w:szCs w:val="20"/>
        </w:rPr>
        <w:t>、所有者权益变动表项目注释</w:t>
      </w:r>
      <w:r>
        <w:rPr>
          <w:rFonts w:ascii="宋体" w:hAnsi="宋体" w:cs="宋体" w:eastAsia="宋体" w:hint="default"/>
          <w:b/>
          <w:bCs/>
          <w:w w:val="99"/>
          <w:sz w:val="20"/>
          <w:szCs w:val="20"/>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0"/>
          <w:szCs w:val="20"/>
        </w:rPr>
        <w:t>76</w:t>
      </w:r>
      <w:r>
        <w:rPr>
          <w:rFonts w:ascii="宋体" w:hAnsi="宋体" w:cs="宋体" w:eastAsia="宋体" w:hint="default"/>
          <w:b/>
          <w:bCs/>
          <w:sz w:val="20"/>
          <w:szCs w:val="20"/>
        </w:rPr>
        <w:t>、所有权或使用权受到限制的资产</w:t>
      </w:r>
      <w:r>
        <w:rPr>
          <w:rFonts w:ascii="宋体" w:hAnsi="宋体" w:cs="宋体" w:eastAsia="宋体" w:hint="default"/>
          <w:sz w:val="20"/>
          <w:szCs w:val="20"/>
        </w:rPr>
      </w:r>
    </w:p>
    <w:p>
      <w:pPr>
        <w:pStyle w:val="BodyText"/>
        <w:spacing w:line="240" w:lineRule="auto" w:before="56"/>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276,737.45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-37,936.72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-37,936.72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87"/>
        <w:jc w:val="left"/>
      </w:pPr>
      <w:r>
        <w:rPr/>
        <w:t>其他说明：无</w:t>
      </w:r>
    </w:p>
    <w:p>
      <w:pPr>
        <w:spacing w:line="240" w:lineRule="auto" w:before="0"/>
        <w:rPr>
          <w:rFonts w:ascii="宋体" w:hAnsi="宋体" w:cs="宋体" w:eastAsia="宋体" w:hint="default"/>
          <w:sz w:val="18"/>
          <w:szCs w:val="18"/>
        </w:rPr>
      </w:pPr>
    </w:p>
    <w:p>
      <w:pPr>
        <w:pStyle w:val="Heading3"/>
        <w:spacing w:line="273" w:lineRule="auto" w:before="127"/>
        <w:ind w:right="187"/>
        <w:jc w:val="left"/>
        <w:rPr>
          <w:b w:val="0"/>
          <w:bCs w:val="0"/>
        </w:rPr>
      </w:pP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w:t>
      </w:r>
      <w:r>
        <w:rPr>
          <w:spacing w:val="90"/>
          <w:w w:val="95"/>
        </w:rPr>
        <w:t> </w:t>
      </w:r>
      <w:r>
        <w:rPr>
          <w:spacing w:val="90"/>
          <w:w w:val="95"/>
        </w:rPr>
      </w:r>
      <w:r>
        <w:rPr/>
        <w:t>记账本位币发生变化的还应披露原因。</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按照套期类别披露套期项目及相关套期工具、被套期风险的定性和定量信息：无</w:t>
      </w:r>
    </w:p>
    <w:p>
      <w:pPr>
        <w:spacing w:line="240" w:lineRule="auto" w:before="0"/>
        <w:rPr>
          <w:rFonts w:ascii="宋体" w:hAnsi="宋体" w:cs="宋体" w:eastAsia="宋体" w:hint="default"/>
          <w:sz w:val="18"/>
          <w:szCs w:val="18"/>
        </w:rPr>
      </w:pPr>
    </w:p>
    <w:p>
      <w:pPr>
        <w:spacing w:line="499" w:lineRule="auto" w:before="124"/>
        <w:ind w:left="153" w:right="750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79</w:t>
      </w:r>
      <w:r>
        <w:rPr>
          <w:rFonts w:ascii="宋体" w:hAnsi="宋体" w:cs="宋体" w:eastAsia="宋体" w:hint="default"/>
          <w:b/>
          <w:bCs/>
          <w:sz w:val="20"/>
          <w:szCs w:val="20"/>
        </w:rPr>
        <w:t>、其他</w:t>
      </w:r>
      <w:r>
        <w:rPr>
          <w:rFonts w:ascii="宋体" w:hAnsi="宋体" w:cs="宋体" w:eastAsia="宋体" w:hint="default"/>
          <w:b/>
          <w:bCs/>
          <w:w w:val="99"/>
          <w:sz w:val="20"/>
          <w:szCs w:val="20"/>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pStyle w:val="Heading3"/>
        <w:spacing w:line="240" w:lineRule="auto" w:before="96"/>
        <w:ind w:right="187"/>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7"/>
        <w:jc w:val="left"/>
      </w:pPr>
      <w:r>
        <w:rPr/>
        <w:t>是否存在通过多次交易分步实现企业合并且在报告期内取得控制权的交易</w:t>
      </w:r>
    </w:p>
    <w:p>
      <w:pPr>
        <w:pStyle w:val="BodyText"/>
        <w:spacing w:line="240" w:lineRule="auto" w:before="117"/>
        <w:ind w:right="18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187"/>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性交易处理时调整权益的金额及其计算：无</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5"/>
        <w:gridCol w:w="734"/>
        <w:gridCol w:w="734"/>
        <w:gridCol w:w="737"/>
        <w:gridCol w:w="737"/>
        <w:gridCol w:w="737"/>
        <w:gridCol w:w="735"/>
        <w:gridCol w:w="737"/>
      </w:tblGrid>
      <w:tr>
        <w:trPr>
          <w:trHeight w:val="355"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1"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60"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北京君 诚易恒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9"/>
              <w:jc w:val="left"/>
              <w:rPr>
                <w:rFonts w:ascii="宋体" w:hAnsi="宋体" w:cs="宋体" w:eastAsia="宋体" w:hint="default"/>
                <w:sz w:val="18"/>
                <w:szCs w:val="18"/>
              </w:rPr>
            </w:pPr>
            <w:r>
              <w:rPr>
                <w:rFonts w:ascii="宋体" w:hAnsi="宋体" w:cs="宋体" w:eastAsia="宋体" w:hint="default"/>
                <w:sz w:val="18"/>
                <w:szCs w:val="18"/>
              </w:rPr>
              <w:t>工商登 记变更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1,753,99</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8.35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2,004,56</w:t>
            </w:r>
          </w:p>
          <w:p>
            <w:pPr>
              <w:pStyle w:val="TableParagraph"/>
              <w:spacing w:line="240" w:lineRule="auto" w:before="103"/>
              <w:ind w:left="391" w:right="0"/>
              <w:jc w:val="left"/>
              <w:rPr>
                <w:rFonts w:ascii="Times New Roman" w:hAnsi="Times New Roman" w:cs="Times New Roman" w:eastAsia="Times New Roman" w:hint="default"/>
                <w:sz w:val="18"/>
                <w:szCs w:val="18"/>
              </w:rPr>
            </w:pPr>
            <w:r>
              <w:rPr>
                <w:rFonts w:ascii="Times New Roman"/>
                <w:sz w:val="18"/>
              </w:rPr>
              <w:t>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2,004,56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w:t>
      </w:r>
    </w:p>
    <w:p>
      <w:pPr>
        <w:pStyle w:val="BodyText"/>
        <w:spacing w:line="300" w:lineRule="auto" w:before="117"/>
        <w:ind w:right="14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日，本公司与北京君诚易恒科技有限公司其他股东签订股权转让协议，转让本公司所持有的北京君诚易恒 </w:t>
      </w:r>
      <w:r>
        <w:rPr>
          <w:spacing w:val="-1"/>
        </w:rPr>
        <w:t>科技有限公司</w:t>
      </w:r>
      <w:r>
        <w:rPr>
          <w:rFonts w:ascii="Times New Roman" w:hAnsi="Times New Roman" w:cs="Times New Roman" w:eastAsia="Times New Roman" w:hint="default"/>
          <w:spacing w:val="-1"/>
        </w:rPr>
        <w:t>35%</w:t>
      </w:r>
      <w:r>
        <w:rPr>
          <w:spacing w:val="-1"/>
        </w:rPr>
        <w:t>的股权，工商变更手续已于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日完成。转让后本公司持有北京君诚易恒科技有限公司</w:t>
      </w:r>
      <w:r>
        <w:rPr>
          <w:rFonts w:ascii="Times New Roman" w:hAnsi="Times New Roman" w:cs="Times New Roman" w:eastAsia="Times New Roman" w:hint="default"/>
          <w:spacing w:val="-1"/>
        </w:rPr>
        <w:t>40%</w:t>
      </w:r>
      <w:r>
        <w:rPr>
          <w:spacing w:val="-1"/>
        </w:rPr>
        <w:t>的股</w:t>
      </w:r>
      <w:r>
        <w:rPr>
          <w:spacing w:val="-58"/>
        </w:rPr>
        <w:t> </w:t>
      </w:r>
      <w:r>
        <w:rPr>
          <w:spacing w:val="-1"/>
        </w:rPr>
        <w:t>权，本公司对其由控制变为具有重大影响。因此本期只合并北京君诚易恒科技有限公司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1-12</w:t>
      </w:r>
      <w:r>
        <w:rPr>
          <w:spacing w:val="-1"/>
        </w:rPr>
        <w:t>月利润表，期末不再合并</w:t>
      </w:r>
      <w:r>
        <w:rPr>
          <w:spacing w:val="-84"/>
        </w:rPr>
        <w:t> </w:t>
      </w:r>
      <w:r>
        <w:rPr>
          <w:spacing w:val="-84"/>
        </w:rPr>
      </w:r>
      <w:r>
        <w:rPr/>
        <w:t>资产负债表。</w:t>
      </w:r>
    </w:p>
    <w:p>
      <w:pPr>
        <w:pStyle w:val="BodyText"/>
        <w:spacing w:line="240" w:lineRule="auto" w:before="70"/>
        <w:ind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说明其他原因导致的合并范围变动（如，新设子公司、清算子公司等）及其相关情况：无</w:t>
      </w:r>
    </w:p>
    <w:p>
      <w:pPr>
        <w:spacing w:after="0" w:line="24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spacing w:line="499" w:lineRule="auto" w:before="37"/>
        <w:ind w:left="153" w:right="716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pStyle w:val="Heading3"/>
        <w:spacing w:line="240" w:lineRule="auto" w:before="98"/>
        <w:ind w:right="187"/>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404"/>
        <w:gridCol w:w="773"/>
        <w:gridCol w:w="634"/>
        <w:gridCol w:w="1779"/>
        <w:gridCol w:w="708"/>
        <w:gridCol w:w="569"/>
        <w:gridCol w:w="1844"/>
      </w:tblGrid>
      <w:tr>
        <w:trPr>
          <w:trHeight w:val="403" w:hRule="exact"/>
        </w:trPr>
        <w:tc>
          <w:tcPr>
            <w:tcW w:w="3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01" w:right="108"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404"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c>
          <w:tcPr>
            <w:tcW w:w="1779"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4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集成电路开发、销售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集成电路开发、销售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技术开发、技术服务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357" w:lineRule="auto" w:before="49"/>
        <w:ind w:right="1713"/>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6"/>
        <w:ind w:right="6573"/>
        <w:jc w:val="left"/>
      </w:pPr>
      <w:r>
        <w:rPr/>
        <w:t>确定公司是代理人还是委托人的依据：无 其他说明：无</w:t>
      </w:r>
    </w:p>
    <w:p>
      <w:pPr>
        <w:spacing w:line="240" w:lineRule="auto" w:before="11"/>
        <w:rPr>
          <w:rFonts w:ascii="宋体" w:hAnsi="宋体" w:cs="宋体" w:eastAsia="宋体" w:hint="default"/>
          <w:sz w:val="20"/>
          <w:szCs w:val="20"/>
        </w:rPr>
      </w:pPr>
    </w:p>
    <w:p>
      <w:pPr>
        <w:pStyle w:val="Heading3"/>
        <w:spacing w:line="240" w:lineRule="auto"/>
        <w:ind w:right="187"/>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187"/>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87"/>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北京君诚易恒科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在合营企业或联营企业的持股比例不同于表决权比例的说明：无</w:t>
      </w:r>
    </w:p>
    <w:p>
      <w:pPr>
        <w:pStyle w:val="BodyText"/>
        <w:spacing w:line="240" w:lineRule="auto" w:before="117"/>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或以上表决权但不具有重大影响的依据：无</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3"/>
          <w:szCs w:val="23"/>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十二、关联方及关联交易</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13.56%</w:t>
            </w:r>
          </w:p>
        </w:tc>
      </w:tr>
    </w:tbl>
    <w:p>
      <w:pPr>
        <w:pStyle w:val="BodyText"/>
        <w:spacing w:line="300" w:lineRule="auto" w:before="49"/>
        <w:ind w:right="174"/>
        <w:jc w:val="left"/>
      </w:pPr>
      <w:r>
        <w:rPr/>
        <w:t>本企业的母公司情况的说明：刘强与李杰是本公司最大股东，且已签署《一致行动人协议》，二人控股比例合计</w:t>
      </w:r>
      <w:r>
        <w:rPr>
          <w:spacing w:val="-46"/>
        </w:rPr>
        <w:t> </w:t>
      </w:r>
      <w:r>
        <w:rPr>
          <w:rFonts w:ascii="Times New Roman" w:hAnsi="Times New Roman" w:cs="Times New Roman" w:eastAsia="Times New Roman" w:hint="default"/>
        </w:rPr>
        <w:t>34.73%</w:t>
      </w:r>
      <w:r>
        <w:rPr/>
        <w:t>， 故可认定二人是本公司实际控制人。</w:t>
      </w:r>
    </w:p>
    <w:p>
      <w:pPr>
        <w:pStyle w:val="BodyText"/>
        <w:spacing w:line="360" w:lineRule="auto" w:before="70"/>
        <w:ind w:right="7073"/>
        <w:jc w:val="left"/>
      </w:pPr>
      <w:r>
        <w:rPr/>
        <w:t>本企业最终控制方是刘强、李杰。 其他说明：无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北京南山高科技有限公司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深圳市明道汇智投资基金合伙企业（有限合伙）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北京柘益投资中心（有限合伙）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南昌建恩半导体产业投资中心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宁波鼎锋明道汇正投资合伙企业（有限合伙）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深圳市盛耀微电子有限公司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3,548,844.36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1,931,809.57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北京南山高科技有限公司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448,974.92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本公司作为承租方：无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2,432,000.00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2307"/>
        <w:gridCol w:w="1594"/>
        <w:gridCol w:w="1594"/>
        <w:gridCol w:w="1594"/>
        <w:gridCol w:w="1594"/>
      </w:tblGrid>
      <w:tr>
        <w:trPr>
          <w:trHeight w:val="403" w:hRule="exact"/>
        </w:trPr>
        <w:tc>
          <w:tcPr>
            <w:tcW w:w="9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54" w:type="dxa"/>
            <w:vMerge/>
            <w:tcBorders>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北京南山高科技有限公司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168,262.56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1,002,356.84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762,863.00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668,237.93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519,975.37</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5"/>
          <w:szCs w:val="25"/>
        </w:rPr>
      </w:pPr>
    </w:p>
    <w:p>
      <w:pPr>
        <w:spacing w:line="499" w:lineRule="auto" w:before="0"/>
        <w:ind w:left="153" w:right="78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pStyle w:val="BodyText"/>
        <w:spacing w:line="240" w:lineRule="auto" w:before="10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3"/>
          <w:szCs w:val="23"/>
        </w:rPr>
      </w:pPr>
    </w:p>
    <w:p>
      <w:pPr>
        <w:pStyle w:val="Heading2"/>
        <w:spacing w:line="240" w:lineRule="auto"/>
        <w:ind w:right="0"/>
        <w:jc w:val="left"/>
        <w:rPr>
          <w:b w:val="0"/>
          <w:bCs w:val="0"/>
        </w:rPr>
      </w:pPr>
      <w:r>
        <w:rPr/>
        <w:t>十四、承诺及或有事项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十五、资产负债表日后事项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十六、其他重要事项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5"/>
        <w:gridCol w:w="761"/>
        <w:gridCol w:w="763"/>
        <w:gridCol w:w="764"/>
        <w:gridCol w:w="787"/>
        <w:gridCol w:w="655"/>
        <w:gridCol w:w="761"/>
        <w:gridCol w:w="814"/>
        <w:gridCol w:w="934"/>
        <w:gridCol w:w="932"/>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6,229,17</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8.08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6,229,178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1,951,1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37.68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571,894.9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29.31%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1,379,242.7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6,229,17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8.08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6,229,178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1,951,1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37.68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29.31%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6,229,178.08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6,229,178.08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6,229,178.08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5493"/>
        <w:jc w:val="left"/>
      </w:pPr>
      <w:r>
        <w:rPr/>
        <w:t>确定该组合依据的说明：无 组合中，采用余额百分比法计提坏账准备的应收账款：</w:t>
      </w:r>
    </w:p>
    <w:p>
      <w:pPr>
        <w:pStyle w:val="BodyText"/>
        <w:spacing w:line="338" w:lineRule="auto" w:before="29"/>
        <w:ind w:right="5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spacing w:line="240" w:lineRule="auto" w:before="1"/>
        <w:rPr>
          <w:rFonts w:ascii="宋体" w:hAnsi="宋体" w:cs="宋体" w:eastAsia="宋体" w:hint="default"/>
          <w:sz w:val="22"/>
          <w:szCs w:val="22"/>
        </w:rPr>
      </w:pPr>
    </w:p>
    <w:p>
      <w:pPr>
        <w:pStyle w:val="Heading3"/>
        <w:spacing w:line="240" w:lineRule="auto"/>
        <w:ind w:right="18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87"/>
        <w:jc w:val="left"/>
      </w:pPr>
      <w:r>
        <w:rPr/>
        <w:t>本期计提坏账准备金额</w:t>
      </w:r>
      <w:r>
        <w:rPr>
          <w:spacing w:val="-47"/>
        </w:rPr>
        <w:t> </w:t>
      </w:r>
      <w:r>
        <w:rPr>
          <w:rFonts w:ascii="Times New Roman" w:hAnsi="Times New Roman" w:cs="Times New Roman" w:eastAsia="Times New Roman" w:hint="default"/>
        </w:rPr>
        <w:t>69,871.45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641,766.40</w:t>
            </w:r>
          </w:p>
        </w:tc>
      </w:tr>
    </w:tbl>
    <w:p>
      <w:pPr>
        <w:pStyle w:val="BodyText"/>
        <w:spacing w:line="240" w:lineRule="auto" w:before="49"/>
        <w:ind w:right="187"/>
        <w:jc w:val="left"/>
      </w:pPr>
      <w:r>
        <w:rPr/>
        <w:t>其中重要的应收账款核销情况：</w:t>
      </w:r>
    </w:p>
    <w:p>
      <w:pPr>
        <w:pStyle w:val="BodyText"/>
        <w:spacing w:line="240" w:lineRule="auto" w:before="117"/>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深圳悠易阅科技有限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641,766.40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641,766.40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87"/>
        <w:jc w:val="left"/>
      </w:pPr>
      <w:r>
        <w:rPr/>
        <w:t>应收账款核销说明：本期核销深圳悠易阅科技有限公司的应收账款</w:t>
      </w:r>
      <w:r>
        <w:rPr>
          <w:spacing w:val="-49"/>
        </w:rPr>
        <w:t> </w:t>
      </w:r>
      <w:r>
        <w:rPr>
          <w:rFonts w:ascii="Times New Roman" w:hAnsi="Times New Roman" w:cs="Times New Roman" w:eastAsia="Times New Roman" w:hint="default"/>
        </w:rPr>
        <w:t>641,766.40</w:t>
      </w:r>
      <w:r>
        <w:rPr>
          <w:rFonts w:ascii="Times New Roman" w:hAnsi="Times New Roman" w:cs="Times New Roman" w:eastAsia="Times New Roman" w:hint="default"/>
          <w:spacing w:val="-11"/>
        </w:rPr>
        <w:t> </w:t>
      </w:r>
      <w:r>
        <w:rPr/>
        <w:t>元，原因系账龄较长，确定已无法收回。</w:t>
      </w:r>
    </w:p>
    <w:p>
      <w:pPr>
        <w:spacing w:line="240" w:lineRule="auto" w:before="6"/>
        <w:rPr>
          <w:rFonts w:ascii="宋体" w:hAnsi="宋体" w:cs="宋体" w:eastAsia="宋体" w:hint="default"/>
          <w:sz w:val="26"/>
          <w:szCs w:val="26"/>
        </w:rPr>
      </w:pPr>
    </w:p>
    <w:p>
      <w:pPr>
        <w:pStyle w:val="Heading3"/>
        <w:spacing w:line="240" w:lineRule="auto"/>
        <w:ind w:right="187"/>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0" w:firstLine="314"/>
        <w:jc w:val="left"/>
      </w:pPr>
      <w:r>
        <w:rPr>
          <w:spacing w:val="-1"/>
        </w:rPr>
        <w:t>本报告期按欠款方归集的期末余额前五名应收账款汇总金额</w:t>
      </w:r>
      <w:r>
        <w:rPr>
          <w:rFonts w:ascii="Times New Roman" w:hAnsi="Times New Roman" w:cs="Times New Roman" w:eastAsia="Times New Roman" w:hint="default"/>
          <w:spacing w:val="-1"/>
        </w:rPr>
        <w:t>6,198,076.25</w:t>
      </w:r>
      <w:r>
        <w:rPr>
          <w:spacing w:val="-1"/>
        </w:rPr>
        <w:t>元，占应收账款期末余额合计数的比例</w:t>
      </w:r>
      <w:r>
        <w:rPr>
          <w:rFonts w:ascii="Times New Roman" w:hAnsi="Times New Roman" w:cs="Times New Roman" w:eastAsia="Times New Roman" w:hint="default"/>
          <w:spacing w:val="-1"/>
        </w:rPr>
        <w:t>99.51%</w:t>
      </w:r>
      <w:r>
        <w:rPr>
          <w:spacing w:val="-1"/>
        </w:rPr>
        <w:t>，</w:t>
      </w:r>
      <w:r>
        <w:rPr/>
        <w:t> 相应计提的坏账准备期末余额汇总金额</w:t>
      </w:r>
      <w:r>
        <w:rPr>
          <w:rFonts w:ascii="Times New Roman" w:hAnsi="Times New Roman" w:cs="Times New Roman" w:eastAsia="Times New Roman" w:hint="default"/>
        </w:rPr>
        <w:t>0</w:t>
      </w:r>
      <w:r>
        <w:rPr/>
        <w:t>元。</w:t>
      </w:r>
    </w:p>
    <w:p>
      <w:pPr>
        <w:spacing w:line="240" w:lineRule="auto" w:before="12"/>
        <w:rPr>
          <w:rFonts w:ascii="宋体" w:hAnsi="宋体" w:cs="宋体" w:eastAsia="宋体" w:hint="default"/>
          <w:sz w:val="22"/>
          <w:szCs w:val="22"/>
        </w:rPr>
      </w:pPr>
    </w:p>
    <w:p>
      <w:pPr>
        <w:pStyle w:val="Heading3"/>
        <w:spacing w:line="240" w:lineRule="auto"/>
        <w:ind w:right="187"/>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187"/>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87"/>
        <w:jc w:val="left"/>
      </w:pPr>
      <w:r>
        <w:rPr/>
        <w:t>无</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22,690,5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36.99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16,983,4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74.85%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5,707,070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22,065,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276.33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9,947,163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12,118,112.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22,690,5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36.99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16,983,4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66.85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74.85%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5,707,070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22,065,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276.33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9,947,163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12,118,112.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00"/>
        <w:gridCol w:w="2391"/>
        <w:gridCol w:w="2391"/>
      </w:tblGrid>
      <w:tr>
        <w:trPr>
          <w:trHeight w:val="402" w:hRule="exact"/>
        </w:trPr>
        <w:tc>
          <w:tcPr>
            <w:tcW w:w="2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9"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1,165,336.99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58,266.85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1,165,336.99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58,266.85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17,525,200.00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15,725,200.00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22,690,536.99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16,983,466.85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7,036,303.04 </w:t>
      </w:r>
      <w:r>
        <w:rPr/>
        <w:t>元；本期收回或转回坏账准备金额</w:t>
      </w:r>
      <w:r>
        <w:rPr>
          <w:spacing w:val="-46"/>
        </w:rPr>
        <w:t> </w:t>
      </w:r>
      <w:r>
        <w:rPr>
          <w:rFonts w:ascii="Times New Roman" w:hAnsi="Times New Roman" w:cs="Times New Roman" w:eastAsia="Times New Roman" w:hint="default"/>
        </w:rPr>
        <w:t>0 </w:t>
      </w:r>
      <w:r>
        <w:rPr/>
        <w:t>元。</w:t>
      </w:r>
    </w:p>
    <w:p>
      <w:pPr>
        <w:spacing w:after="0" w:line="24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7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22,525,200.00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21,530,315.12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15,336.99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34,961.21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22,690,536.99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22,065,276.33</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7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392"/>
        <w:gridCol w:w="1272"/>
        <w:gridCol w:w="910"/>
        <w:gridCol w:w="1616"/>
        <w:gridCol w:w="1678"/>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6" w:right="77"/>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21,525,200.00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16,925,200.00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13,336.99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666.85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彭丽雪</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22,690,536.99</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16,983,466.85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w:t>
      </w:r>
      <w:r>
        <w:rPr>
          <w:spacing w:val="1"/>
        </w:rPr>
        <w:t> </w:t>
      </w:r>
      <w:r>
        <w:rPr/>
        <w:t>元</w:t>
      </w:r>
    </w:p>
    <w:p>
      <w:pPr>
        <w:spacing w:after="0" w:line="240" w:lineRule="auto"/>
        <w:jc w:val="right"/>
        <w:sectPr>
          <w:pgSz w:w="11910" w:h="16840"/>
          <w:pgMar w:header="745" w:footer="980" w:top="1060" w:bottom="1160" w:left="980" w:right="96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155,700,871.41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155,700,871.41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158,700,871.41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158,700,871.41</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2,004,569.54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2,004,569.54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157,705,440.95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157,705,440.95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158,700,871.41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158,700,871.41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北京君正集成电 </w:t>
            </w:r>
            <w:r>
              <w:rPr>
                <w:rFonts w:ascii="宋体" w:hAnsi="宋体" w:cs="宋体" w:eastAsia="宋体" w:hint="default"/>
                <w:spacing w:val="-6"/>
                <w:sz w:val="18"/>
                <w:szCs w:val="18"/>
              </w:rPr>
              <w:t>路（香港）集团有</w:t>
            </w:r>
            <w:r>
              <w:rPr>
                <w:rFonts w:ascii="宋体" w:hAnsi="宋体" w:cs="宋体" w:eastAsia="宋体" w:hint="default"/>
                <w:sz w:val="18"/>
                <w:szCs w:val="18"/>
              </w:rPr>
              <w:t>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5,700,871.41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北京君诚易恒科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158,700,871.41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155,700,871.41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404,569.5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2,004,569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404,569.5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2,004,569</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bottom w:val="nil" w:sz="6" w:space="0" w:color="auto"/>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9"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.54</w:t>
            </w:r>
          </w:p>
        </w:tc>
        <w:tc>
          <w:tcPr>
            <w:tcW w:w="797"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404,569.5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2,004,569</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bottom w:val="nil" w:sz="6" w:space="0" w:color="auto"/>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9"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.54</w:t>
            </w:r>
          </w:p>
        </w:tc>
        <w:tc>
          <w:tcPr>
            <w:tcW w:w="797"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49,853,544.99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26,008,926.50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51,433,212.11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26,351,077.23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7,776,187.62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682,288.88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3,119,013.22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912,723.71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57,629,732.61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26,691,215.38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54,552,225.33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27,263,800.94</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809,514.44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5,334,601.19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9,476,227.94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1,074,657.39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14,220,343.57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1,074,657.39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3"/>
          <w:szCs w:val="23"/>
        </w:rPr>
      </w:pPr>
    </w:p>
    <w:p>
      <w:pPr>
        <w:pStyle w:val="Heading2"/>
        <w:spacing w:line="240" w:lineRule="auto"/>
        <w:ind w:right="0"/>
        <w:jc w:val="left"/>
        <w:rPr>
          <w:b w:val="0"/>
          <w:bCs w:val="0"/>
        </w:rPr>
      </w:pPr>
      <w:r>
        <w:rPr/>
        <w:t>十八、补充资料</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-1,752,527.49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9" w:space="0" w:color="D2D2D2"/>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48,713,825.08</w:t>
            </w:r>
          </w:p>
        </w:tc>
        <w:tc>
          <w:tcPr>
            <w:tcW w:w="3186" w:type="dxa"/>
            <w:vMerge/>
            <w:tcBorders>
              <w:left w:val="single" w:sz="4" w:space="0" w:color="000000"/>
              <w:right w:val="single" w:sz="4" w:space="0" w:color="000000"/>
            </w:tcBorders>
          </w:tcPr>
          <w:p>
            <w:pPr/>
          </w:p>
        </w:tc>
      </w:tr>
      <w:tr>
        <w:trPr>
          <w:trHeight w:val="354"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nil" w:sz="6" w:space="0" w:color="auto"/>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35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9" w:space="0" w:color="D2D2D2"/>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17,199,586.34</w:t>
            </w:r>
          </w:p>
        </w:tc>
        <w:tc>
          <w:tcPr>
            <w:tcW w:w="3186" w:type="dxa"/>
            <w:vMerge/>
            <w:tcBorders>
              <w:left w:val="single" w:sz="4" w:space="0" w:color="000000"/>
              <w:right w:val="single" w:sz="4" w:space="0" w:color="000000"/>
            </w:tcBorders>
          </w:tcPr>
          <w:p>
            <w:pPr/>
          </w:p>
        </w:tc>
      </w:tr>
      <w:tr>
        <w:trPr>
          <w:trHeight w:val="319"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71" w:type="dxa"/>
            <w:tcBorders>
              <w:top w:val="nil" w:sz="6" w:space="0" w:color="auto"/>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12"/>
        <w:gridCol w:w="3071"/>
        <w:gridCol w:w="3186"/>
      </w:tblGrid>
      <w:tr>
        <w:trPr>
          <w:trHeight w:val="675"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38"/>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-599,874.21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9,218,969.02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54,341,997.58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-0.1340</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73" w:lineRule="auto"/>
        <w:ind w:right="0"/>
        <w:jc w:val="left"/>
        <w:rPr>
          <w:b w:val="0"/>
          <w:bCs w:val="0"/>
        </w:rPr>
      </w:pPr>
      <w:r>
        <w:rPr>
          <w:spacing w:val="-1"/>
          <w:w w:val="95"/>
        </w:rPr>
        <w:t>（</w:t>
      </w:r>
      <w:r>
        <w:rPr>
          <w:rFonts w:ascii="Times New Roman" w:hAnsi="Times New Roman" w:cs="Times New Roman" w:eastAsia="Times New Roman" w:hint="default"/>
          <w:spacing w:val="-1"/>
          <w:w w:val="95"/>
        </w:rPr>
        <w:t>3</w:t>
      </w:r>
      <w:r>
        <w:rPr>
          <w:spacing w:val="-1"/>
          <w:w w:val="95"/>
        </w:rPr>
        <w:t>）境内外会计准则下会计数据差异原因说明，对已经境外审计机构审计的数据进行差异调节的，应注明该境</w:t>
      </w:r>
      <w:r>
        <w:rPr>
          <w:spacing w:val="37"/>
          <w:w w:val="95"/>
        </w:rPr>
        <w:t> </w:t>
      </w:r>
      <w:r>
        <w:rPr>
          <w:spacing w:val="37"/>
          <w:w w:val="95"/>
        </w:rPr>
      </w:r>
      <w:r>
        <w:rPr/>
        <w:t>外机构的名称</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_TOC_250000" w:id="11"/>
      <w:r>
        <w:rPr/>
        <w:t>第十一节</w:t>
      </w:r>
      <w:r>
        <w:rPr>
          <w:spacing w:val="-5"/>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7"/>
        <w:ind w:right="0"/>
        <w:jc w:val="left"/>
      </w:pPr>
      <w:r>
        <w:rPr/>
        <w:t>（三）报告期内在中国证监会指定网站上公开披露过的所有公司文件的正本及公告的原稿。</w:t>
      </w:r>
    </w:p>
    <w:p>
      <w:pPr>
        <w:pStyle w:val="BodyText"/>
        <w:spacing w:line="240" w:lineRule="auto" w:before="115"/>
        <w:ind w:right="0"/>
        <w:jc w:val="left"/>
      </w:pPr>
      <w:r>
        <w:rPr/>
        <w:t>（四）在其它证券市场公布的年度报告。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240" w:lineRule="auto"/>
        <w:ind w:left="6463" w:right="0" w:firstLine="809"/>
        <w:jc w:val="left"/>
      </w:pPr>
      <w:r>
        <w:rPr/>
        <w:t>北京君正集成电路股份有限公司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tabs>
          <w:tab w:pos="9833" w:val="left" w:leader="none"/>
        </w:tabs>
        <w:spacing w:line="240" w:lineRule="auto"/>
        <w:ind w:left="6463" w:right="0"/>
        <w:jc w:val="left"/>
        <w:rPr>
          <w:rFonts w:ascii="Times New Roman" w:hAnsi="Times New Roman" w:cs="Times New Roman" w:eastAsia="Times New Roman" w:hint="default"/>
        </w:rPr>
      </w:pPr>
      <w:r>
        <w:rPr/>
        <w:t>法定代表人：刘强</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BodyText"/>
        <w:spacing w:line="240" w:lineRule="auto" w:before="44"/>
        <w:ind w:left="0" w:right="150"/>
        <w:jc w:val="right"/>
      </w:pPr>
      <w:r>
        <w:rPr/>
        <w:t>二○一六年三月二十五日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13892pt;width:6.5pt;height:11pt;mso-position-horizontal-relative:page;mso-position-vertical-relative:page;z-index:-812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33899pt;width:13.15pt;height:11pt;mso-position-horizontal-relative:page;mso-position-vertical-relative:page;z-index:-812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33899pt;width:13.15pt;height:11pt;mso-position-horizontal-relative:page;mso-position-vertical-relative:page;z-index:-812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33899pt;width:15.7pt;height:11pt;mso-position-horizontal-relative:page;mso-position-vertical-relative:page;z-index:-8127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33899pt;width:17.7pt;height:11pt;mso-position-horizontal-relative:page;mso-position-vertical-relative:page;z-index:-812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812800"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ingenic.com/" TargetMode="External"/><Relationship Id="rId10" Type="http://schemas.openxmlformats.org/officeDocument/2006/relationships/hyperlink" Target="mailto:investors@ingenic.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北京君正集成电路股份有限公司</dc:creator>
  <dc:title>北京君正集成电路股份有限公司2015年年度报告全文</dc:title>
  <dcterms:created xsi:type="dcterms:W3CDTF">2020-05-04T16:18:06Z</dcterms:created>
  <dcterms:modified xsi:type="dcterms:W3CDTF">2020-05-04T16:18:06Z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Office Word 2007</vt:lpwstr>
  </property>
  <property fmtid="{D5CDD505-2E9C-101B-9397-08002B2CF9AE}" pid="4" name="LastSaved">
    <vt:filetime>2020-05-04T00:00:00Z</vt:filetime>
  </property>
</Properties>
</file>