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6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409700" cy="6096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700"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北京君正集成电路股份有限公司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4"/>
        <w:rPr>
          <w:rFonts w:ascii="宋体" w:hAnsi="宋体" w:cs="宋体" w:eastAsia="宋体" w:hint="default"/>
          <w:b/>
          <w:bCs/>
          <w:sz w:val="32"/>
          <w:szCs w:val="32"/>
        </w:rPr>
      </w:pPr>
    </w:p>
    <w:p>
      <w:pPr>
        <w:pStyle w:val="Heading2"/>
        <w:spacing w:line="240" w:lineRule="auto"/>
        <w:ind w:left="2421" w:right="2421"/>
        <w:jc w:val="center"/>
        <w:rPr>
          <w:rFonts w:ascii="Times New Roman" w:hAnsi="Times New Roman" w:cs="Times New Roman" w:eastAsia="Times New Roman" w:hint="default"/>
          <w:b w:val="0"/>
          <w:bCs w:val="0"/>
        </w:rPr>
      </w:pPr>
      <w:r>
        <w:rPr>
          <w:rFonts w:ascii="Times New Roman"/>
        </w:rPr>
        <w:t>2018-020</w:t>
      </w:r>
      <w:r>
        <w:rPr>
          <w:rFonts w:ascii="Times New Roman"/>
          <w:b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53"/>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公司负责人刘强、主管会计工作负责人叶飞及会计机构负责人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李莉声明：保证年度报告中财务报告的真实、准确、完整。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60"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、产品开发风险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集成电路行业技术更新快、市场竞争激烈，需要公司不断推出新产品，同</w:t>
      </w:r>
      <w:r>
        <w:rPr>
          <w:rFonts w:ascii="宋体" w:hAnsi="宋体" w:cs="宋体" w:eastAsia="宋体" w:hint="default"/>
          <w:spacing w:val="2"/>
          <w:sz w:val="28"/>
          <w:szCs w:val="28"/>
        </w:rPr>
      </w:r>
    </w:p>
    <w:p>
      <w:pPr>
        <w:spacing w:line="408" w:lineRule="auto" w:before="0"/>
        <w:ind w:left="152" w:right="161" w:firstLine="0"/>
        <w:jc w:val="both"/>
        <w:rPr>
          <w:rFonts w:ascii="宋体" w:hAnsi="宋体" w:cs="宋体" w:eastAsia="宋体" w:hint="default"/>
          <w:sz w:val="28"/>
          <w:szCs w:val="28"/>
        </w:rPr>
      </w:pPr>
      <w:r>
        <w:rPr>
          <w:rFonts w:ascii="宋体" w:hAnsi="宋体" w:cs="宋体" w:eastAsia="宋体" w:hint="default"/>
          <w:b/>
          <w:bCs/>
          <w:spacing w:val="2"/>
          <w:sz w:val="28"/>
          <w:szCs w:val="28"/>
        </w:rPr>
        <w:t>时集成电路生产工艺不断发展，新工艺产品需要的资金投入不断提高，产品研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发难度也不断增大，如公司开发的产品不能很好地符合市场需求，则可能会对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公司的市场销售带来不利影响，使经营风险随之加大。公司将加强市场调研，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加强产品立项评估管理，慎重进行产品开发决策；产品研发上加强研发管理，</w:t>
      </w:r>
      <w:r>
        <w:rPr>
          <w:rFonts w:ascii="宋体" w:hAnsi="宋体" w:cs="宋体" w:eastAsia="宋体" w:hint="default"/>
          <w:b/>
          <w:bCs/>
          <w:w w:val="99"/>
          <w:sz w:val="28"/>
          <w:szCs w:val="28"/>
        </w:rPr>
        <w:t> </w:t>
      </w:r>
      <w:r>
        <w:rPr>
          <w:rFonts w:ascii="宋体" w:hAnsi="宋体" w:cs="宋体" w:eastAsia="宋体" w:hint="default"/>
          <w:b/>
          <w:bCs/>
          <w:spacing w:val="2"/>
          <w:sz w:val="28"/>
          <w:szCs w:val="28"/>
        </w:rPr>
        <w:t>优化产品开发流程，努力保障产品研发的成功率，同时加强自主核心技术的研</w:t>
      </w:r>
      <w:r>
        <w:rPr>
          <w:rFonts w:ascii="宋体" w:hAnsi="宋体" w:cs="宋体" w:eastAsia="宋体" w:hint="default"/>
          <w:b/>
          <w:bCs/>
          <w:w w:val="99"/>
          <w:sz w:val="28"/>
          <w:szCs w:val="28"/>
        </w:rPr>
        <w:t> </w:t>
      </w:r>
      <w:r>
        <w:rPr>
          <w:rFonts w:ascii="宋体" w:hAnsi="宋体" w:cs="宋体" w:eastAsia="宋体" w:hint="default"/>
          <w:b/>
          <w:bCs/>
          <w:sz w:val="28"/>
          <w:szCs w:val="28"/>
        </w:rPr>
        <w:t>发，控制新产品开发过程中的资金投入。</w:t>
      </w:r>
      <w:r>
        <w:rPr>
          <w:rFonts w:ascii="宋体" w:hAnsi="宋体" w:cs="宋体" w:eastAsia="宋体" w:hint="default"/>
          <w:sz w:val="28"/>
          <w:szCs w:val="28"/>
        </w:rPr>
      </w:r>
    </w:p>
    <w:p>
      <w:pPr>
        <w:spacing w:before="162"/>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、市场拓展风险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目前公司重点布局物联网、智能家居、智能视频等市场领域，预计公司在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重点市场的销售收入将持续增长。重点市场的推广情况对公司未来发展至关重</w:t>
      </w:r>
      <w:r>
        <w:rPr>
          <w:rFonts w:ascii="宋体" w:hAnsi="宋体" w:cs="宋体" w:eastAsia="宋体" w:hint="default"/>
          <w:b/>
          <w:bCs/>
          <w:w w:val="99"/>
          <w:sz w:val="28"/>
          <w:szCs w:val="28"/>
        </w:rPr>
        <w:t> </w:t>
      </w:r>
      <w:r>
        <w:rPr>
          <w:rFonts w:ascii="宋体" w:hAnsi="宋体" w:cs="宋体" w:eastAsia="宋体" w:hint="default"/>
          <w:b/>
          <w:bCs/>
          <w:spacing w:val="2"/>
          <w:sz w:val="28"/>
          <w:szCs w:val="28"/>
        </w:rPr>
        <w:t>要，如在上述市场不能获得良好的预期收入，将会对公司发展产生不利影响。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公司将不断加强市场销售力量，密切把握市场发展动向，根据市场变化及时调</w:t>
      </w:r>
      <w:r>
        <w:rPr>
          <w:rFonts w:ascii="宋体" w:hAnsi="宋体" w:cs="宋体" w:eastAsia="宋体" w:hint="default"/>
          <w:b/>
          <w:bCs/>
          <w:w w:val="99"/>
          <w:sz w:val="28"/>
          <w:szCs w:val="28"/>
        </w:rPr>
        <w:t> </w:t>
      </w:r>
      <w:r>
        <w:rPr>
          <w:rFonts w:ascii="宋体" w:hAnsi="宋体" w:cs="宋体" w:eastAsia="宋体" w:hint="default"/>
          <w:b/>
          <w:bCs/>
          <w:sz w:val="28"/>
          <w:szCs w:val="28"/>
        </w:rPr>
        <w:t>整市场策略，充分发挥公司的技术优势和产品优势，加快产品的市场推广。</w:t>
      </w:r>
      <w:r>
        <w:rPr>
          <w:rFonts w:ascii="宋体" w:hAnsi="宋体" w:cs="宋体" w:eastAsia="宋体" w:hint="default"/>
          <w:sz w:val="28"/>
          <w:szCs w:val="28"/>
        </w:rPr>
      </w:r>
    </w:p>
    <w:p>
      <w:pPr>
        <w:spacing w:before="162"/>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、新技术研发风险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5" w:lineRule="auto" w:before="0"/>
        <w:ind w:left="152" w:right="251"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年，人工智能领域的关键性技术快速发展，人工智能技术的市场应用</w:t>
      </w:r>
      <w:r>
        <w:rPr>
          <w:rFonts w:ascii="宋体" w:hAnsi="宋体" w:cs="宋体" w:eastAsia="宋体" w:hint="default"/>
          <w:b/>
          <w:bCs/>
          <w:w w:val="99"/>
          <w:sz w:val="28"/>
          <w:szCs w:val="28"/>
        </w:rPr>
        <w:t> </w:t>
      </w:r>
      <w:r>
        <w:rPr>
          <w:rFonts w:ascii="宋体" w:hAnsi="宋体" w:cs="宋体" w:eastAsia="宋体" w:hint="default"/>
          <w:b/>
          <w:bCs/>
          <w:spacing w:val="2"/>
          <w:sz w:val="28"/>
          <w:szCs w:val="28"/>
        </w:rPr>
        <w:t>逐渐落地，为及时抓住电子市场的发展机会，公司进行了计算机视觉和机器学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2"/>
          <w:sz w:val="28"/>
          <w:szCs w:val="28"/>
        </w:rPr>
        <w:t>习方面的技术与产品研发。由于人工智能领域的新技术具有一定的前沿性和探</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索性，技术研发成果具有一定的不确定性，同时，新技术的研发将可能带来研</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2"/>
          <w:sz w:val="28"/>
          <w:szCs w:val="28"/>
        </w:rPr>
        <w:t>发费用的进一步增加。公司将密切关注人工智能领域的技术动态和市场发展，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加强技术研发的市场调研、可行性研究和分析论证，根据市场需求情况和技术</w:t>
      </w:r>
      <w:r>
        <w:rPr>
          <w:rFonts w:ascii="宋体" w:hAnsi="宋体" w:cs="宋体" w:eastAsia="宋体" w:hint="default"/>
          <w:b/>
          <w:bCs/>
          <w:w w:val="99"/>
          <w:sz w:val="28"/>
          <w:szCs w:val="28"/>
        </w:rPr>
        <w:t> </w:t>
      </w:r>
      <w:r>
        <w:rPr>
          <w:rFonts w:ascii="宋体" w:hAnsi="宋体" w:cs="宋体" w:eastAsia="宋体" w:hint="default"/>
          <w:b/>
          <w:bCs/>
          <w:sz w:val="28"/>
          <w:szCs w:val="28"/>
        </w:rPr>
        <w:t>发展动态及时调整和优化新技术的研发工作。</w:t>
      </w:r>
      <w:r>
        <w:rPr>
          <w:rFonts w:ascii="宋体" w:hAnsi="宋体" w:cs="宋体" w:eastAsia="宋体" w:hint="default"/>
          <w:sz w:val="28"/>
          <w:szCs w:val="28"/>
        </w:rPr>
      </w:r>
    </w:p>
    <w:p>
      <w:pPr>
        <w:spacing w:line="448" w:lineRule="auto" w:before="165"/>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、毛利率下降的风险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近几年来，电子行业竞争不断加剧，导致电子产品生命周期缩短，产品价</w:t>
      </w:r>
      <w:r>
        <w:rPr>
          <w:rFonts w:ascii="宋体" w:hAnsi="宋体" w:cs="宋体" w:eastAsia="宋体" w:hint="default"/>
          <w:spacing w:val="2"/>
          <w:sz w:val="28"/>
          <w:szCs w:val="28"/>
        </w:rPr>
      </w:r>
    </w:p>
    <w:p>
      <w:pPr>
        <w:spacing w:line="408" w:lineRule="auto" w:before="14"/>
        <w:ind w:left="15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格不断下滑，芯片产品的价格也呈下降趋势，从而可能导致公司产品毛利率不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断下降；尤其在公司重点推广的智能视频领域，市场竞争较为激烈，产品毛利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率总体水平偏低，如市场竞争情况进一步加剧，可能会进一步导致产品毛利率</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的下降。公司将加强成本费用的管理，加大市场推广力度，努力提高产品销量，</w:t>
      </w:r>
      <w:r>
        <w:rPr>
          <w:rFonts w:ascii="宋体" w:hAnsi="宋体" w:cs="宋体" w:eastAsia="宋体" w:hint="default"/>
          <w:b/>
          <w:bCs/>
          <w:spacing w:val="-131"/>
          <w:sz w:val="28"/>
          <w:szCs w:val="28"/>
        </w:rPr>
        <w:t> </w:t>
      </w:r>
      <w:r>
        <w:rPr>
          <w:rFonts w:ascii="宋体" w:hAnsi="宋体" w:cs="宋体" w:eastAsia="宋体" w:hint="default"/>
          <w:b/>
          <w:bCs/>
          <w:spacing w:val="-131"/>
          <w:sz w:val="28"/>
          <w:szCs w:val="28"/>
        </w:rPr>
      </w:r>
      <w:r>
        <w:rPr>
          <w:rFonts w:ascii="宋体" w:hAnsi="宋体" w:cs="宋体" w:eastAsia="宋体" w:hint="default"/>
          <w:b/>
          <w:bCs/>
          <w:spacing w:val="2"/>
          <w:sz w:val="28"/>
          <w:szCs w:val="28"/>
        </w:rPr>
        <w:t>以保持良好的盈利水平，同时不断开发新产品，开拓新的应用领域，提高公司</w:t>
      </w:r>
      <w:r>
        <w:rPr>
          <w:rFonts w:ascii="宋体" w:hAnsi="宋体" w:cs="宋体" w:eastAsia="宋体" w:hint="default"/>
          <w:b/>
          <w:bCs/>
          <w:w w:val="99"/>
          <w:sz w:val="28"/>
          <w:szCs w:val="28"/>
        </w:rPr>
        <w:t> </w:t>
      </w:r>
      <w:r>
        <w:rPr>
          <w:rFonts w:ascii="宋体" w:hAnsi="宋体" w:cs="宋体" w:eastAsia="宋体" w:hint="default"/>
          <w:b/>
          <w:bCs/>
          <w:sz w:val="28"/>
          <w:szCs w:val="28"/>
        </w:rPr>
        <w:t>总体的产品毛利率水平。</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8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48" w:lineRule="auto" w:before="14"/>
        <w:ind w:left="714" w:right="238"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、技术人员人力成本增加的风险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公司研发投入中技术人员的薪酬和福利费支出所占比重较大。近几年</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设</w:t>
      </w:r>
      <w:r>
        <w:rPr>
          <w:rFonts w:ascii="宋体" w:hAnsi="宋体" w:cs="宋体" w:eastAsia="宋体" w:hint="default"/>
          <w:sz w:val="28"/>
          <w:szCs w:val="28"/>
        </w:rPr>
      </w:r>
    </w:p>
    <w:p>
      <w:pPr>
        <w:spacing w:line="333" w:lineRule="exact" w:before="0"/>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计领域高技术人才的薪酬水平不断提高，公司技术人力成本可能会进一步增加，</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52" w:right="261" w:firstLine="0"/>
        <w:jc w:val="both"/>
        <w:rPr>
          <w:rFonts w:ascii="宋体" w:hAnsi="宋体" w:cs="宋体" w:eastAsia="宋体" w:hint="default"/>
          <w:sz w:val="28"/>
          <w:szCs w:val="28"/>
        </w:rPr>
      </w:pPr>
      <w:r>
        <w:rPr>
          <w:rFonts w:ascii="宋体" w:hAnsi="宋体" w:cs="宋体" w:eastAsia="宋体" w:hint="default"/>
          <w:b/>
          <w:bCs/>
          <w:spacing w:val="2"/>
          <w:sz w:val="28"/>
          <w:szCs w:val="28"/>
        </w:rPr>
        <w:t>从而导致研发支出不断增长。公司将进一步完善薪酬福利制度，对员工进行多</w:t>
      </w:r>
      <w:r>
        <w:rPr>
          <w:rFonts w:ascii="宋体" w:hAnsi="宋体" w:cs="宋体" w:eastAsia="宋体" w:hint="default"/>
          <w:b/>
          <w:bCs/>
          <w:w w:val="99"/>
          <w:sz w:val="28"/>
          <w:szCs w:val="28"/>
        </w:rPr>
        <w:t> </w:t>
      </w:r>
      <w:r>
        <w:rPr>
          <w:rFonts w:ascii="宋体" w:hAnsi="宋体" w:cs="宋体" w:eastAsia="宋体" w:hint="default"/>
          <w:b/>
          <w:bCs/>
          <w:spacing w:val="2"/>
          <w:sz w:val="28"/>
          <w:szCs w:val="28"/>
        </w:rPr>
        <w:t>种方式的激励，同时通过聚焦重点市场领域、适当控制研发人员规模，在寻求</w:t>
      </w:r>
      <w:r>
        <w:rPr>
          <w:rFonts w:ascii="宋体" w:hAnsi="宋体" w:cs="宋体" w:eastAsia="宋体" w:hint="default"/>
          <w:b/>
          <w:bCs/>
          <w:w w:val="99"/>
          <w:sz w:val="28"/>
          <w:szCs w:val="28"/>
        </w:rPr>
        <w:t> </w:t>
      </w:r>
      <w:r>
        <w:rPr>
          <w:rFonts w:ascii="宋体" w:hAnsi="宋体" w:cs="宋体" w:eastAsia="宋体" w:hint="default"/>
          <w:b/>
          <w:bCs/>
          <w:sz w:val="28"/>
          <w:szCs w:val="28"/>
        </w:rPr>
        <w:t>发展的同时合理控制费用的支出。</w:t>
      </w:r>
      <w:r>
        <w:rPr>
          <w:rFonts w:ascii="宋体" w:hAnsi="宋体" w:cs="宋体" w:eastAsia="宋体" w:hint="default"/>
          <w:sz w:val="28"/>
          <w:szCs w:val="28"/>
        </w:rPr>
      </w:r>
    </w:p>
    <w:p>
      <w:pPr>
        <w:spacing w:line="448" w:lineRule="auto" w:before="160"/>
        <w:ind w:left="714" w:right="10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、投资收购风险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根据公司的战略规划，公司将围绕产业链不断寻求产业投资与并购的机会，</w:t>
      </w:r>
      <w:r>
        <w:rPr>
          <w:rFonts w:ascii="宋体" w:hAnsi="宋体" w:cs="宋体" w:eastAsia="宋体" w:hint="default"/>
          <w:spacing w:val="-2"/>
          <w:sz w:val="28"/>
          <w:szCs w:val="28"/>
        </w:rPr>
      </w:r>
    </w:p>
    <w:p>
      <w:pPr>
        <w:spacing w:line="408" w:lineRule="auto" w:before="14"/>
        <w:ind w:left="15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并加强对投资、收购标的的前期调研和后期培育，但由于产业发展、市场变化、</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标的企业经营状况等方面都可能存在一定的不确定性，因此可能会出现投资、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并购不成功的风险，从而影响公司的经营业绩。公司将秉承谨慎的投资风格，</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对投资标的进行充分调研，加强投资方面的风险控制，以保障公司的健康发展。</w:t>
      </w:r>
      <w:r>
        <w:rPr>
          <w:rFonts w:ascii="宋体" w:hAnsi="宋体" w:cs="宋体" w:eastAsia="宋体" w:hint="default"/>
          <w:spacing w:val="-2"/>
          <w:sz w:val="28"/>
          <w:szCs w:val="28"/>
        </w:rPr>
      </w:r>
    </w:p>
    <w:p>
      <w:pPr>
        <w:spacing w:line="446" w:lineRule="auto" w:before="162"/>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、募投项目实施的风险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公司募集资金投资项目是根据市场发展的需要，围绕公司的主营业务展开</w:t>
      </w:r>
      <w:r>
        <w:rPr>
          <w:rFonts w:ascii="宋体" w:hAnsi="宋体" w:cs="宋体" w:eastAsia="宋体" w:hint="default"/>
          <w:spacing w:val="2"/>
          <w:sz w:val="28"/>
          <w:szCs w:val="28"/>
        </w:rPr>
      </w:r>
    </w:p>
    <w:p>
      <w:pPr>
        <w:spacing w:line="408" w:lineRule="auto" w:before="16"/>
        <w:ind w:left="152" w:right="256" w:firstLine="0"/>
        <w:jc w:val="both"/>
        <w:rPr>
          <w:rFonts w:ascii="宋体" w:hAnsi="宋体" w:cs="宋体" w:eastAsia="宋体" w:hint="default"/>
          <w:sz w:val="28"/>
          <w:szCs w:val="28"/>
        </w:rPr>
      </w:pPr>
      <w:r>
        <w:rPr>
          <w:rFonts w:ascii="宋体" w:hAnsi="宋体" w:cs="宋体" w:eastAsia="宋体" w:hint="default"/>
          <w:b/>
          <w:bCs/>
          <w:spacing w:val="2"/>
          <w:sz w:val="28"/>
          <w:szCs w:val="28"/>
        </w:rPr>
        <w:t>的，符合国家产业政策，并将进一步提高公司的研发实力和产品竞争力，有助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于公司进一步拓宽发展空间。但由于在芯片的研发和市场推广过程中，面临着</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技术替代、政策环境变化、用户需求及市场供求关系改变、产业格局变化等不</w:t>
      </w:r>
      <w:r>
        <w:rPr>
          <w:rFonts w:ascii="宋体" w:hAnsi="宋体" w:cs="宋体" w:eastAsia="宋体" w:hint="default"/>
          <w:b/>
          <w:bCs/>
          <w:w w:val="99"/>
          <w:sz w:val="28"/>
          <w:szCs w:val="28"/>
        </w:rPr>
        <w:t> </w:t>
      </w:r>
      <w:r>
        <w:rPr>
          <w:rFonts w:ascii="宋体" w:hAnsi="宋体" w:cs="宋体" w:eastAsia="宋体" w:hint="default"/>
          <w:b/>
          <w:bCs/>
          <w:spacing w:val="2"/>
          <w:sz w:val="28"/>
          <w:szCs w:val="28"/>
        </w:rPr>
        <w:t>确定因素。如市场发生重大变化，或公司推出的新产品无法满足市场需求，将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可能影响募投项目的效益实现。公司将加强对募投项目的管理和监督，根据市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场变化情况及时调整公司募投项目，从技术、市场和管理等各个环节保障募投</w:t>
      </w:r>
      <w:r>
        <w:rPr>
          <w:rFonts w:ascii="宋体" w:hAnsi="宋体" w:cs="宋体" w:eastAsia="宋体" w:hint="default"/>
          <w:b/>
          <w:bCs/>
          <w:w w:val="99"/>
          <w:sz w:val="28"/>
          <w:szCs w:val="28"/>
        </w:rPr>
        <w:t> </w:t>
      </w:r>
      <w:r>
        <w:rPr>
          <w:rFonts w:ascii="宋体" w:hAnsi="宋体" w:cs="宋体" w:eastAsia="宋体" w:hint="default"/>
          <w:b/>
          <w:bCs/>
          <w:sz w:val="28"/>
          <w:szCs w:val="28"/>
        </w:rPr>
        <w:t>项目的顺利实施。</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980" w:top="1060" w:bottom="1160" w:left="980" w:right="8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167,067,073</w:t>
      </w:r>
      <w:r>
        <w:rPr>
          <w:rFonts w:ascii="Times New Roman" w:hAnsi="Times New Roman" w:cs="Times New Roman" w:eastAsia="Times New Roman" w:hint="default"/>
          <w:b/>
          <w:bCs/>
          <w:spacing w:val="-1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160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64"/>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北京君正、公司、本公司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香港君正集团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北京君正集成电路（香港）集团有限公司，本公司的全资子公司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君正时代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深圳君正时代集成电路有限公司，本公司的全资子公司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合肥君正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合肥君正科技有限公司，本公司的全资子公司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捷联微芯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北京捷联微芯科技有限公司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中国证监会指定的创业板信息披露网站，网址：</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审计机构、会计师事务所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年公司实施的《北京君正集成电路股份有限公司股票期权激励计</w:t>
            </w:r>
            <w:r>
              <w:rPr>
                <w:rFonts w:ascii="宋体" w:hAnsi="宋体" w:cs="宋体" w:eastAsia="宋体" w:hint="default"/>
                <w:sz w:val="18"/>
                <w:szCs w:val="18"/>
              </w:rPr>
              <w:t> 划（草案）》</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Fabless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模式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是指“没有制造业务、只专注于设计”的集成电路设计的一种运作模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式，也就是指未拥有芯片制造工厂的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设计公司。</w:t>
            </w:r>
          </w:p>
        </w:tc>
      </w:tr>
      <w:tr>
        <w:trPr>
          <w:trHeight w:val="134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CPU</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Central Processing Unit</w:t>
            </w:r>
            <w:r>
              <w:rPr>
                <w:rFonts w:ascii="宋体" w:hAnsi="宋体" w:cs="宋体" w:eastAsia="宋体" w:hint="default"/>
                <w:sz w:val="18"/>
                <w:szCs w:val="18"/>
              </w:rPr>
              <w:t>，简称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，即中央处理器，是一块超大规模 </w:t>
            </w:r>
            <w:r>
              <w:rPr>
                <w:rFonts w:ascii="宋体" w:hAnsi="宋体" w:cs="宋体" w:eastAsia="宋体" w:hint="default"/>
                <w:spacing w:val="-5"/>
                <w:sz w:val="18"/>
                <w:szCs w:val="18"/>
              </w:rPr>
              <w:t>的集成电路，是一台计算机的运算核心（</w:t>
            </w:r>
            <w:r>
              <w:rPr>
                <w:rFonts w:ascii="Times New Roman" w:hAnsi="Times New Roman" w:cs="Times New Roman" w:eastAsia="Times New Roman" w:hint="default"/>
                <w:spacing w:val="-5"/>
                <w:sz w:val="18"/>
                <w:szCs w:val="18"/>
              </w:rPr>
              <w:t>Core</w:t>
            </w:r>
            <w:r>
              <w:rPr>
                <w:rFonts w:ascii="宋体" w:hAnsi="宋体" w:cs="宋体" w:eastAsia="宋体" w:hint="default"/>
                <w:spacing w:val="-5"/>
                <w:sz w:val="18"/>
                <w:szCs w:val="18"/>
              </w:rPr>
              <w:t>）和控制核心（</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Control</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3"/>
                <w:w w:val="99"/>
                <w:sz w:val="18"/>
                <w:szCs w:val="18"/>
              </w:rPr>
              <w:t>Unit</w:t>
            </w:r>
            <w:r>
              <w:rPr>
                <w:rFonts w:ascii="宋体" w:hAnsi="宋体" w:cs="宋体" w:eastAsia="宋体" w:hint="default"/>
                <w:spacing w:val="-3"/>
                <w:w w:val="99"/>
                <w:sz w:val="18"/>
                <w:szCs w:val="18"/>
              </w:rPr>
              <w:t>）。它的功能主要是解释计算机指令以及处理计算机软件中的数</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据。</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XBurst2</w:t>
            </w:r>
            <w:r>
              <w:rPr>
                <w:rFonts w:ascii="Times New Roman"/>
                <w:spacing w:val="-3"/>
                <w:sz w:val="18"/>
              </w:rPr>
              <w:t> </w:t>
            </w:r>
            <w:r>
              <w:rPr>
                <w:rFonts w:ascii="Times New Roman"/>
                <w:sz w:val="18"/>
              </w:rPr>
              <w:t>CPU</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公司自主研发的第二代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CPU</w:t>
            </w:r>
            <w:r>
              <w:rPr>
                <w:rFonts w:ascii="宋体" w:hAnsi="宋体" w:cs="宋体" w:eastAsia="宋体" w:hint="default"/>
                <w:sz w:val="18"/>
                <w:szCs w:val="18"/>
              </w:rPr>
              <w:t>。</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、集成电路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Integrated Circuit</w:t>
            </w:r>
            <w:r>
              <w:rPr>
                <w:rFonts w:ascii="宋体" w:hAnsi="宋体" w:cs="宋体" w:eastAsia="宋体" w:hint="default"/>
                <w:sz w:val="18"/>
                <w:szCs w:val="18"/>
              </w:rPr>
              <w:t>，简称</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IC</w:t>
            </w:r>
            <w:r>
              <w:rPr>
                <w:rFonts w:ascii="宋体" w:hAnsi="宋体" w:cs="宋体" w:eastAsia="宋体" w:hint="default"/>
                <w:sz w:val="18"/>
                <w:szCs w:val="18"/>
              </w:rPr>
              <w:t>，中文指集成电路，是采用一定的工艺，</w:t>
            </w:r>
            <w:r>
              <w:rPr>
                <w:rFonts w:ascii="宋体" w:hAnsi="宋体" w:cs="宋体" w:eastAsia="宋体" w:hint="default"/>
                <w:w w:val="99"/>
                <w:sz w:val="18"/>
                <w:szCs w:val="18"/>
              </w:rPr>
              <w:t> </w:t>
            </w:r>
            <w:r>
              <w:rPr>
                <w:rFonts w:ascii="宋体" w:hAnsi="宋体" w:cs="宋体" w:eastAsia="宋体" w:hint="default"/>
                <w:spacing w:val="-2"/>
                <w:sz w:val="18"/>
                <w:szCs w:val="18"/>
              </w:rPr>
              <w:t>将一个电路中所需的晶体管、二极管、电阻、电容和电感等元件及布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线连在一起，制作在一小块或几小块半导体晶片或介质基片上，然后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封装在一个管壳内，成为具有所需电路功能的微型结构。在工业生产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和社会生活中应用广泛。</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System on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Chip</w:t>
            </w:r>
            <w:r>
              <w:rPr>
                <w:rFonts w:ascii="宋体" w:hAnsi="宋体" w:cs="宋体" w:eastAsia="宋体" w:hint="default"/>
                <w:sz w:val="18"/>
                <w:szCs w:val="18"/>
              </w:rPr>
              <w:t>，即片上系统、系统级芯片，是将系统关键部件集成 在一块芯片上，可以实现完整系统功能的芯片电路。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IPC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Times New Roman" w:hAnsi="Times New Roman" w:cs="Times New Roman" w:eastAsia="Times New Roman" w:hint="default"/>
                <w:spacing w:val="-3"/>
                <w:sz w:val="18"/>
                <w:szCs w:val="18"/>
              </w:rPr>
              <w:t>Camera</w:t>
            </w:r>
            <w:r>
              <w:rPr>
                <w:rFonts w:ascii="宋体" w:hAnsi="宋体" w:cs="宋体" w:eastAsia="宋体" w:hint="default"/>
                <w:spacing w:val="-3"/>
                <w:sz w:val="18"/>
                <w:szCs w:val="18"/>
              </w:rPr>
              <w:t>，简称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IPC</w:t>
            </w:r>
            <w:r>
              <w:rPr>
                <w:rFonts w:ascii="宋体" w:hAnsi="宋体" w:cs="宋体" w:eastAsia="宋体" w:hint="default"/>
                <w:sz w:val="18"/>
                <w:szCs w:val="18"/>
              </w:rPr>
              <w:t>，是一种由传统摄像机与网络技术结合所产生的 新一代摄像机，也就是网络摄像机。</w:t>
            </w:r>
          </w:p>
        </w:tc>
      </w:tr>
      <w:tr>
        <w:trPr>
          <w:trHeight w:val="355"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是对人的意识、思维的信息过程的模拟，并生产出一种新的能以人类</w:t>
            </w:r>
          </w:p>
        </w:tc>
      </w:tr>
      <w:tr>
        <w:trPr>
          <w:trHeight w:val="312"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智能相似的方式做出反应的智能机器，该领域的研究包括机器人、语</w:t>
            </w:r>
          </w:p>
        </w:tc>
      </w:tr>
      <w:tr>
        <w:trPr>
          <w:trHeight w:val="357"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言识别、图像识别和自然语言处理等。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H.265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ITU-T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VCEG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H.264 </w:t>
            </w:r>
            <w:r>
              <w:rPr>
                <w:rFonts w:ascii="宋体" w:hAnsi="宋体" w:cs="宋体" w:eastAsia="宋体" w:hint="default"/>
                <w:sz w:val="18"/>
                <w:szCs w:val="18"/>
              </w:rPr>
              <w:t>之后所制定的新的视频编码标准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5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pict>
          <v:shape style="position:absolute;margin-left:138pt;margin-top:114.681595pt;width:396.95pt;height:19.75pt;mso-position-horizontal-relative:page;mso-position-vertical-relative:paragraph;z-index:-102654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300223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Ingenic Semiconductor</w:t>
            </w:r>
            <w:r>
              <w:rPr>
                <w:rFonts w:ascii="Times New Roman"/>
                <w:spacing w:val="-8"/>
                <w:sz w:val="18"/>
              </w:rPr>
              <w:t> </w:t>
            </w:r>
            <w:r>
              <w:rPr>
                <w:rFonts w:ascii="Times New Roman"/>
                <w:sz w:val="18"/>
              </w:rPr>
              <w:t>Co.,Ltd.</w:t>
            </w:r>
          </w:p>
        </w:tc>
      </w:tr>
      <w:tr>
        <w:trPr>
          <w:trHeight w:val="404"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Ingenic</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座一至三层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座一至三层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www.ingenic.com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白洁</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座一至三层</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010-56345001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investors@ingenic.com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bl>
    <w:p>
      <w:pPr>
        <w:pStyle w:val="BodyText"/>
        <w:spacing w:line="240" w:lineRule="auto" w:before="49"/>
        <w:ind w:right="153"/>
        <w:jc w:val="left"/>
      </w:pPr>
      <w:r>
        <w:rPr/>
        <w:t>公司聘请的报告期内履行持续督导职责的保荐机构</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60"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）公</w:t>
            </w:r>
            <w:r>
              <w:rPr>
                <w:rFonts w:ascii="宋体" w:hAnsi="宋体" w:cs="宋体" w:eastAsia="宋体" w:hint="default"/>
                <w:sz w:val="18"/>
                <w:szCs w:val="18"/>
              </w:rPr>
            </w: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司首次公开发行之募集资金</w:t>
            </w:r>
          </w:p>
        </w:tc>
      </w:tr>
      <w:tr>
        <w:trPr>
          <w:trHeight w:val="629"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上海市浦东新区陆家嘴环路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号恒生银行大厦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楼</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唐东升、陈东阳</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07"/>
              <w:jc w:val="left"/>
              <w:rPr>
                <w:rFonts w:ascii="宋体" w:hAnsi="宋体" w:cs="宋体" w:eastAsia="宋体" w:hint="default"/>
                <w:sz w:val="18"/>
                <w:szCs w:val="18"/>
              </w:rPr>
            </w:pPr>
            <w:r>
              <w:rPr>
                <w:rFonts w:ascii="宋体" w:hAnsi="宋体" w:cs="宋体" w:eastAsia="宋体" w:hint="default"/>
                <w:sz w:val="18"/>
                <w:szCs w:val="18"/>
              </w:rPr>
              <w:t>使用完毕之日；或（</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在持续督导期内与其他保荐</w:t>
            </w: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机构签订新的保荐协议或持</w:t>
            </w:r>
          </w:p>
        </w:tc>
      </w:tr>
      <w:tr>
        <w:trPr>
          <w:trHeight w:val="360"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续督导协议之日。</w:t>
            </w:r>
          </w:p>
        </w:tc>
      </w:tr>
    </w:tbl>
    <w:p>
      <w:pPr>
        <w:pStyle w:val="BodyText"/>
        <w:spacing w:line="240" w:lineRule="auto" w:before="49"/>
        <w:ind w:right="153"/>
        <w:jc w:val="left"/>
      </w:pPr>
      <w:r>
        <w:rPr/>
        <w:t>公司聘请的报告期内履行持续督导职责的财务顾问</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公司是否需追溯调整或重述以前年度会计数据</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184,467,019.32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111,685,840.09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70,104,954.20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6,501,097.82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7,052,089.65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32,048,918.72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-18,444,448.44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-23,864,218.01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-22,293,078.86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-30,694,037.69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-65,723,330.53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52,242,673.15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0.1926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0.0424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0.1926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1,156,759,952.66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1,134,828,507.64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1,126,307,071.49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1,124,827,625.96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1,097,593,676.71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1,089,475,807.26</w:t>
            </w:r>
          </w:p>
        </w:tc>
      </w:tr>
    </w:tbl>
    <w:p>
      <w:pPr>
        <w:pStyle w:val="BodyText"/>
        <w:spacing w:line="314" w:lineRule="auto" w:before="49"/>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501;top:14;width:24;height:392" coordorigin="4501,14" coordsize="24,392">
              <v:shape style="position:absolute;left:4501;top:14;width:24;height:392" coordorigin="4501,14" coordsize="24,392" path="m4501,406l4525,406,4525,14,4501,14,4501,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468;height:392" coordorigin="34,14" coordsize="4468,392">
              <v:shape style="position:absolute;left:34;top:14;width:4468;height:392" coordorigin="34,14" coordsize="4468,392" path="m34,406l4501,406,4501,14,34,14,34,406xe" filled="true" fillcolor="#d2d2d2" stroked="false">
                <v:path arrowok="t"/>
                <v:fill type="solid"/>
              </v:shape>
            </v:group>
            <v:group style="position:absolute;left:10;top:10;width:4516;height:2" coordorigin="10,10" coordsize="4516,2">
              <v:shape style="position:absolute;left:10;top:10;width:4516;height:2" coordorigin="10,10" coordsize="4516,0" path="m10,10l4525,10e" filled="false" stroked="true" strokeweight=".48004pt" strokecolor="#000000">
                <v:path arrowok="t"/>
              </v:shape>
            </v:group>
            <v:group style="position:absolute;left:4535;top:10;width:5037;height:2" coordorigin="4535,10" coordsize="5037,2">
              <v:shape style="position:absolute;left:4535;top:10;width:5037;height:2" coordorigin="4535,10" coordsize="5037,0" path="m4535,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516;height:2" coordorigin="10,410" coordsize="4516,2">
              <v:shape style="position:absolute;left:10;top:410;width:4516;height:2" coordorigin="10,410" coordsize="4516,0" path="m10,410l4525,410e" filled="false" stroked="true" strokeweight=".47998pt" strokecolor="#000000">
                <v:path arrowok="t"/>
              </v:shape>
            </v:group>
            <v:group style="position:absolute;left:4530;top:5;width:2;height:411" coordorigin="4530,5" coordsize="2,411">
              <v:shape style="position:absolute;left:4530;top:5;width:2;height:411" coordorigin="4530,5" coordsize="0,411" path="m4530,5l4530,415e" filled="false" stroked="true" strokeweight=".47998pt" strokecolor="#000000">
                <v:path arrowok="t"/>
              </v:shape>
            </v:group>
            <v:group style="position:absolute;left:4535;top:410;width:5037;height:2" coordorigin="4535,410" coordsize="5037,2">
              <v:shape style="position:absolute;left:4535;top:410;width:5037;height:2" coordorigin="4535,410" coordsize="5037,0" path="m4535,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524;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5;top:129;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0.0389</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36,360,876.54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40,583,820.67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46,140,692.67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61,381,629.44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2,051,361.64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1,730,025.44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3,098,181.80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-378,471.06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-1,811,005.83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-7,872,454.02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-3,627,846.02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-5,133,142.57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-15,098,274.93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-8,612,759.63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-17,756,080.26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10,773,077.13</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533"/>
        <w:gridCol w:w="1519"/>
        <w:gridCol w:w="1496"/>
        <w:gridCol w:w="708"/>
      </w:tblGrid>
      <w:tr>
        <w:trPr>
          <w:trHeight w:val="398"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2" w:right="3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-19,240.93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-1,752,527.49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10,358,613.33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14,115,895.28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48,713,825.08</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24,323,034.90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28,344,812.79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17,199,586.34</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-163,097.00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30,576.94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-599,874.21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-4,688,500.00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-5,982,900.00</w:t>
            </w:r>
          </w:p>
        </w:tc>
        <w:tc>
          <w:tcPr>
            <w:tcW w:w="149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4,884,104.97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5,572,836.42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9,218,969.02</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4"/>
        <w:gridCol w:w="1522"/>
        <w:gridCol w:w="1519"/>
        <w:gridCol w:w="1496"/>
        <w:gridCol w:w="708"/>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43.12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3" w:right="0"/>
              <w:jc w:val="left"/>
              <w:rPr>
                <w:rFonts w:ascii="Times New Roman" w:hAnsi="Times New Roman" w:cs="Times New Roman" w:eastAsia="Times New Roman" w:hint="default"/>
                <w:sz w:val="18"/>
                <w:szCs w:val="18"/>
              </w:rPr>
            </w:pPr>
            <w:r>
              <w:rPr>
                <w:rFonts w:ascii="Times New Roman"/>
                <w:sz w:val="18"/>
              </w:rPr>
              <w:t>24,945,546.26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3" w:right="0"/>
              <w:jc w:val="left"/>
              <w:rPr>
                <w:rFonts w:ascii="Times New Roman" w:hAnsi="Times New Roman" w:cs="Times New Roman" w:eastAsia="Times New Roman" w:hint="default"/>
                <w:sz w:val="18"/>
                <w:szCs w:val="18"/>
              </w:rPr>
            </w:pPr>
            <w:r>
              <w:rPr>
                <w:rFonts w:ascii="Times New Roman"/>
                <w:sz w:val="18"/>
              </w:rPr>
              <w:t>30,916,307.66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54,341,997.58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8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4" w:lineRule="auto" w:before="25"/>
        <w:ind w:right="84" w:firstLine="353"/>
        <w:jc w:val="left"/>
      </w:pPr>
      <w:r>
        <w:rPr>
          <w:spacing w:val="-2"/>
        </w:rPr>
        <w:t>公司为集成电路设计企业，拥有全球领先的</w:t>
      </w:r>
      <w:r>
        <w:rPr>
          <w:rFonts w:ascii="Times New Roman" w:hAnsi="Times New Roman" w:cs="Times New Roman" w:eastAsia="Times New Roman" w:hint="default"/>
          <w:spacing w:val="-2"/>
        </w:rPr>
        <w:t>32</w:t>
      </w:r>
      <w:r>
        <w:rPr>
          <w:spacing w:val="-2"/>
        </w:rPr>
        <w:t>位嵌入式</w:t>
      </w:r>
      <w:r>
        <w:rPr>
          <w:rFonts w:ascii="Times New Roman" w:hAnsi="Times New Roman" w:cs="Times New Roman" w:eastAsia="Times New Roman" w:hint="default"/>
          <w:spacing w:val="-2"/>
        </w:rPr>
        <w:t>CPU</w:t>
      </w:r>
      <w:r>
        <w:rPr>
          <w:spacing w:val="-2"/>
        </w:rPr>
        <w:t>技术和低功耗技术，主营业务为微处理器芯片、智能视频芯</w:t>
      </w:r>
      <w:r>
        <w:rPr/>
        <w:t> </w:t>
      </w:r>
      <w:r>
        <w:rPr>
          <w:spacing w:val="-2"/>
        </w:rPr>
        <w:t>片及整体解决方案的研发和销售。公司拥有较强的自主创新能力，多年来在自主创新</w:t>
      </w:r>
      <w:r>
        <w:rPr>
          <w:rFonts w:ascii="Times New Roman" w:hAnsi="Times New Roman" w:cs="Times New Roman" w:eastAsia="Times New Roman" w:hint="default"/>
          <w:spacing w:val="-2"/>
        </w:rPr>
        <w:t>CPU</w:t>
      </w:r>
      <w:r>
        <w:rPr>
          <w:spacing w:val="-2"/>
        </w:rPr>
        <w:t>技术、视频编解码技术、影像和声</w:t>
      </w:r>
      <w:r>
        <w:rPr>
          <w:spacing w:val="-57"/>
        </w:rPr>
        <w:t> </w:t>
      </w:r>
      <w:r>
        <w:rPr>
          <w:spacing w:val="-57"/>
        </w:rPr>
      </w:r>
      <w:r>
        <w:rPr>
          <w:spacing w:val="-1"/>
        </w:rPr>
        <w:t>音信号处理技术、</w:t>
      </w:r>
      <w:r>
        <w:rPr>
          <w:rFonts w:ascii="Times New Roman" w:hAnsi="Times New Roman" w:cs="Times New Roman" w:eastAsia="Times New Roman" w:hint="default"/>
          <w:spacing w:val="-1"/>
        </w:rPr>
        <w:t>SoC</w:t>
      </w:r>
      <w:r>
        <w:rPr>
          <w:spacing w:val="-1"/>
        </w:rPr>
        <w:t>芯片技术、软件平台技术等多个领域形成多项核心技术。目前，公司已形成可持续发展的梯队化产品</w:t>
      </w:r>
      <w:r>
        <w:rPr>
          <w:spacing w:val="-71"/>
        </w:rPr>
        <w:t> </w:t>
      </w:r>
      <w:r>
        <w:rPr>
          <w:spacing w:val="-71"/>
        </w:rPr>
      </w:r>
      <w:r>
        <w:rPr/>
        <w:t>布局，基于自主创新的</w:t>
      </w:r>
      <w:r>
        <w:rPr>
          <w:rFonts w:ascii="Times New Roman" w:hAnsi="Times New Roman" w:cs="Times New Roman" w:eastAsia="Times New Roman" w:hint="default"/>
        </w:rPr>
        <w:t>XBurst</w:t>
      </w:r>
      <w:r>
        <w:rPr>
          <w:rFonts w:ascii="Times New Roman" w:hAnsi="Times New Roman" w:cs="Times New Roman" w:eastAsia="Times New Roman" w:hint="default"/>
          <w:spacing w:val="-3"/>
        </w:rPr>
        <w:t> </w:t>
      </w:r>
      <w:r>
        <w:rPr>
          <w:rFonts w:ascii="Times New Roman" w:hAnsi="Times New Roman" w:cs="Times New Roman" w:eastAsia="Times New Roman" w:hint="default"/>
        </w:rPr>
        <w:t>CPU</w:t>
      </w:r>
      <w:r>
        <w:rPr/>
        <w:t>和视频编解码等核心技术，公司推出了一系列具有高性价比的微处理器芯片产品和智能 </w:t>
      </w:r>
      <w:r>
        <w:rPr>
          <w:spacing w:val="-2"/>
        </w:rPr>
        <w:t>视频芯片产品，各类别的芯片产品分别面向不同的市场领域，微处理器芯片主要面向智能家居、智能家电、二维码、智能穿</w:t>
      </w:r>
      <w:r>
        <w:rPr>
          <w:spacing w:val="-64"/>
        </w:rPr>
        <w:t> </w:t>
      </w:r>
      <w:r>
        <w:rPr>
          <w:spacing w:val="-64"/>
        </w:rPr>
      </w:r>
      <w:r>
        <w:rPr/>
        <w:t>戴等物联网市场和生物识别等市场，智能视频芯片主要面向商用和家用消费类智能摄像头及泛视频类市场。</w:t>
      </w:r>
    </w:p>
    <w:p>
      <w:pPr>
        <w:pStyle w:val="BodyText"/>
        <w:spacing w:line="314" w:lineRule="auto" w:before="28"/>
        <w:ind w:right="84" w:firstLine="353"/>
        <w:jc w:val="left"/>
      </w:pPr>
      <w:r>
        <w:rPr>
          <w:spacing w:val="-2"/>
        </w:rPr>
        <w:t>公司专注于芯片的设计研发，产品采用</w:t>
      </w:r>
      <w:r>
        <w:rPr>
          <w:rFonts w:ascii="Times New Roman" w:hAnsi="Times New Roman" w:cs="Times New Roman" w:eastAsia="Times New Roman" w:hint="default"/>
          <w:spacing w:val="-2"/>
        </w:rPr>
        <w:t>Fabless</w:t>
      </w:r>
      <w:r>
        <w:rPr>
          <w:spacing w:val="-2"/>
        </w:rPr>
        <w:t>模式运营生产，产品生产环节的晶圆生产、切割和芯片封装、测试均委托</w:t>
      </w:r>
      <w:r>
        <w:rPr/>
        <w:t> </w:t>
      </w:r>
      <w:r>
        <w:rPr>
          <w:spacing w:val="-2"/>
        </w:rPr>
        <w:t>大型专业集成电路委托加工商进行。公司产品主要面向电子信息行业的企业客户，客户采用公司的芯片后，需进行终端产品</w:t>
      </w:r>
      <w:r>
        <w:rPr>
          <w:spacing w:val="-63"/>
        </w:rPr>
        <w:t> </w:t>
      </w:r>
      <w:r>
        <w:rPr>
          <w:spacing w:val="-63"/>
        </w:rPr>
      </w:r>
      <w:r>
        <w:rPr>
          <w:spacing w:val="-4"/>
        </w:rPr>
        <w:t>设计方案的研发。在销售模式上，公司采用直销和经销相结合的方式，其中对于重点客户，无论是通过直销或是经销的方式，</w:t>
      </w:r>
      <w:r>
        <w:rPr>
          <w:spacing w:val="-46"/>
        </w:rPr>
        <w:t> </w:t>
      </w:r>
      <w:r>
        <w:rPr>
          <w:spacing w:val="-46"/>
        </w:rPr>
      </w:r>
      <w:r>
        <w:rPr>
          <w:spacing w:val="-2"/>
        </w:rPr>
        <w:t>公司均会直接对其进行技术支持和客户服务，协助客户解决产品开发过程中的技术问题。针对产品功能相近、市场量大的垂</w:t>
      </w:r>
      <w:r>
        <w:rPr>
          <w:spacing w:val="-63"/>
        </w:rPr>
        <w:t> </w:t>
      </w:r>
      <w:r>
        <w:rPr>
          <w:spacing w:val="-63"/>
        </w:rPr>
      </w:r>
      <w:r>
        <w:rPr/>
        <w:t>直市场，公司还会提供</w:t>
      </w:r>
      <w:r>
        <w:rPr>
          <w:rFonts w:ascii="Times New Roman" w:hAnsi="Times New Roman" w:cs="Times New Roman" w:eastAsia="Times New Roman" w:hint="default"/>
        </w:rPr>
        <w:t>“Turnkey”</w:t>
      </w:r>
      <w:r>
        <w:rPr/>
        <w:t>的整体解决方案。</w:t>
      </w:r>
    </w:p>
    <w:p>
      <w:pPr>
        <w:pStyle w:val="BodyText"/>
        <w:spacing w:line="316" w:lineRule="auto" w:before="42"/>
        <w:ind w:right="190" w:firstLine="360"/>
        <w:jc w:val="both"/>
      </w:pPr>
      <w:r>
        <w:rPr>
          <w:spacing w:val="-2"/>
        </w:rPr>
        <w:t>报告期内，公司充分发挥公司产品在性能、功耗和性价比等各方面的竞争优势，不断加强对智能视频、物联网、生物识</w:t>
      </w:r>
      <w:r>
        <w:rPr/>
        <w:t> </w:t>
      </w:r>
      <w:r>
        <w:rPr>
          <w:spacing w:val="-2"/>
        </w:rPr>
        <w:t>别等市场的推广力度，紧跟市场需求变化，及时把握新的市场机会，加快各领域中的关键技术研发和新产品开发并及时推出</w:t>
      </w:r>
      <w:r>
        <w:rPr>
          <w:spacing w:val="-63"/>
        </w:rPr>
        <w:t> </w:t>
      </w:r>
      <w:r>
        <w:rPr>
          <w:spacing w:val="-63"/>
        </w:rPr>
      </w:r>
      <w:r>
        <w:rPr>
          <w:spacing w:val="-2"/>
        </w:rPr>
        <w:t>新的芯片产品。公司在主要产品应用领域的销售均实现了同比增长，尤其在智能视频领域，产品销售收入大幅增长，有力推</w:t>
      </w:r>
      <w:r>
        <w:rPr>
          <w:spacing w:val="-64"/>
        </w:rPr>
        <w:t> </w:t>
      </w:r>
      <w:r>
        <w:rPr>
          <w:spacing w:val="-64"/>
        </w:rPr>
      </w:r>
      <w:r>
        <w:rPr/>
        <w:t>动了公司总体营业收入的增长。</w:t>
      </w:r>
    </w:p>
    <w:p>
      <w:pPr>
        <w:pStyle w:val="BodyText"/>
        <w:spacing w:line="312" w:lineRule="auto" w:before="60"/>
        <w:ind w:right="84" w:firstLine="360"/>
        <w:jc w:val="left"/>
      </w:pPr>
      <w:r>
        <w:rPr>
          <w:spacing w:val="-2"/>
        </w:rPr>
        <w:t>集成电路产业是支撑经济社会发展和保障国家安全的战略性、基础性和先导性产业，是信息技术产业的核心，对国家信</w:t>
      </w:r>
      <w:r>
        <w:rPr/>
        <w:t> </w:t>
      </w:r>
      <w:r>
        <w:rPr>
          <w:spacing w:val="-2"/>
        </w:rPr>
        <w:t>息产业的发展和国家的信息安全至关重要。我国集成电路产业，尤其是集成电路设计产业起步较晚，在产业地位、技术领先</w:t>
      </w:r>
      <w:r>
        <w:rPr>
          <w:spacing w:val="-64"/>
        </w:rPr>
        <w:t> </w:t>
      </w:r>
      <w:r>
        <w:rPr>
          <w:spacing w:val="-64"/>
        </w:rPr>
      </w:r>
      <w:r>
        <w:rPr>
          <w:spacing w:val="-2"/>
        </w:rPr>
        <w:t>性及业界影响力等方面，与国际一流的企业尚存在一定的差距。近些年来，国家对集成电路产业一直高度重视，</w:t>
      </w:r>
      <w:r>
        <w:rPr>
          <w:rFonts w:ascii="Times New Roman" w:hAnsi="Times New Roman" w:cs="Times New Roman" w:eastAsia="Times New Roman" w:hint="default"/>
          <w:spacing w:val="-2"/>
        </w:rPr>
        <w:t>2011</w:t>
      </w:r>
      <w:r>
        <w:rPr>
          <w:spacing w:val="-2"/>
        </w:rPr>
        <w:t>年国务</w:t>
      </w:r>
      <w:r>
        <w:rPr>
          <w:spacing w:val="-59"/>
        </w:rPr>
        <w:t> </w:t>
      </w:r>
      <w:r>
        <w:rPr>
          <w:spacing w:val="-59"/>
        </w:rPr>
      </w:r>
      <w:r>
        <w:rPr>
          <w:spacing w:val="-4"/>
        </w:rPr>
        <w:t>院印发了《进一步鼓励软件产业和集成电路产业发展的若干政策》，</w:t>
      </w:r>
      <w:r>
        <w:rPr>
          <w:rFonts w:ascii="Times New Roman" w:hAnsi="Times New Roman" w:cs="Times New Roman" w:eastAsia="Times New Roman" w:hint="default"/>
          <w:spacing w:val="-4"/>
        </w:rPr>
        <w:t>2014</w:t>
      </w:r>
      <w:r>
        <w:rPr>
          <w:spacing w:val="-4"/>
        </w:rPr>
        <w:t>年国务院发布了《国家集成电路产业发展推进纲要》</w:t>
      </w:r>
      <w:r>
        <w:rPr>
          <w:spacing w:val="-39"/>
        </w:rPr>
        <w:t> </w:t>
      </w:r>
      <w:r>
        <w:rPr>
          <w:spacing w:val="-39"/>
        </w:rPr>
      </w:r>
      <w:r>
        <w:rPr>
          <w:spacing w:val="-2"/>
        </w:rPr>
        <w:t>发展规划，将集成电路产业发展上升为国家战略，从政策上完善落实了一系列支持集成电路产业发展的措施，同年国家集成</w:t>
      </w:r>
      <w:r>
        <w:rPr>
          <w:spacing w:val="-63"/>
        </w:rPr>
        <w:t> </w:t>
      </w:r>
      <w:r>
        <w:rPr>
          <w:spacing w:val="-63"/>
        </w:rPr>
      </w:r>
      <w:r>
        <w:rPr>
          <w:spacing w:val="-2"/>
        </w:rPr>
        <w:t>电路产业投资基金设立，在设计、晶圆、封装、测试等各个环节推动国内集成电路产业的发展。在国家和各地政府的大力支</w:t>
      </w:r>
      <w:r>
        <w:rPr>
          <w:spacing w:val="-64"/>
        </w:rPr>
        <w:t> </w:t>
      </w:r>
      <w:r>
        <w:rPr>
          <w:spacing w:val="-64"/>
        </w:rPr>
      </w:r>
      <w:r>
        <w:rPr>
          <w:spacing w:val="-2"/>
        </w:rPr>
        <w:t>持下，我国集成电路产业有了长足发展，在有些技术领域获得突破性进展。随着中国经济的增长，全球消费电子的重心逐渐</w:t>
      </w:r>
      <w:r>
        <w:rPr>
          <w:spacing w:val="-63"/>
        </w:rPr>
        <w:t> </w:t>
      </w:r>
      <w:r>
        <w:rPr>
          <w:spacing w:val="-63"/>
        </w:rPr>
      </w:r>
      <w:r>
        <w:rPr/>
        <w:t>倾向于中国，中国集成电路行业将具有更大的成长空间。</w:t>
      </w:r>
    </w:p>
    <w:p>
      <w:pPr>
        <w:pStyle w:val="BodyText"/>
        <w:spacing w:line="316" w:lineRule="auto" w:before="61"/>
        <w:ind w:right="84" w:firstLine="360"/>
        <w:jc w:val="left"/>
      </w:pPr>
      <w:r>
        <w:rPr>
          <w:spacing w:val="-2"/>
        </w:rPr>
        <w:t>报告期内，在国家的大力扶持下，国内集成电路产业蓬勃发展，公司作为集成电路设计企业，在市场销售、技术研发等</w:t>
      </w:r>
      <w:r>
        <w:rPr/>
        <w:t> 方面也取得了良好的进展。此外，集成电路行业的发展情况受多种因素影响，行业发展无明显的周期性。</w:t>
      </w:r>
    </w:p>
    <w:p>
      <w:pPr>
        <w:spacing w:line="240" w:lineRule="auto" w:before="12"/>
        <w:rPr>
          <w:rFonts w:ascii="宋体" w:hAnsi="宋体" w:cs="宋体" w:eastAsia="宋体" w:hint="default"/>
          <w:sz w:val="20"/>
          <w:szCs w:val="20"/>
        </w:rPr>
      </w:pPr>
    </w:p>
    <w:p>
      <w:pPr>
        <w:pStyle w:val="Heading2"/>
        <w:spacing w:line="240" w:lineRule="auto"/>
        <w:ind w:right="8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1198.36%</w:t>
            </w:r>
            <w:r>
              <w:rPr>
                <w:rFonts w:ascii="宋体" w:hAnsi="宋体" w:cs="宋体" w:eastAsia="宋体" w:hint="default"/>
                <w:sz w:val="18"/>
                <w:szCs w:val="18"/>
              </w:rPr>
              <w:t>，主要系本期工程施工所致。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80.21%</w:t>
            </w:r>
            <w:r>
              <w:rPr>
                <w:rFonts w:ascii="宋体" w:hAnsi="宋体" w:cs="宋体" w:eastAsia="宋体" w:hint="default"/>
                <w:sz w:val="18"/>
                <w:szCs w:val="18"/>
              </w:rPr>
              <w:t>，主要系期末购买的短期理财产品未到期收回所致。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41.29%</w:t>
            </w:r>
            <w:r>
              <w:rPr>
                <w:rFonts w:ascii="宋体" w:hAnsi="宋体" w:cs="宋体" w:eastAsia="宋体" w:hint="default"/>
                <w:spacing w:val="-3"/>
                <w:sz w:val="18"/>
                <w:szCs w:val="18"/>
              </w:rPr>
              <w:t>，主要系本期收回上期预付北京中关村集成电路设计园发展有限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责任公司办公楼认购订金所致。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281.54%</w:t>
            </w:r>
            <w:r>
              <w:rPr>
                <w:rFonts w:ascii="宋体" w:hAnsi="宋体" w:cs="宋体" w:eastAsia="宋体" w:hint="default"/>
                <w:sz w:val="18"/>
                <w:szCs w:val="18"/>
              </w:rPr>
              <w:t>，主要系期末应收行权款增多所致。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33.07%</w:t>
            </w:r>
            <w:r>
              <w:rPr>
                <w:rFonts w:ascii="宋体" w:hAnsi="宋体" w:cs="宋体" w:eastAsia="宋体" w:hint="default"/>
                <w:sz w:val="18"/>
                <w:szCs w:val="18"/>
              </w:rPr>
              <w:t>，主要系本期摊销所致。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66.80%</w:t>
            </w:r>
            <w:r>
              <w:rPr>
                <w:rFonts w:ascii="宋体" w:hAnsi="宋体" w:cs="宋体" w:eastAsia="宋体" w:hint="default"/>
                <w:sz w:val="18"/>
                <w:szCs w:val="18"/>
              </w:rPr>
              <w:t>，主要系期末预付工程款增多所致。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38" w:lineRule="auto" w:before="27"/>
        <w:ind w:left="513" w:right="15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、技术优势 公司坚持自主创新的研发策略，自成立以来一直专注于国产</w:t>
      </w:r>
      <w:r>
        <w:rPr>
          <w:rFonts w:ascii="Times New Roman" w:hAnsi="Times New Roman" w:cs="Times New Roman" w:eastAsia="Times New Roman" w:hint="default"/>
        </w:rPr>
        <w:t>CPU</w:t>
      </w:r>
      <w:r>
        <w:rPr/>
        <w:t>技术及相关核心技术的研发，公司拥有全球领先的</w:t>
      </w:r>
      <w:r>
        <w:rPr>
          <w:rFonts w:ascii="Times New Roman" w:hAnsi="Times New Roman" w:cs="Times New Roman" w:eastAsia="Times New Roman" w:hint="default"/>
        </w:rPr>
        <w:t>32</w:t>
      </w:r>
    </w:p>
    <w:p>
      <w:pPr>
        <w:pStyle w:val="BodyText"/>
        <w:spacing w:line="230" w:lineRule="exact"/>
        <w:ind w:right="0"/>
        <w:jc w:val="both"/>
      </w:pPr>
      <w:r>
        <w:rPr>
          <w:spacing w:val="-2"/>
        </w:rPr>
        <w:t>位嵌入式</w:t>
      </w:r>
      <w:r>
        <w:rPr>
          <w:rFonts w:ascii="Times New Roman" w:hAnsi="Times New Roman" w:cs="Times New Roman" w:eastAsia="Times New Roman" w:hint="default"/>
          <w:spacing w:val="-2"/>
        </w:rPr>
        <w:t>CPU</w:t>
      </w:r>
      <w:r>
        <w:rPr>
          <w:spacing w:val="-2"/>
        </w:rPr>
        <w:t>技术和低功耗技术，公司的</w:t>
      </w:r>
      <w:r>
        <w:rPr>
          <w:rFonts w:ascii="Times New Roman" w:hAnsi="Times New Roman" w:cs="Times New Roman" w:eastAsia="Times New Roman" w:hint="default"/>
          <w:spacing w:val="-2"/>
        </w:rPr>
        <w:t>32</w:t>
      </w:r>
      <w:r>
        <w:rPr>
          <w:spacing w:val="-2"/>
        </w:rPr>
        <w:t>位</w:t>
      </w:r>
      <w:r>
        <w:rPr>
          <w:rFonts w:ascii="Times New Roman" w:hAnsi="Times New Roman" w:cs="Times New Roman" w:eastAsia="Times New Roman" w:hint="default"/>
          <w:spacing w:val="-2"/>
        </w:rPr>
        <w:t>XBurst</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
        </w:rPr>
        <w:t>CPU</w:t>
      </w:r>
      <w:r>
        <w:rPr>
          <w:spacing w:val="-2"/>
        </w:rPr>
        <w:t>内核采用了创新的微体系结构，微处理器能够在极低的功耗下高速</w:t>
      </w:r>
    </w:p>
    <w:p>
      <w:pPr>
        <w:pStyle w:val="BodyText"/>
        <w:spacing w:line="300" w:lineRule="auto" w:before="63"/>
        <w:ind w:right="150"/>
        <w:jc w:val="both"/>
      </w:pPr>
      <w:r>
        <w:rPr/>
        <w:t>发射指令，</w:t>
      </w:r>
      <w:r>
        <w:rPr>
          <w:rFonts w:ascii="Times New Roman" w:hAnsi="Times New Roman" w:cs="Times New Roman" w:eastAsia="Times New Roman" w:hint="default"/>
        </w:rPr>
        <w:t>XBurst</w:t>
      </w:r>
      <w:r>
        <w:rPr>
          <w:rFonts w:ascii="Times New Roman" w:hAnsi="Times New Roman" w:cs="Times New Roman" w:eastAsia="Times New Roman" w:hint="default"/>
          <w:spacing w:val="34"/>
        </w:rPr>
        <w:t> </w:t>
      </w:r>
      <w:r>
        <w:rPr>
          <w:rFonts w:ascii="Times New Roman" w:hAnsi="Times New Roman" w:cs="Times New Roman" w:eastAsia="Times New Roman" w:hint="default"/>
        </w:rPr>
        <w:t>CPU</w:t>
      </w:r>
      <w:r>
        <w:rPr/>
        <w:t>内核的主频、面积和功耗均领先于工业界现有的</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RISC</w:t>
      </w:r>
      <w:r>
        <w:rPr/>
        <w:t>微处理器内核。根据总体战略布局，公司 </w:t>
      </w:r>
      <w:r>
        <w:rPr>
          <w:spacing w:val="-2"/>
        </w:rPr>
        <w:t>对重点市场不断进行相应的技术研发和自主创新，除自主创新的</w:t>
      </w:r>
      <w:r>
        <w:rPr>
          <w:rFonts w:ascii="Times New Roman" w:hAnsi="Times New Roman" w:cs="Times New Roman" w:eastAsia="Times New Roman" w:hint="default"/>
          <w:spacing w:val="-2"/>
        </w:rPr>
        <w:t>CPU</w:t>
      </w:r>
      <w:r>
        <w:rPr>
          <w:spacing w:val="-2"/>
        </w:rPr>
        <w:t>内核外，相继在视频编解码技术、影像和声音信号处理</w:t>
      </w:r>
      <w:r>
        <w:rPr>
          <w:spacing w:val="-54"/>
        </w:rPr>
        <w:t> </w:t>
      </w:r>
      <w:r>
        <w:rPr>
          <w:spacing w:val="-54"/>
        </w:rPr>
      </w:r>
      <w:r>
        <w:rPr>
          <w:spacing w:val="-1"/>
        </w:rPr>
        <w:t>技术、</w:t>
      </w:r>
      <w:r>
        <w:rPr>
          <w:rFonts w:ascii="Times New Roman" w:hAnsi="Times New Roman" w:cs="Times New Roman" w:eastAsia="Times New Roman" w:hint="default"/>
          <w:spacing w:val="-1"/>
        </w:rPr>
        <w:t>SoC</w:t>
      </w:r>
      <w:r>
        <w:rPr>
          <w:spacing w:val="-1"/>
        </w:rPr>
        <w:t>芯片技术、软件平台技术等领域形成了多项自主核心技术，并基于这些核心技术的突破，形成微处理器和智能视</w:t>
      </w:r>
      <w:r>
        <w:rPr>
          <w:spacing w:val="-68"/>
        </w:rPr>
        <w:t> </w:t>
      </w:r>
      <w:r>
        <w:rPr>
          <w:spacing w:val="-68"/>
        </w:rPr>
      </w:r>
      <w:r>
        <w:rPr/>
        <w:t>频领域完整的自主技术体系和产业化体系。</w:t>
      </w:r>
    </w:p>
    <w:p>
      <w:pPr>
        <w:pStyle w:val="BodyText"/>
        <w:spacing w:line="240" w:lineRule="auto" w:before="72"/>
        <w:ind w:left="513" w:right="153"/>
        <w:jc w:val="left"/>
      </w:pPr>
      <w:r>
        <w:rPr>
          <w:rFonts w:ascii="Times New Roman" w:hAnsi="Times New Roman" w:cs="Times New Roman" w:eastAsia="Times New Roman" w:hint="default"/>
        </w:rPr>
        <w:t>2</w:t>
      </w:r>
      <w:r>
        <w:rPr/>
        <w:t>、产品优势</w:t>
      </w:r>
    </w:p>
    <w:p>
      <w:pPr>
        <w:pStyle w:val="BodyText"/>
        <w:spacing w:line="309" w:lineRule="auto" w:before="104"/>
        <w:ind w:right="150" w:firstLine="360"/>
        <w:jc w:val="both"/>
      </w:pPr>
      <w:r>
        <w:rPr/>
        <w:t>基于自主创新的</w:t>
      </w:r>
      <w:r>
        <w:rPr>
          <w:rFonts w:ascii="Times New Roman" w:hAnsi="Times New Roman" w:cs="Times New Roman" w:eastAsia="Times New Roman" w:hint="default"/>
        </w:rPr>
        <w:t>XBurst</w:t>
      </w:r>
      <w:r>
        <w:rPr>
          <w:rFonts w:ascii="Times New Roman" w:hAnsi="Times New Roman" w:cs="Times New Roman" w:eastAsia="Times New Roman" w:hint="default"/>
          <w:spacing w:val="17"/>
        </w:rPr>
        <w:t> </w:t>
      </w:r>
      <w:r>
        <w:rPr>
          <w:rFonts w:ascii="Times New Roman" w:hAnsi="Times New Roman" w:cs="Times New Roman" w:eastAsia="Times New Roman" w:hint="default"/>
        </w:rPr>
        <w:t>CPU</w:t>
      </w:r>
      <w:r>
        <w:rPr/>
        <w:t>内核及相关核心技术，公司面向智能家居、智能家电、智能穿戴、生物识别和智能视频等 </w:t>
      </w:r>
      <w:r>
        <w:rPr>
          <w:spacing w:val="-2"/>
        </w:rPr>
        <w:t>领域推出了多个系列的芯片产品，公司的芯片产品在性价比和功耗方面具有突出的优势，同时，公司各系列的芯片产品在音</w:t>
      </w:r>
      <w:r>
        <w:rPr>
          <w:spacing w:val="-63"/>
        </w:rPr>
        <w:t> </w:t>
      </w:r>
      <w:r>
        <w:rPr>
          <w:spacing w:val="-63"/>
        </w:rPr>
      </w:r>
      <w:r>
        <w:rPr/>
        <w:t>频处理、多媒体性能、视频编解码性能以及智能化处理等方面各有优势，以满足不同市场的需求。</w:t>
      </w:r>
    </w:p>
    <w:p>
      <w:pPr>
        <w:pStyle w:val="BodyText"/>
        <w:spacing w:line="340" w:lineRule="auto" w:before="62"/>
        <w:ind w:left="513" w:right="0"/>
        <w:jc w:val="left"/>
      </w:pPr>
      <w:r>
        <w:rPr>
          <w:rFonts w:ascii="Times New Roman" w:hAnsi="Times New Roman" w:cs="Times New Roman" w:eastAsia="Times New Roman" w:hint="default"/>
        </w:rPr>
        <w:t>3</w:t>
      </w:r>
      <w:r>
        <w:rPr/>
        <w:t>、团队及人才优势 </w:t>
      </w:r>
      <w:r>
        <w:rPr>
          <w:spacing w:val="-2"/>
        </w:rPr>
        <w:t>公司持续加大内部培养和外部引进人才的力度，加强员工岗前培训和团队建设培训，建立了科学化、规范化、系统化的</w:t>
      </w:r>
    </w:p>
    <w:p>
      <w:pPr>
        <w:pStyle w:val="BodyText"/>
        <w:spacing w:line="316" w:lineRule="auto" w:before="1"/>
        <w:ind w:right="153"/>
        <w:jc w:val="both"/>
      </w:pPr>
      <w:r>
        <w:rPr>
          <w:spacing w:val="-2"/>
        </w:rPr>
        <w:t>人力资源培训体系。同时，公司积极培养复合型人才，形成合理的人才梯队，不断加强团队凝聚力，全面提高员工的工作热</w:t>
      </w:r>
      <w:r>
        <w:rPr>
          <w:spacing w:val="-67"/>
        </w:rPr>
        <w:t> </w:t>
      </w:r>
      <w:r>
        <w:rPr>
          <w:spacing w:val="-67"/>
        </w:rPr>
      </w:r>
      <w:r>
        <w:rPr>
          <w:spacing w:val="-2"/>
        </w:rPr>
        <w:t>情。公司培养了一批具有领军精神的人才，带领团队勇于钻研、敢于创新、吃苦耐劳，为公司进一步的发展提供了有效的支</w:t>
      </w:r>
      <w:r>
        <w:rPr>
          <w:spacing w:val="-65"/>
        </w:rPr>
        <w:t> </w:t>
      </w:r>
      <w:r>
        <w:rPr>
          <w:spacing w:val="-65"/>
        </w:rPr>
      </w:r>
      <w:r>
        <w:rPr/>
        <w:t>持。截至本报告期末，公司核心技术人员未有离职情况。</w:t>
      </w:r>
    </w:p>
    <w:p>
      <w:pPr>
        <w:pStyle w:val="BodyText"/>
        <w:spacing w:line="338" w:lineRule="auto" w:before="59"/>
        <w:ind w:left="513" w:right="0"/>
        <w:jc w:val="left"/>
      </w:pPr>
      <w:r>
        <w:rPr>
          <w:rFonts w:ascii="Times New Roman" w:hAnsi="Times New Roman" w:cs="Times New Roman" w:eastAsia="Times New Roman" w:hint="default"/>
        </w:rPr>
        <w:t>4</w:t>
      </w:r>
      <w:r>
        <w:rPr/>
        <w:t>、专利情况 </w:t>
      </w:r>
      <w:r>
        <w:rPr>
          <w:spacing w:val="-2"/>
        </w:rPr>
        <w:t>截至本报告披露日，公司及全资子公司累计共获得授权的专利证书</w:t>
      </w:r>
      <w:r>
        <w:rPr>
          <w:rFonts w:ascii="Times New Roman" w:hAnsi="Times New Roman" w:cs="Times New Roman" w:eastAsia="Times New Roman" w:hint="default"/>
          <w:spacing w:val="-2"/>
        </w:rPr>
        <w:t>48</w:t>
      </w:r>
      <w:r>
        <w:rPr>
          <w:spacing w:val="-2"/>
        </w:rPr>
        <w:t>项，其中发明专利</w:t>
      </w:r>
      <w:r>
        <w:rPr>
          <w:rFonts w:ascii="Times New Roman" w:hAnsi="Times New Roman" w:cs="Times New Roman" w:eastAsia="Times New Roman" w:hint="default"/>
          <w:spacing w:val="-2"/>
        </w:rPr>
        <w:t>22</w:t>
      </w:r>
      <w:r>
        <w:rPr>
          <w:spacing w:val="-2"/>
        </w:rPr>
        <w:t>项，实用新型专利</w:t>
      </w:r>
      <w:r>
        <w:rPr>
          <w:rFonts w:ascii="Times New Roman" w:hAnsi="Times New Roman" w:cs="Times New Roman" w:eastAsia="Times New Roman" w:hint="default"/>
          <w:spacing w:val="-2"/>
        </w:rPr>
        <w:t>26</w:t>
      </w:r>
      <w:r>
        <w:rPr>
          <w:spacing w:val="-2"/>
        </w:rPr>
        <w:t>项；已申</w:t>
      </w:r>
    </w:p>
    <w:p>
      <w:pPr>
        <w:pStyle w:val="BodyText"/>
        <w:spacing w:line="230" w:lineRule="exact"/>
        <w:ind w:right="0"/>
        <w:jc w:val="both"/>
      </w:pPr>
      <w:r>
        <w:rPr/>
        <w:t>请并被受理的专利共</w:t>
      </w:r>
      <w:r>
        <w:rPr>
          <w:rFonts w:ascii="Times New Roman" w:hAnsi="Times New Roman" w:cs="Times New Roman" w:eastAsia="Times New Roman" w:hint="default"/>
        </w:rPr>
        <w:t>190</w:t>
      </w:r>
      <w:r>
        <w:rPr/>
        <w:t>项；累计共获得计算机软件著作权登记证书共</w:t>
      </w:r>
      <w:r>
        <w:rPr>
          <w:rFonts w:ascii="Times New Roman" w:hAnsi="Times New Roman" w:cs="Times New Roman" w:eastAsia="Times New Roman" w:hint="default"/>
        </w:rPr>
        <w:t>56</w:t>
      </w:r>
      <w:r>
        <w:rPr/>
        <w:t>项。截至本报告披露日，公司及全资子公司最新取</w:t>
      </w:r>
    </w:p>
    <w:p>
      <w:pPr>
        <w:pStyle w:val="BodyText"/>
        <w:spacing w:line="240" w:lineRule="auto" w:before="63"/>
        <w:ind w:right="0"/>
        <w:jc w:val="both"/>
      </w:pPr>
      <w:r>
        <w:rPr/>
        <w:t>得的专利证书如下：</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35"/>
        <w:gridCol w:w="1885"/>
        <w:gridCol w:w="1719"/>
        <w:gridCol w:w="859"/>
        <w:gridCol w:w="1702"/>
        <w:gridCol w:w="1274"/>
      </w:tblGrid>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12"/>
                <w:sz w:val="18"/>
              </w:rPr>
              <w:t> </w:t>
            </w:r>
            <w:r>
              <w:rPr>
                <w:rFonts w:ascii="Times New Roman"/>
                <w:sz w:val="18"/>
              </w:rPr>
              <w:t>0507309.4</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5673178</w:t>
            </w:r>
            <w:r>
              <w:rPr>
                <w:rFonts w:ascii="宋体" w:hAnsi="宋体" w:cs="宋体" w:eastAsia="宋体" w:hint="default"/>
                <w:sz w:val="18"/>
                <w:szCs w:val="18"/>
              </w:rPr>
              <w:t>号</w:t>
            </w:r>
          </w:p>
        </w:tc>
      </w:tr>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一种带心电传感器的智能手 表及底座</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12"/>
                <w:sz w:val="18"/>
              </w:rPr>
              <w:t> </w:t>
            </w:r>
            <w:r>
              <w:rPr>
                <w:rFonts w:ascii="Times New Roman"/>
                <w:sz w:val="18"/>
              </w:rPr>
              <w:t>0508568.9</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5811713</w:t>
            </w:r>
            <w:r>
              <w:rPr>
                <w:rFonts w:ascii="宋体" w:hAnsi="宋体" w:cs="宋体" w:eastAsia="宋体" w:hint="default"/>
                <w:sz w:val="18"/>
                <w:szCs w:val="18"/>
              </w:rPr>
              <w:t>号</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一种智能手表</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12"/>
                <w:sz w:val="18"/>
              </w:rPr>
              <w:t> </w:t>
            </w:r>
            <w:r>
              <w:rPr>
                <w:rFonts w:ascii="Times New Roman"/>
                <w:sz w:val="18"/>
              </w:rPr>
              <w:t>0510944.8</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5811012</w:t>
            </w:r>
            <w:r>
              <w:rPr>
                <w:rFonts w:ascii="宋体" w:hAnsi="宋体" w:cs="宋体" w:eastAsia="宋体" w:hint="default"/>
                <w:sz w:val="18"/>
                <w:szCs w:val="18"/>
              </w:rPr>
              <w:t>号</w:t>
            </w:r>
          </w:p>
        </w:tc>
      </w:tr>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3"/>
              <w:jc w:val="left"/>
              <w:rPr>
                <w:rFonts w:ascii="宋体" w:hAnsi="宋体" w:cs="宋体" w:eastAsia="宋体" w:hint="default"/>
                <w:sz w:val="18"/>
                <w:szCs w:val="18"/>
              </w:rPr>
            </w:pPr>
            <w:r>
              <w:rPr>
                <w:rFonts w:ascii="宋体" w:hAnsi="宋体" w:cs="宋体" w:eastAsia="宋体" w:hint="default"/>
                <w:sz w:val="18"/>
                <w:szCs w:val="18"/>
              </w:rPr>
              <w:t>一种图像降噪处理方法及装 置</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0018208.6</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2346862</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235"/>
        <w:gridCol w:w="1885"/>
        <w:gridCol w:w="1719"/>
        <w:gridCol w:w="859"/>
        <w:gridCol w:w="1702"/>
        <w:gridCol w:w="1274"/>
      </w:tblGrid>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53"/>
              <w:jc w:val="left"/>
              <w:rPr>
                <w:rFonts w:ascii="宋体" w:hAnsi="宋体" w:cs="宋体" w:eastAsia="宋体" w:hint="default"/>
                <w:sz w:val="18"/>
                <w:szCs w:val="18"/>
              </w:rPr>
            </w:pPr>
            <w:r>
              <w:rPr>
                <w:rFonts w:ascii="宋体" w:hAnsi="宋体" w:cs="宋体" w:eastAsia="宋体" w:hint="default"/>
                <w:sz w:val="18"/>
                <w:szCs w:val="18"/>
              </w:rPr>
              <w:t>电视节目控制方法、终端、 电视接收器及系统</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 2013 1</w:t>
            </w:r>
            <w:r>
              <w:rPr>
                <w:rFonts w:ascii="Times New Roman"/>
                <w:spacing w:val="-6"/>
                <w:sz w:val="18"/>
              </w:rPr>
              <w:t> </w:t>
            </w:r>
            <w:r>
              <w:rPr>
                <w:rFonts w:ascii="Times New Roman"/>
                <w:sz w:val="18"/>
              </w:rPr>
              <w:t>0269317.0</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2363445</w:t>
            </w:r>
            <w:r>
              <w:rPr>
                <w:rFonts w:ascii="宋体" w:hAnsi="宋体" w:cs="宋体" w:eastAsia="宋体" w:hint="default"/>
                <w:sz w:val="18"/>
                <w:szCs w:val="18"/>
              </w:rPr>
              <w:t>号</w:t>
            </w:r>
          </w:p>
        </w:tc>
      </w:tr>
      <w:tr>
        <w:trPr>
          <w:trHeight w:val="65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一种应用在智能手表上的识 别方法</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0052088.1</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2377719</w:t>
            </w:r>
            <w:r>
              <w:rPr>
                <w:rFonts w:ascii="宋体" w:hAnsi="宋体" w:cs="宋体" w:eastAsia="宋体" w:hint="default"/>
                <w:sz w:val="18"/>
                <w:szCs w:val="18"/>
              </w:rPr>
              <w:t>号</w:t>
            </w:r>
          </w:p>
        </w:tc>
      </w:tr>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3"/>
              <w:jc w:val="left"/>
              <w:rPr>
                <w:rFonts w:ascii="宋体" w:hAnsi="宋体" w:cs="宋体" w:eastAsia="宋体" w:hint="default"/>
                <w:sz w:val="18"/>
                <w:szCs w:val="18"/>
              </w:rPr>
            </w:pPr>
            <w:r>
              <w:rPr>
                <w:rFonts w:ascii="宋体" w:hAnsi="宋体" w:cs="宋体" w:eastAsia="宋体" w:hint="default"/>
                <w:sz w:val="18"/>
                <w:szCs w:val="18"/>
              </w:rPr>
              <w:t>一种四线电阻触摸屏两点触 控手势识别的方法</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 2013 1</w:t>
            </w:r>
            <w:r>
              <w:rPr>
                <w:rFonts w:ascii="Times New Roman"/>
                <w:spacing w:val="-6"/>
                <w:sz w:val="18"/>
              </w:rPr>
              <w:t> </w:t>
            </w:r>
            <w:r>
              <w:rPr>
                <w:rFonts w:ascii="Times New Roman"/>
                <w:sz w:val="18"/>
              </w:rPr>
              <w:t>0269850.7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2377535</w:t>
            </w:r>
            <w:r>
              <w:rPr>
                <w:rFonts w:ascii="宋体" w:hAnsi="宋体" w:cs="宋体" w:eastAsia="宋体" w:hint="default"/>
                <w:sz w:val="18"/>
                <w:szCs w:val="18"/>
              </w:rPr>
              <w:t>号</w:t>
            </w:r>
          </w:p>
        </w:tc>
      </w:tr>
      <w:tr>
        <w:trPr>
          <w:trHeight w:val="65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一种系统休眠状态下的信息 显示方法与装置</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0085249.7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2378049</w:t>
            </w:r>
            <w:r>
              <w:rPr>
                <w:rFonts w:ascii="宋体" w:hAnsi="宋体" w:cs="宋体" w:eastAsia="宋体" w:hint="default"/>
                <w:sz w:val="18"/>
                <w:szCs w:val="18"/>
              </w:rPr>
              <w:t>号</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智能眼镜</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6"/>
                <w:sz w:val="18"/>
              </w:rPr>
              <w:t> </w:t>
            </w:r>
            <w:r>
              <w:rPr>
                <w:rFonts w:ascii="Times New Roman"/>
                <w:sz w:val="18"/>
              </w:rPr>
              <w:t>0002266.4</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2390825</w:t>
            </w:r>
            <w:r>
              <w:rPr>
                <w:rFonts w:ascii="宋体" w:hAnsi="宋体" w:cs="宋体" w:eastAsia="宋体" w:hint="default"/>
                <w:sz w:val="18"/>
                <w:szCs w:val="18"/>
              </w:rPr>
              <w:t>号</w:t>
            </w:r>
          </w:p>
        </w:tc>
      </w:tr>
      <w:tr>
        <w:trPr>
          <w:trHeight w:val="65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一种开发平台式集成电路装 置</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12"/>
                <w:sz w:val="18"/>
              </w:rPr>
              <w:t> </w:t>
            </w:r>
            <w:r>
              <w:rPr>
                <w:rFonts w:ascii="Times New Roman"/>
                <w:sz w:val="18"/>
              </w:rPr>
              <w:t>0508578.2</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6005988</w:t>
            </w:r>
            <w:r>
              <w:rPr>
                <w:rFonts w:ascii="宋体" w:hAnsi="宋体" w:cs="宋体" w:eastAsia="宋体" w:hint="default"/>
                <w:sz w:val="18"/>
                <w:szCs w:val="18"/>
              </w:rPr>
              <w:t>号</w:t>
            </w:r>
          </w:p>
        </w:tc>
      </w:tr>
      <w:tr>
        <w:trPr>
          <w:trHeight w:val="349"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一种焊球阵列结构</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6"/>
                <w:sz w:val="18"/>
              </w:rPr>
              <w:t> </w:t>
            </w:r>
            <w:r>
              <w:rPr>
                <w:rFonts w:ascii="Times New Roman"/>
                <w:sz w:val="18"/>
              </w:rPr>
              <w:t>1195178.7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6158182</w:t>
            </w:r>
            <w:r>
              <w:rPr>
                <w:rFonts w:ascii="宋体" w:hAnsi="宋体" w:cs="宋体" w:eastAsia="宋体" w:hint="default"/>
                <w:sz w:val="18"/>
                <w:szCs w:val="18"/>
              </w:rPr>
              <w:t>号</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一种智能眼镜</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6"/>
                <w:sz w:val="18"/>
              </w:rPr>
              <w:t> </w:t>
            </w:r>
            <w:r>
              <w:rPr>
                <w:rFonts w:ascii="Times New Roman"/>
                <w:sz w:val="18"/>
              </w:rPr>
              <w:t>1195679.5</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6160121</w:t>
            </w:r>
            <w:r>
              <w:rPr>
                <w:rFonts w:ascii="宋体" w:hAnsi="宋体" w:cs="宋体" w:eastAsia="宋体" w:hint="default"/>
                <w:sz w:val="18"/>
                <w:szCs w:val="18"/>
              </w:rPr>
              <w:t>号</w:t>
            </w:r>
          </w:p>
        </w:tc>
      </w:tr>
      <w:tr>
        <w:trPr>
          <w:trHeight w:val="65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一种确定运动矢量代价的方 法及装置</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0406661.4</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2585305</w:t>
            </w:r>
            <w:r>
              <w:rPr>
                <w:rFonts w:ascii="宋体" w:hAnsi="宋体" w:cs="宋体" w:eastAsia="宋体" w:hint="default"/>
                <w:sz w:val="18"/>
                <w:szCs w:val="18"/>
              </w:rPr>
              <w:t>号</w:t>
            </w:r>
          </w:p>
        </w:tc>
      </w:tr>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3"/>
              <w:jc w:val="left"/>
              <w:rPr>
                <w:rFonts w:ascii="宋体" w:hAnsi="宋体" w:cs="宋体" w:eastAsia="宋体" w:hint="default"/>
                <w:sz w:val="18"/>
                <w:szCs w:val="18"/>
              </w:rPr>
            </w:pPr>
            <w:r>
              <w:rPr>
                <w:rFonts w:ascii="宋体" w:hAnsi="宋体" w:cs="宋体" w:eastAsia="宋体" w:hint="default"/>
                <w:sz w:val="18"/>
                <w:szCs w:val="18"/>
              </w:rPr>
              <w:t>一种检测摄像头被遮挡的方 法及系统</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0422978.7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2588135</w:t>
            </w:r>
            <w:r>
              <w:rPr>
                <w:rFonts w:ascii="宋体" w:hAnsi="宋体" w:cs="宋体" w:eastAsia="宋体" w:hint="default"/>
                <w:sz w:val="18"/>
                <w:szCs w:val="18"/>
              </w:rPr>
              <w:t>号</w:t>
            </w:r>
          </w:p>
        </w:tc>
      </w:tr>
      <w:tr>
        <w:trPr>
          <w:trHeight w:val="65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一种运动估计中确定运动矢 量代价的方法及装置</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6"/>
                <w:sz w:val="18"/>
              </w:rPr>
              <w:t> </w:t>
            </w:r>
            <w:r>
              <w:rPr>
                <w:rFonts w:ascii="Times New Roman"/>
                <w:sz w:val="18"/>
              </w:rPr>
              <w:t>0406168.2</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2641471</w:t>
            </w:r>
            <w:r>
              <w:rPr>
                <w:rFonts w:ascii="宋体" w:hAnsi="宋体" w:cs="宋体" w:eastAsia="宋体" w:hint="default"/>
                <w:sz w:val="18"/>
                <w:szCs w:val="18"/>
              </w:rPr>
              <w:t>号</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一种组网系统</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12"/>
                <w:sz w:val="18"/>
              </w:rPr>
              <w:t> </w:t>
            </w:r>
            <w:r>
              <w:rPr>
                <w:rFonts w:ascii="Times New Roman"/>
                <w:sz w:val="18"/>
              </w:rPr>
              <w:t>1397804.0</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6928194</w:t>
            </w:r>
            <w:r>
              <w:rPr>
                <w:rFonts w:ascii="宋体" w:hAnsi="宋体" w:cs="宋体" w:eastAsia="宋体" w:hint="default"/>
                <w:sz w:val="18"/>
                <w:szCs w:val="18"/>
              </w:rPr>
              <w:t>号</w:t>
            </w:r>
          </w:p>
        </w:tc>
      </w:tr>
      <w:tr>
        <w:trPr>
          <w:trHeight w:val="660"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01"/>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HEVC</w:t>
            </w:r>
            <w:r>
              <w:rPr>
                <w:rFonts w:ascii="宋体" w:hAnsi="宋体" w:cs="宋体" w:eastAsia="宋体" w:hint="default"/>
                <w:sz w:val="18"/>
                <w:szCs w:val="18"/>
              </w:rPr>
              <w:t>的预测模式确定 方法及装置</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12"/>
                <w:sz w:val="18"/>
              </w:rPr>
              <w:t> </w:t>
            </w:r>
            <w:r>
              <w:rPr>
                <w:rFonts w:ascii="Times New Roman"/>
                <w:sz w:val="18"/>
              </w:rPr>
              <w:t>0137764.X</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二十年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2819039</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2964" w:right="84"/>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8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报告期内，公司在重点应用领域的销售收入均实现了增长，尤其在智能视频领域销售收入快速增长，使得公司总体营业</w:t>
      </w:r>
      <w:r>
        <w:rPr/>
        <w:t> </w:t>
      </w:r>
      <w:r>
        <w:rPr>
          <w:spacing w:val="-2"/>
        </w:rPr>
        <w:t>收入较去年同期增长幅度较大，但由于智能视频市场竞争激烈，公司在该领域的产品毛利率总体水平偏低。同时，公司在智</w:t>
      </w:r>
      <w:r>
        <w:rPr>
          <w:spacing w:val="-64"/>
        </w:rPr>
        <w:t> </w:t>
      </w:r>
      <w:r>
        <w:rPr>
          <w:spacing w:val="-64"/>
        </w:rPr>
      </w:r>
      <w:r>
        <w:rPr>
          <w:spacing w:val="-2"/>
        </w:rPr>
        <w:t>能视频领域的市场拓展支出导致销售费用同比增长，研发投入方面的支出同比也有所增长，而投资收益、政府补助同比有所</w:t>
      </w:r>
      <w:r>
        <w:rPr>
          <w:spacing w:val="-66"/>
        </w:rPr>
        <w:t> </w:t>
      </w:r>
      <w:r>
        <w:rPr>
          <w:spacing w:val="-66"/>
        </w:rPr>
      </w:r>
      <w:r>
        <w:rPr/>
        <w:t>下降，致使</w:t>
      </w:r>
      <w:r>
        <w:rPr>
          <w:rFonts w:ascii="Times New Roman" w:hAnsi="Times New Roman" w:cs="Times New Roman" w:eastAsia="Times New Roman" w:hint="default"/>
        </w:rPr>
        <w:t>2017</w:t>
      </w:r>
      <w:r>
        <w:rPr/>
        <w:t>年净利润同比下降。</w:t>
      </w:r>
    </w:p>
    <w:p>
      <w:pPr>
        <w:pStyle w:val="BodyText"/>
        <w:spacing w:line="300" w:lineRule="auto" w:before="37"/>
        <w:ind w:right="199" w:firstLine="360"/>
        <w:jc w:val="left"/>
      </w:pPr>
      <w:r>
        <w:rPr/>
        <w:t>报告期内，公司实现营业总收入</w:t>
      </w:r>
      <w:r>
        <w:rPr>
          <w:rFonts w:ascii="Times New Roman" w:hAnsi="Times New Roman" w:cs="Times New Roman" w:eastAsia="Times New Roman" w:hint="default"/>
        </w:rPr>
        <w:t>18,446.70</w:t>
      </w:r>
      <w:r>
        <w:rPr/>
        <w:t>万元，同比增长</w:t>
      </w:r>
      <w:r>
        <w:rPr>
          <w:rFonts w:ascii="Times New Roman" w:hAnsi="Times New Roman" w:cs="Times New Roman" w:eastAsia="Times New Roman" w:hint="default"/>
        </w:rPr>
        <w:t>65.17%</w:t>
      </w:r>
      <w:r>
        <w:rPr/>
        <w:t>；实现净利润</w:t>
      </w:r>
      <w:r>
        <w:rPr>
          <w:rFonts w:ascii="Times New Roman" w:hAnsi="Times New Roman" w:cs="Times New Roman" w:eastAsia="Times New Roman" w:hint="default"/>
        </w:rPr>
        <w:t>650.11</w:t>
      </w:r>
      <w:r>
        <w:rPr/>
        <w:t>万元，同比下降</w:t>
      </w:r>
      <w:r>
        <w:rPr>
          <w:rFonts w:ascii="Times New Roman" w:hAnsi="Times New Roman" w:cs="Times New Roman" w:eastAsia="Times New Roman" w:hint="default"/>
        </w:rPr>
        <w:t>7.81%</w:t>
      </w:r>
      <w:r>
        <w:rPr/>
        <w:t>，其中归属 于母公司股东的净利润</w:t>
      </w:r>
      <w:r>
        <w:rPr>
          <w:rFonts w:ascii="Times New Roman" w:hAnsi="Times New Roman" w:cs="Times New Roman" w:eastAsia="Times New Roman" w:hint="default"/>
        </w:rPr>
        <w:t>650.11</w:t>
      </w:r>
      <w:r>
        <w:rPr/>
        <w:t>万元，同比下降</w:t>
      </w:r>
      <w:r>
        <w:rPr>
          <w:rFonts w:ascii="Times New Roman" w:hAnsi="Times New Roman" w:cs="Times New Roman" w:eastAsia="Times New Roman" w:hint="default"/>
        </w:rPr>
        <w:t>7.81%</w:t>
      </w:r>
      <w:r>
        <w:rPr/>
        <w:t>。</w:t>
      </w:r>
    </w:p>
    <w:p>
      <w:pPr>
        <w:pStyle w:val="BodyText"/>
        <w:spacing w:line="240" w:lineRule="auto" w:before="53"/>
        <w:ind w:left="513" w:right="84"/>
        <w:jc w:val="left"/>
      </w:pPr>
      <w:r>
        <w:rPr/>
        <w:t>具体来说，公司各方面的经营情况如下：</w:t>
      </w:r>
    </w:p>
    <w:p>
      <w:pPr>
        <w:pStyle w:val="BodyText"/>
        <w:spacing w:line="338" w:lineRule="auto" w:before="117"/>
        <w:ind w:left="513" w:right="84"/>
        <w:jc w:val="left"/>
      </w:pPr>
      <w:r>
        <w:rPr>
          <w:rFonts w:ascii="Times New Roman" w:hAnsi="Times New Roman" w:cs="Times New Roman" w:eastAsia="Times New Roman" w:hint="default"/>
        </w:rPr>
        <w:t>1</w:t>
      </w:r>
      <w:r>
        <w:rPr/>
        <w:t>、技术研发方面 </w:t>
      </w:r>
      <w:r>
        <w:rPr>
          <w:spacing w:val="-2"/>
        </w:rPr>
        <w:t>根据公司总体战略布局，结合市场发展趋势，公司不断加强技术研发和技术创新能力，持续进行核心技术的研发，密切</w:t>
      </w:r>
    </w:p>
    <w:p>
      <w:pPr>
        <w:pStyle w:val="BodyText"/>
        <w:spacing w:line="316" w:lineRule="auto" w:before="2"/>
        <w:ind w:right="84"/>
        <w:jc w:val="left"/>
      </w:pPr>
      <w:r>
        <w:rPr>
          <w:spacing w:val="-2"/>
        </w:rPr>
        <w:t>关注新的技术方向，及时根据市场需求的变化趋势进行新产品的规划与开发，同时，公司通过对重点领域进行聚焦，不断加</w:t>
      </w:r>
      <w:r>
        <w:rPr>
          <w:spacing w:val="-64"/>
        </w:rPr>
        <w:t> </w:t>
      </w:r>
      <w:r>
        <w:rPr>
          <w:spacing w:val="-64"/>
        </w:rPr>
      </w:r>
      <w:r>
        <w:rPr/>
        <w:t>强研发管理，优化研发工作流程，进一步提高了研发工作的效率。</w:t>
      </w:r>
    </w:p>
    <w:p>
      <w:pPr>
        <w:pStyle w:val="BodyText"/>
        <w:spacing w:line="307" w:lineRule="auto" w:before="59"/>
        <w:ind w:right="84" w:firstLine="360"/>
        <w:jc w:val="left"/>
      </w:pPr>
      <w:r>
        <w:rPr>
          <w:spacing w:val="-1"/>
        </w:rPr>
        <w:t>报告期内，公司完成了</w:t>
      </w:r>
      <w:r>
        <w:rPr>
          <w:rFonts w:ascii="Times New Roman" w:hAnsi="Times New Roman" w:cs="Times New Roman" w:eastAsia="Times New Roman" w:hint="default"/>
          <w:spacing w:val="-1"/>
        </w:rPr>
        <w:t>XBurst2</w:t>
      </w:r>
      <w:r>
        <w:rPr>
          <w:rFonts w:ascii="Times New Roman" w:hAnsi="Times New Roman" w:cs="Times New Roman" w:eastAsia="Times New Roman" w:hint="default"/>
        </w:rPr>
        <w:t> </w:t>
      </w:r>
      <w:r>
        <w:rPr>
          <w:rFonts w:ascii="Times New Roman" w:hAnsi="Times New Roman" w:cs="Times New Roman" w:eastAsia="Times New Roman" w:hint="default"/>
          <w:spacing w:val="-2"/>
        </w:rPr>
        <w:t>CPU</w:t>
      </w:r>
      <w:r>
        <w:rPr>
          <w:spacing w:val="-2"/>
        </w:rPr>
        <w:t>核的设计、优化和相关的验证工作，基于</w:t>
      </w:r>
      <w:r>
        <w:rPr>
          <w:rFonts w:ascii="Times New Roman" w:hAnsi="Times New Roman" w:cs="Times New Roman" w:eastAsia="Times New Roman" w:hint="default"/>
          <w:spacing w:val="-2"/>
        </w:rPr>
        <w:t>Xburst2</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2"/>
        </w:rPr>
        <w:t>CPU</w:t>
      </w:r>
      <w:r>
        <w:rPr>
          <w:spacing w:val="-2"/>
        </w:rPr>
        <w:t>的芯片产品研发完成，并进行</w:t>
      </w:r>
      <w:r>
        <w:rPr/>
        <w:t> 了样片投产。由于</w:t>
      </w:r>
      <w:r>
        <w:rPr>
          <w:rFonts w:ascii="Times New Roman" w:hAnsi="Times New Roman" w:cs="Times New Roman" w:eastAsia="Times New Roman" w:hint="default"/>
        </w:rPr>
        <w:t>CPU</w:t>
      </w:r>
      <w:r>
        <w:rPr/>
        <w:t>核设计复杂度较高，样片投产后针对投片结果，公司对</w:t>
      </w:r>
      <w:r>
        <w:rPr>
          <w:rFonts w:ascii="Times New Roman" w:hAnsi="Times New Roman" w:cs="Times New Roman" w:eastAsia="Times New Roman" w:hint="default"/>
        </w:rPr>
        <w:t>Xburst2</w:t>
      </w:r>
      <w:r>
        <w:rPr/>
        <w:t>的相关技术进行了持续的优化完善， 预计于</w:t>
      </w:r>
      <w:r>
        <w:rPr>
          <w:rFonts w:ascii="Times New Roman" w:hAnsi="Times New Roman" w:cs="Times New Roman" w:eastAsia="Times New Roman" w:hint="default"/>
        </w:rPr>
        <w:t>2018</w:t>
      </w:r>
      <w:r>
        <w:rPr/>
        <w:t>年完成</w:t>
      </w:r>
      <w:r>
        <w:rPr>
          <w:rFonts w:ascii="Times New Roman" w:hAnsi="Times New Roman" w:cs="Times New Roman" w:eastAsia="Times New Roman" w:hint="default"/>
        </w:rPr>
        <w:t>CPU</w:t>
      </w:r>
      <w:r>
        <w:rPr/>
        <w:t>核的相关优化工作，并对基于</w:t>
      </w:r>
      <w:r>
        <w:rPr>
          <w:rFonts w:ascii="Times New Roman" w:hAnsi="Times New Roman" w:cs="Times New Roman" w:eastAsia="Times New Roman" w:hint="default"/>
        </w:rPr>
        <w:t>Xburst2</w:t>
      </w:r>
      <w:r>
        <w:rPr>
          <w:rFonts w:ascii="Times New Roman" w:hAnsi="Times New Roman" w:cs="Times New Roman" w:eastAsia="Times New Roman" w:hint="default"/>
          <w:spacing w:val="-7"/>
        </w:rPr>
        <w:t> </w:t>
      </w:r>
      <w:r>
        <w:rPr>
          <w:rFonts w:ascii="Times New Roman" w:hAnsi="Times New Roman" w:cs="Times New Roman" w:eastAsia="Times New Roman" w:hint="default"/>
        </w:rPr>
        <w:t>CPU</w:t>
      </w:r>
      <w:r>
        <w:rPr/>
        <w:t>的芯片产品再次投片，该产品将面向物联网类市场中的中 </w:t>
      </w:r>
      <w:r>
        <w:rPr>
          <w:spacing w:val="-2"/>
        </w:rPr>
        <w:t>高端应用。根据智能视频及相关领域的发展需求，公司持续推进视频编解码技术、影像和声音信号处理技术及图像信号处理</w:t>
      </w:r>
      <w:r>
        <w:rPr>
          <w:spacing w:val="-61"/>
        </w:rPr>
        <w:t> </w:t>
      </w:r>
      <w:r>
        <w:rPr>
          <w:spacing w:val="-61"/>
        </w:rPr>
      </w:r>
      <w:r>
        <w:rPr/>
        <w:t>技术等方面的技术开发，可支持</w:t>
      </w:r>
      <w:r>
        <w:rPr>
          <w:rFonts w:ascii="Times New Roman" w:hAnsi="Times New Roman" w:cs="Times New Roman" w:eastAsia="Times New Roman" w:hint="default"/>
        </w:rPr>
        <w:t>H.265</w:t>
      </w:r>
      <w:r>
        <w:rPr/>
        <w:t>的高端芯片完成了产品研发和量产投片工作；同时，针对人工智能领域的快速发展， </w:t>
      </w:r>
      <w:r>
        <w:rPr>
          <w:spacing w:val="-2"/>
        </w:rPr>
        <w:t>公司进行了计算机视觉和机器学习方面的技术与产品研发。公司持续优化针对智能视频领域的算法技术并逐步应用于公司的</w:t>
      </w:r>
      <w:r>
        <w:rPr>
          <w:spacing w:val="-65"/>
        </w:rPr>
        <w:t> </w:t>
      </w:r>
      <w:r>
        <w:rPr>
          <w:spacing w:val="-65"/>
        </w:rPr>
      </w:r>
      <w:r>
        <w:rPr/>
        <w:t>产品方案中，公司对神经网络处理器也进行了持续的研发工作。</w:t>
      </w:r>
    </w:p>
    <w:p>
      <w:pPr>
        <w:pStyle w:val="BodyText"/>
        <w:spacing w:line="314" w:lineRule="auto" w:before="67"/>
        <w:ind w:right="84" w:firstLine="360"/>
        <w:jc w:val="left"/>
      </w:pPr>
      <w:r>
        <w:rPr>
          <w:spacing w:val="-2"/>
        </w:rPr>
        <w:t>方案研发方面，公司根据市场需求变化，对面向智能音频领域的方案进行了不断的研发和优化，同时，在二维码、智能</w:t>
      </w:r>
      <w:r>
        <w:rPr/>
        <w:t> </w:t>
      </w:r>
      <w:r>
        <w:rPr>
          <w:spacing w:val="-2"/>
        </w:rPr>
        <w:t>音频、智能家电、智能视频等重点领域支持重点客户进行了个性化方案的开发，以协助客户加快研发进度，推动客户产品更</w:t>
      </w:r>
      <w:r>
        <w:rPr>
          <w:spacing w:val="-64"/>
        </w:rPr>
        <w:t> </w:t>
      </w:r>
      <w:r>
        <w:rPr>
          <w:spacing w:val="-64"/>
        </w:rPr>
      </w:r>
      <w:r>
        <w:rPr>
          <w:spacing w:val="-2"/>
        </w:rPr>
        <w:t>快地进入市场。此外，公司根据客户需求情况，对软硬件进行协同优化，面向二维码、智能门锁、智能音频等市场，推出了</w:t>
      </w:r>
      <w:r>
        <w:rPr>
          <w:spacing w:val="-70"/>
        </w:rPr>
        <w:t> </w:t>
      </w:r>
      <w:r>
        <w:rPr>
          <w:spacing w:val="-70"/>
        </w:rPr>
      </w:r>
      <w:r>
        <w:rPr>
          <w:spacing w:val="-2"/>
        </w:rPr>
        <w:t>订制化的专业开发平台、模组方案及核心板方案。基于公司芯片产品的各类方案在性能、功耗、稳定性等方面均显示了明显</w:t>
      </w:r>
      <w:r>
        <w:rPr>
          <w:spacing w:val="-65"/>
        </w:rPr>
        <w:t> </w:t>
      </w:r>
      <w:r>
        <w:rPr>
          <w:spacing w:val="-65"/>
        </w:rPr>
      </w:r>
      <w:r>
        <w:rPr>
          <w:spacing w:val="-2"/>
        </w:rPr>
        <w:t>的竞争优势。在智能视频领域，市场对电池类</w:t>
      </w:r>
      <w:r>
        <w:rPr>
          <w:rFonts w:ascii="Times New Roman" w:hAnsi="Times New Roman" w:cs="Times New Roman" w:eastAsia="Times New Roman" w:hint="default"/>
          <w:spacing w:val="-2"/>
        </w:rPr>
        <w:t>IPC</w:t>
      </w:r>
      <w:r>
        <w:rPr>
          <w:spacing w:val="-2"/>
        </w:rPr>
        <w:t>产品的需求日益增加，在该细分市场中公司产品低功耗的优势将更加突出，</w:t>
      </w:r>
      <w:r>
        <w:rPr>
          <w:spacing w:val="-74"/>
        </w:rPr>
        <w:t> </w:t>
      </w:r>
      <w:r>
        <w:rPr>
          <w:spacing w:val="-74"/>
        </w:rPr>
      </w:r>
      <w:r>
        <w:rPr/>
        <w:t>公司对电池类</w:t>
      </w:r>
      <w:r>
        <w:rPr>
          <w:rFonts w:ascii="Times New Roman" w:hAnsi="Times New Roman" w:cs="Times New Roman" w:eastAsia="Times New Roman" w:hint="default"/>
        </w:rPr>
        <w:t>IPC</w:t>
      </w:r>
      <w:r>
        <w:rPr/>
        <w:t>产品展开了“</w:t>
      </w:r>
      <w:r>
        <w:rPr>
          <w:rFonts w:ascii="Times New Roman" w:hAnsi="Times New Roman" w:cs="Times New Roman" w:eastAsia="Times New Roman" w:hint="default"/>
        </w:rPr>
        <w:t>Turnkey</w:t>
      </w:r>
      <w:r>
        <w:rPr/>
        <w:t>”解决方案的研发。</w:t>
      </w:r>
    </w:p>
    <w:p>
      <w:pPr>
        <w:pStyle w:val="BodyText"/>
        <w:spacing w:line="340" w:lineRule="auto" w:before="39"/>
        <w:ind w:left="513" w:right="84"/>
        <w:jc w:val="left"/>
      </w:pPr>
      <w:r>
        <w:rPr>
          <w:rFonts w:ascii="Times New Roman" w:hAnsi="Times New Roman" w:cs="Times New Roman" w:eastAsia="Times New Roman" w:hint="default"/>
        </w:rPr>
        <w:t>2</w:t>
      </w:r>
      <w:r>
        <w:rPr/>
        <w:t>、市场开拓方面 </w:t>
      </w:r>
      <w:r>
        <w:rPr>
          <w:spacing w:val="-2"/>
        </w:rPr>
        <w:t>公司不断加强市场宣传和拓展的力度，通过展会、微博、微信等各种方式进行产品的宣传推广，密切关注市场需求的发</w:t>
      </w:r>
    </w:p>
    <w:p>
      <w:pPr>
        <w:pStyle w:val="BodyText"/>
        <w:spacing w:line="319" w:lineRule="auto" w:before="1"/>
        <w:ind w:right="84"/>
        <w:jc w:val="left"/>
      </w:pPr>
      <w:r>
        <w:rPr>
          <w:spacing w:val="-2"/>
        </w:rPr>
        <w:t>展动态，结合公司产品面积小、功耗低、性价比突出的特点，深入挖掘各类市场的发展机会，加强对重点领域重点客户的支</w:t>
      </w:r>
      <w:r>
        <w:rPr>
          <w:spacing w:val="-67"/>
        </w:rPr>
        <w:t> </w:t>
      </w:r>
      <w:r>
        <w:rPr>
          <w:spacing w:val="-67"/>
        </w:rPr>
      </w:r>
      <w:r>
        <w:rPr/>
        <w:t>持与服务，积极推动客户的项目进度，并根据市场需求变化对新产品进行规划和定义。</w:t>
      </w:r>
    </w:p>
    <w:p>
      <w:pPr>
        <w:pStyle w:val="BodyText"/>
        <w:spacing w:line="307" w:lineRule="auto" w:before="58"/>
        <w:ind w:right="84" w:firstLine="360"/>
        <w:jc w:val="left"/>
      </w:pPr>
      <w:r>
        <w:rPr>
          <w:spacing w:val="-2"/>
        </w:rPr>
        <w:t>公司深入挖掘智能音频、二维码、生物识别等市场的发展机会，通过系列化的芯片产品、定制化专业开发平台满足市场</w:t>
      </w:r>
      <w:r>
        <w:rPr/>
        <w:t> </w:t>
      </w:r>
      <w:r>
        <w:rPr>
          <w:spacing w:val="-2"/>
        </w:rPr>
        <w:t>碎片化的需求。公司在音频市场中配合客户进行了智能音频产品的亚马逊</w:t>
      </w:r>
      <w:r>
        <w:rPr>
          <w:rFonts w:ascii="Times New Roman" w:hAnsi="Times New Roman" w:cs="Times New Roman" w:eastAsia="Times New Roman" w:hint="default"/>
          <w:spacing w:val="-2"/>
        </w:rPr>
        <w:t>AVS</w:t>
      </w:r>
      <w:r>
        <w:rPr>
          <w:spacing w:val="-2"/>
        </w:rPr>
        <w:t>认证工作，基于公司芯片的多种智能硬件产品</w:t>
      </w:r>
      <w:r>
        <w:rPr>
          <w:spacing w:val="-64"/>
        </w:rPr>
        <w:t> </w:t>
      </w:r>
      <w:r>
        <w:rPr>
          <w:spacing w:val="-64"/>
        </w:rPr>
      </w:r>
      <w:r>
        <w:rPr>
          <w:spacing w:val="-2"/>
        </w:rPr>
        <w:t>陆续上市。在二维码市场，公司的产品获得了重点客户的采用，并于</w:t>
      </w:r>
      <w:r>
        <w:rPr>
          <w:rFonts w:ascii="Times New Roman" w:hAnsi="Times New Roman" w:cs="Times New Roman" w:eastAsia="Times New Roman" w:hint="default"/>
          <w:spacing w:val="-2"/>
        </w:rPr>
        <w:t>2017</w:t>
      </w:r>
      <w:r>
        <w:rPr>
          <w:spacing w:val="-2"/>
        </w:rPr>
        <w:t>年末开始量产销售。公司在智能门锁市场启动了技</w:t>
      </w:r>
      <w:r>
        <w:rPr>
          <w:spacing w:val="-60"/>
        </w:rPr>
        <w:t> </w:t>
      </w:r>
      <w:r>
        <w:rPr>
          <w:spacing w:val="-60"/>
        </w:rPr>
      </w:r>
      <w:r>
        <w:rPr>
          <w:spacing w:val="-2"/>
        </w:rPr>
        <w:t>术评估，推出了相应的基础平台，并于年末协助客户进行产品落地工作。公司在智能手表领域配合客户推出的华米二代运动</w:t>
      </w:r>
      <w:r>
        <w:rPr>
          <w:spacing w:val="-63"/>
        </w:rPr>
        <w:t> </w:t>
      </w:r>
      <w:r>
        <w:rPr>
          <w:spacing w:val="-63"/>
        </w:rPr>
      </w:r>
      <w:r>
        <w:rPr/>
        <w:t>手表于</w:t>
      </w:r>
      <w:r>
        <w:rPr>
          <w:rFonts w:ascii="Times New Roman" w:hAnsi="Times New Roman" w:cs="Times New Roman" w:eastAsia="Times New Roman" w:hint="default"/>
        </w:rPr>
        <w:t>2017</w:t>
      </w:r>
      <w:r>
        <w:rPr/>
        <w:t>年末发布，获得市场的高度认可。在智能视频领域，公司积极布局传统安防市场和新兴家用</w:t>
      </w:r>
      <w:r>
        <w:rPr>
          <w:rFonts w:ascii="宋体" w:hAnsi="宋体" w:cs="宋体" w:eastAsia="宋体" w:hint="default"/>
        </w:rPr>
        <w:t>IPC</w:t>
      </w:r>
      <w:r>
        <w:rPr/>
        <w:t>产品、智能门铃 等消费类市场，并展开了电池类</w:t>
      </w:r>
      <w:r>
        <w:rPr>
          <w:rFonts w:ascii="Times New Roman" w:hAnsi="Times New Roman" w:cs="Times New Roman" w:eastAsia="Times New Roman" w:hint="default"/>
        </w:rPr>
        <w:t>IPC</w:t>
      </w:r>
      <w:r>
        <w:rPr/>
        <w:t>的市场拓展，包括</w:t>
      </w:r>
      <w:r>
        <w:rPr>
          <w:rFonts w:ascii="Times New Roman" w:hAnsi="Times New Roman" w:cs="Times New Roman" w:eastAsia="Times New Roman" w:hint="default"/>
        </w:rPr>
        <w:t>360</w:t>
      </w:r>
      <w:r>
        <w:rPr/>
        <w:t>、华来、萤石、爱耳目等在内的多家公司陆续采用了公司的芯片， </w:t>
      </w:r>
      <w:r>
        <w:rPr>
          <w:spacing w:val="-2"/>
        </w:rPr>
        <w:t>基于公司芯片的各类摄像头产品以及相关衍生产品陆续上市，公司面向人工智能领域的协处理器产品也逐渐得到更多客户的</w:t>
      </w:r>
      <w:r>
        <w:rPr>
          <w:spacing w:val="-64"/>
        </w:rPr>
        <w:t> </w:t>
      </w:r>
      <w:r>
        <w:rPr>
          <w:spacing w:val="-64"/>
        </w:rPr>
      </w:r>
      <w:r>
        <w:rPr/>
        <w:t>采用。在各个应用领域中，公司的芯片以高性能、低功耗和极具竞争力的性价比优势，获得市场与客户的认可和采用。</w:t>
      </w:r>
    </w:p>
    <w:p>
      <w:pPr>
        <w:pStyle w:val="BodyText"/>
        <w:spacing w:line="240" w:lineRule="auto" w:before="64"/>
        <w:ind w:left="513" w:right="0"/>
        <w:jc w:val="left"/>
      </w:pPr>
      <w:r>
        <w:rPr/>
        <w:t>此外，公司继续加大各类开发平台的研发和推广工作，进一步提高开发平台的开放度，帮助开发者更容易地基于公司的</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8" w:lineRule="auto" w:before="44"/>
        <w:ind w:left="513" w:right="0" w:hanging="361"/>
        <w:jc w:val="left"/>
      </w:pPr>
      <w:r>
        <w:rPr/>
        <w:t>平台进行产品开发，缩短客户从产品开发到上市的时间，以适应目前电子市场终端产品种类多、变化快的特点。 </w:t>
      </w:r>
      <w:r>
        <w:rPr>
          <w:rFonts w:ascii="Times New Roman" w:hAnsi="Times New Roman" w:cs="Times New Roman" w:eastAsia="Times New Roman" w:hint="default"/>
        </w:rPr>
        <w:t>3</w:t>
      </w:r>
      <w:r>
        <w:rPr/>
        <w:t>、经营管理方面 </w:t>
      </w:r>
      <w:r>
        <w:rPr>
          <w:spacing w:val="-2"/>
        </w:rPr>
        <w:t>公司不断调整和优化经营管理体制，完善法人治理结构，建立健全公司内部控制制度，注重人才队伍培养，努力提高公</w:t>
      </w:r>
    </w:p>
    <w:p>
      <w:pPr>
        <w:pStyle w:val="BodyText"/>
        <w:spacing w:line="309" w:lineRule="auto"/>
        <w:ind w:right="149"/>
        <w:jc w:val="both"/>
      </w:pPr>
      <w:r>
        <w:rPr>
          <w:spacing w:val="-2"/>
        </w:rPr>
        <w:t>司研发工作效率、提高公司整体管理水平。为进一步促进公司建立、健全长期有效的激励约束机制，充分调动公司管理人员</w:t>
      </w:r>
      <w:r>
        <w:rPr>
          <w:spacing w:val="-65"/>
        </w:rPr>
        <w:t> </w:t>
      </w:r>
      <w:r>
        <w:rPr>
          <w:spacing w:val="-65"/>
        </w:rPr>
      </w:r>
      <w:r>
        <w:rPr>
          <w:spacing w:val="-2"/>
        </w:rPr>
        <w:t>及员工的积极性，有效地将股东利益、公司利益和员工利益结合在一起，公司于</w:t>
      </w:r>
      <w:r>
        <w:rPr>
          <w:rFonts w:ascii="Times New Roman" w:hAnsi="Times New Roman" w:cs="Times New Roman" w:eastAsia="Times New Roman" w:hint="default"/>
          <w:spacing w:val="-2"/>
        </w:rPr>
        <w:t>2016</w:t>
      </w:r>
      <w:r>
        <w:rPr>
          <w:spacing w:val="-2"/>
        </w:rPr>
        <w:t>年实施了股票期权激励计划，将部分高</w:t>
      </w:r>
      <w:r>
        <w:rPr>
          <w:spacing w:val="-61"/>
        </w:rPr>
        <w:t> </w:t>
      </w:r>
      <w:r>
        <w:rPr>
          <w:spacing w:val="-61"/>
        </w:rPr>
      </w:r>
      <w:r>
        <w:rPr>
          <w:spacing w:val="-2"/>
        </w:rPr>
        <w:t>级管理人员、中层管理人员、核心业务（技术）人员纳入本次激励范围。报告期内，公司股票期权激励计划第一个行权期已</w:t>
      </w:r>
      <w:r>
        <w:rPr>
          <w:spacing w:val="-65"/>
        </w:rPr>
        <w:t> </w:t>
      </w:r>
      <w:r>
        <w:rPr>
          <w:spacing w:val="-65"/>
        </w:rPr>
      </w:r>
      <w:r>
        <w:rPr>
          <w:spacing w:val="-2"/>
        </w:rPr>
        <w:t>满足行权条件可以行权，行权期限为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日，公司完成了本次股票期权的自主行权相关登记申报工</w:t>
      </w:r>
      <w:r>
        <w:rPr>
          <w:spacing w:val="-56"/>
        </w:rPr>
        <w:t> </w:t>
      </w:r>
      <w:r>
        <w:rPr>
          <w:spacing w:val="-56"/>
        </w:rPr>
      </w:r>
      <w:r>
        <w:rPr/>
        <w:t>作。截至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日，公司股票期权激励计划第一个可行权期实际行权数量为</w:t>
      </w:r>
      <w:r>
        <w:rPr>
          <w:rFonts w:ascii="Times New Roman" w:hAnsi="Times New Roman" w:cs="Times New Roman" w:eastAsia="Times New Roman" w:hint="default"/>
        </w:rPr>
        <w:t>646,173</w:t>
      </w:r>
      <w:r>
        <w:rPr/>
        <w:t>股。</w:t>
      </w:r>
    </w:p>
    <w:p>
      <w:pPr>
        <w:pStyle w:val="BodyText"/>
        <w:spacing w:line="340" w:lineRule="auto" w:before="46"/>
        <w:ind w:left="513" w:right="143"/>
        <w:jc w:val="left"/>
      </w:pPr>
      <w:r>
        <w:rPr>
          <w:rFonts w:ascii="Times New Roman" w:hAnsi="Times New Roman" w:cs="Times New Roman" w:eastAsia="Times New Roman" w:hint="default"/>
        </w:rPr>
        <w:t>4</w:t>
      </w:r>
      <w:r>
        <w:rPr/>
        <w:t>、投资并购方面 报告期内，公司以自有资金人民币</w:t>
      </w:r>
      <w:r>
        <w:rPr>
          <w:rFonts w:ascii="Times New Roman" w:hAnsi="Times New Roman" w:cs="Times New Roman" w:eastAsia="Times New Roman" w:hint="default"/>
        </w:rPr>
        <w:t>500</w:t>
      </w:r>
      <w:r>
        <w:rPr/>
        <w:t>万元对捷联微芯继续增资，捷联微芯对内部股权进行了部分调整，同时，盈富泰</w:t>
      </w:r>
    </w:p>
    <w:p>
      <w:pPr>
        <w:pStyle w:val="BodyText"/>
        <w:spacing w:line="215" w:lineRule="exact"/>
        <w:ind w:right="0"/>
        <w:jc w:val="left"/>
      </w:pPr>
      <w:r>
        <w:rPr/>
        <w:t>克创业投资有限公司和云南南天盈富泰克信息产业创业投资合伙企业（有限合伙）分别对捷联微芯进行了增资，截至报告期</w:t>
      </w:r>
    </w:p>
    <w:p>
      <w:pPr>
        <w:pStyle w:val="BodyText"/>
        <w:spacing w:line="300" w:lineRule="auto" w:before="77"/>
        <w:ind w:right="153"/>
        <w:jc w:val="both"/>
      </w:pPr>
      <w:r>
        <w:rPr>
          <w:spacing w:val="-1"/>
        </w:rPr>
        <w:t>末，公司持有捷联微芯</w:t>
      </w:r>
      <w:r>
        <w:rPr>
          <w:rFonts w:ascii="Times New Roman" w:hAnsi="Times New Roman" w:cs="Times New Roman" w:eastAsia="Times New Roman" w:hint="default"/>
          <w:spacing w:val="-1"/>
        </w:rPr>
        <w:t>20%</w:t>
      </w:r>
      <w:r>
        <w:rPr>
          <w:spacing w:val="-1"/>
        </w:rPr>
        <w:t>的股权。捷联微芯主要从事物联网无线互联芯片设计，面向智能家居、安防监控、</w:t>
      </w:r>
      <w:r>
        <w:rPr>
          <w:rFonts w:ascii="Times New Roman" w:hAnsi="Times New Roman" w:cs="Times New Roman" w:eastAsia="Times New Roman" w:hint="default"/>
          <w:spacing w:val="-1"/>
        </w:rPr>
        <w:t>ETC</w:t>
      </w:r>
      <w:r>
        <w:rPr>
          <w:spacing w:val="-1"/>
        </w:rPr>
        <w:t>市场等应</w:t>
      </w:r>
      <w:r>
        <w:rPr>
          <w:spacing w:val="-73"/>
        </w:rPr>
        <w:t> </w:t>
      </w:r>
      <w:r>
        <w:rPr>
          <w:spacing w:val="-73"/>
        </w:rPr>
      </w:r>
      <w:r>
        <w:rPr/>
        <w:t>用领域，提供低功耗嵌入式物联芯片与解决方案。公司以自有资金完成了对北京柘量投资中心（有限合伙）第二期</w:t>
      </w:r>
      <w:r>
        <w:rPr>
          <w:rFonts w:ascii="Times New Roman" w:hAnsi="Times New Roman" w:cs="Times New Roman" w:eastAsia="Times New Roman" w:hint="default"/>
        </w:rPr>
        <w:t>2,000</w:t>
      </w:r>
      <w:r>
        <w:rPr/>
        <w:t>万 元的出资缴付，北京柘量投资中心（有限合伙）为公司参与的产业投资基金，公司认缴额人民币</w:t>
      </w:r>
      <w:r>
        <w:rPr>
          <w:rFonts w:ascii="Times New Roman" w:hAnsi="Times New Roman" w:cs="Times New Roman" w:eastAsia="Times New Roman" w:hint="default"/>
        </w:rPr>
        <w:t>4,000</w:t>
      </w:r>
      <w:r>
        <w:rPr/>
        <w:t>万元已全部缴付。</w:t>
      </w:r>
    </w:p>
    <w:p>
      <w:pPr>
        <w:pStyle w:val="BodyText"/>
        <w:spacing w:line="300" w:lineRule="auto" w:before="51"/>
        <w:ind w:right="144" w:firstLine="360"/>
        <w:jc w:val="left"/>
      </w:pPr>
      <w:r>
        <w:rPr>
          <w:spacing w:val="-1"/>
        </w:rPr>
        <w:t>公司拟收购北京豪威科技有限公司</w:t>
      </w:r>
      <w:r>
        <w:rPr>
          <w:rFonts w:ascii="Times New Roman" w:hAnsi="Times New Roman" w:cs="Times New Roman" w:eastAsia="Times New Roman" w:hint="default"/>
          <w:spacing w:val="-1"/>
        </w:rPr>
        <w:t>100%</w:t>
      </w:r>
      <w:r>
        <w:rPr>
          <w:spacing w:val="-1"/>
        </w:rPr>
        <w:t>股权、北京视信源科技发展有限公司</w:t>
      </w:r>
      <w:r>
        <w:rPr>
          <w:rFonts w:ascii="Times New Roman" w:hAnsi="Times New Roman" w:cs="Times New Roman" w:eastAsia="Times New Roman" w:hint="default"/>
          <w:spacing w:val="-1"/>
        </w:rPr>
        <w:t>100%</w:t>
      </w:r>
      <w:r>
        <w:rPr>
          <w:spacing w:val="-1"/>
        </w:rPr>
        <w:t>股权及北京思比科微电子技术股份有</w:t>
      </w:r>
      <w:r>
        <w:rPr/>
        <w:t> 限公司</w:t>
      </w:r>
      <w:r>
        <w:rPr>
          <w:rFonts w:ascii="Times New Roman" w:hAnsi="Times New Roman" w:cs="Times New Roman" w:eastAsia="Times New Roman" w:hint="default"/>
        </w:rPr>
        <w:t>40.4343%</w:t>
      </w:r>
      <w:r>
        <w:rPr/>
        <w:t>股权的重大资产重组事项，由于国内证券市场环境、政策等客观情况发生了较大变化，报告期内，经公司 与重大资产重组标的方审慎研究，各方一致同意终止公司重大资产重组，公司于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日召开的第三届董事会第十六 次会议和第三届监事会第十一次会议审议通过了《关于终止重大资产重组事项的议案》等相关议案。</w:t>
      </w:r>
    </w:p>
    <w:p>
      <w:pPr>
        <w:pStyle w:val="BodyText"/>
        <w:spacing w:line="340" w:lineRule="auto" w:before="72"/>
        <w:ind w:left="513" w:right="3293"/>
        <w:jc w:val="left"/>
      </w:pPr>
      <w:r>
        <w:rPr>
          <w:rFonts w:ascii="Times New Roman" w:hAnsi="Times New Roman" w:cs="Times New Roman" w:eastAsia="Times New Roman" w:hint="default"/>
        </w:rPr>
        <w:t>5</w:t>
      </w:r>
      <w:r>
        <w:rPr/>
        <w:t>、在建工程方面 报告期内，合肥君正研发楼完成了主体结构的建设，并展开了内部装修工作。</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994"/>
        <w:jc w:val="left"/>
      </w:pPr>
      <w:r>
        <w:rPr/>
        <w:t>公司是否需要遵守光伏产业链相关业的披露要求 否</w:t>
      </w:r>
    </w:p>
    <w:p>
      <w:pPr>
        <w:pStyle w:val="BodyText"/>
        <w:spacing w:line="340" w:lineRule="auto" w:before="29"/>
        <w:ind w:right="41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43"/>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39"/>
        <w:ind w:right="153"/>
        <w:jc w:val="left"/>
      </w:pPr>
      <w:r>
        <w:rPr/>
        <w:t>营业收入整体情况</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184,467,019.32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111,685,840.09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65.17%</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7"/>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174,177,203.61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102,843,493.11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69.36%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10,289,815.71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8,842,346.98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90,268,384.71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70,667,593.05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81,223,331.57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30,114,337.60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1,047,951.46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962,948.11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1,637,535.87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1,098,614.35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10,289,815.71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8,842,346.98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16.37%</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82,646,120.85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52,858,288.31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91,531,082.76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49,985,204.80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10,289,815.71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8,842,346.98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174,177,203.61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115,458,612.65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10,289,815.71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741,665.67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微处理器芯片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90,268,384.71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49,635,773.50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智能视频芯片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81,223,331.57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65,510,499.72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1,047,951.46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1,637,535.87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312,339.43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12.41%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10,289,815.71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741,665.67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82,646,120.85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48,257,344.17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113.67%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91,531,082.76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67,201,268.48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10,289,815.71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741,665.67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bl>
    <w:p>
      <w:pPr>
        <w:pStyle w:val="BodyText"/>
        <w:spacing w:line="240" w:lineRule="auto" w:before="49"/>
        <w:ind w:right="15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10,540,225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5,743,183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83.53%</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11,786,349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69.91%</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54.55%</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报告期内，公司在智能视频领域及其他重点领域的销售快速增长，为满足公司的市场销售，公司产品的生产量和库存量</w:t>
      </w:r>
    </w:p>
    <w:p>
      <w:pPr>
        <w:pStyle w:val="BodyText"/>
        <w:spacing w:line="240" w:lineRule="auto" w:before="2"/>
        <w:ind w:right="153"/>
        <w:jc w:val="left"/>
      </w:pPr>
      <w:r>
        <w:rPr/>
        <w:t>同比增长。</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行业分类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晶圆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90,110,808.56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43,676,036.48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封装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23,513,198.86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13,361,565.11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1,519,290.17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1,728,486.05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集成电路设计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315,315.06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0.26%</w:t>
            </w:r>
          </w:p>
        </w:tc>
      </w:tr>
    </w:tbl>
    <w:p>
      <w:pPr>
        <w:pStyle w:val="BodyText"/>
        <w:spacing w:line="240" w:lineRule="auto" w:before="49"/>
        <w:ind w:right="153"/>
        <w:jc w:val="left"/>
      </w:pPr>
      <w:r>
        <w:rPr/>
        <w:t>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88,600,601.64</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48.03%</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39,817,124.15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21.58%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13,658,783.29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12,598,191.11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6.83%</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12,257,715.06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10,268,788.03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88,600,601.64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48.03%</w:t>
            </w:r>
          </w:p>
        </w:tc>
      </w:tr>
    </w:tbl>
    <w:p>
      <w:pPr>
        <w:pStyle w:val="BodyText"/>
        <w:spacing w:line="240" w:lineRule="auto" w:before="49"/>
        <w:ind w:right="153"/>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0"/>
        <w:rPr>
          <w:rFonts w:ascii="宋体" w:hAnsi="宋体" w:cs="宋体" w:eastAsia="宋体" w:hint="default"/>
          <w:sz w:val="2"/>
          <w:szCs w:val="2"/>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237;top:14;width:22;height:394" coordorigin="4237,14" coordsize="22,394">
              <v:shape style="position:absolute;left:4237;top:14;width:22;height:394" coordorigin="4237,14" coordsize="22,394" path="m4237,408l4259,408,4259,14,4237,14,4237,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204;height:394" coordorigin="34,14" coordsize="4204,394">
              <v:shape style="position:absolute;left:34;top:14;width:4204;height:394" coordorigin="34,14" coordsize="4204,394" path="m34,408l4237,408,4237,14,34,14,34,408xe" filled="true" fillcolor="#d2d2d2" stroked="false">
                <v:path arrowok="t"/>
                <v:fill type="solid"/>
              </v:shape>
            </v:group>
            <v:group style="position:absolute;left:10;top:10;width:4249;height:2" coordorigin="10,10" coordsize="4249,2">
              <v:shape style="position:absolute;left:10;top:10;width:4249;height:2" coordorigin="10,10" coordsize="4249,0" path="m10,10l4259,10e" filled="false" stroked="true" strokeweight=".48004pt" strokecolor="#000000">
                <v:path arrowok="t"/>
              </v:shape>
            </v:group>
            <v:group style="position:absolute;left:4268;top:10;width:5303;height:2" coordorigin="4268,10" coordsize="5303,2">
              <v:shape style="position:absolute;left:4268;top:10;width:5303;height:2" coordorigin="4268,10" coordsize="5303,0" path="m4268,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249;height:2" coordorigin="10,413" coordsize="4249,2">
              <v:shape style="position:absolute;left:10;top:413;width:4249;height:2" coordorigin="10,413" coordsize="4249,0" path="m10,413l4259,413e" filled="false" stroked="true" strokeweight=".47998pt" strokecolor="#000000">
                <v:path arrowok="t"/>
              </v:shape>
            </v:group>
            <v:group style="position:absolute;left:4263;top:5;width:2;height:413" coordorigin="4263,5" coordsize="2,413">
              <v:shape style="position:absolute;left:4263;top:5;width:2;height:413" coordorigin="4263,5" coordsize="0,413" path="m4263,5l4263,418e" filled="false" stroked="true" strokeweight=".48001pt" strokecolor="#000000">
                <v:path arrowok="t"/>
              </v:shape>
            </v:group>
            <v:group style="position:absolute;left:4268;top:413;width:5303;height:2" coordorigin="4268,413" coordsize="5303,2">
              <v:shape style="position:absolute;left:4268;top:413;width:5303;height:2" coordorigin="4268,413" coordsize="5303,0" path="m4268,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258;height:404"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xbxContent>
                </v:textbox>
                <w10:wrap type="none"/>
              </v:shape>
              <v:shape style="position:absolute;left:4263;top:10;width:5313;height:404"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129,462,600.44</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75.54%</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8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53,730,651.59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24,765,233.35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22,892,506.59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20,463,491.62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7,610,717.29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129,462,600.44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75.54%</w:t>
            </w:r>
          </w:p>
        </w:tc>
      </w:tr>
    </w:tbl>
    <w:p>
      <w:pPr>
        <w:pStyle w:val="BodyText"/>
        <w:spacing w:line="240" w:lineRule="auto" w:before="49"/>
        <w:ind w:right="84"/>
        <w:jc w:val="left"/>
      </w:pPr>
      <w:r>
        <w:rPr/>
        <w:t>主要供应商其他情况说明</w:t>
      </w:r>
    </w:p>
    <w:p>
      <w:pPr>
        <w:pStyle w:val="BodyText"/>
        <w:spacing w:line="240" w:lineRule="auto" w:before="115"/>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7,339,752.88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1,927,160.91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市场推广费用、服务费增加所致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83,795,173.16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77,399,046.03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-247,405.86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-1,206,708.08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利息收入减少所致</w:t>
            </w:r>
          </w:p>
        </w:tc>
      </w:tr>
    </w:tbl>
    <w:p>
      <w:pPr>
        <w:spacing w:line="240" w:lineRule="auto" w:before="3"/>
        <w:rPr>
          <w:rFonts w:ascii="宋体" w:hAnsi="宋体" w:cs="宋体" w:eastAsia="宋体" w:hint="default"/>
          <w:sz w:val="19"/>
          <w:szCs w:val="19"/>
        </w:rPr>
      </w:pPr>
    </w:p>
    <w:p>
      <w:pPr>
        <w:pStyle w:val="Heading3"/>
        <w:spacing w:line="240" w:lineRule="auto" w:before="36"/>
        <w:ind w:right="8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8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芯片设计行业是高技术含量的行业，技术发展更新较快，研发投入较大，为保持公司的技术创新能力，及时跟进前沿技</w:t>
      </w:r>
    </w:p>
    <w:p>
      <w:pPr>
        <w:pStyle w:val="BodyText"/>
        <w:spacing w:line="300" w:lineRule="auto" w:before="1"/>
        <w:ind w:right="184"/>
        <w:jc w:val="left"/>
      </w:pPr>
      <w:r>
        <w:rPr>
          <w:spacing w:val="-6"/>
        </w:rPr>
        <w:t>术的发展，公司一直高度重视研发投入。报告期内，公司持续推进各类研发项目，重视技术研发和创新，研发费用支出</w:t>
      </w:r>
      <w:r>
        <w:rPr>
          <w:rFonts w:ascii="Times New Roman" w:hAnsi="Times New Roman" w:cs="Times New Roman" w:eastAsia="Times New Roman" w:hint="default"/>
          <w:spacing w:val="-6"/>
        </w:rPr>
        <w:t>5,674.01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万元，占营业收入的</w:t>
      </w:r>
      <w:r>
        <w:rPr>
          <w:rFonts w:ascii="Times New Roman" w:hAnsi="Times New Roman" w:cs="Times New Roman" w:eastAsia="Times New Roman" w:hint="default"/>
        </w:rPr>
        <w:t>30.76%</w:t>
      </w:r>
      <w:r>
        <w:rPr/>
        <w:t>。</w:t>
      </w:r>
    </w:p>
    <w:p>
      <w:pPr>
        <w:pStyle w:val="BodyText"/>
        <w:spacing w:line="309" w:lineRule="auto" w:before="53"/>
        <w:ind w:right="84" w:firstLine="360"/>
        <w:jc w:val="left"/>
      </w:pPr>
      <w:r>
        <w:rPr/>
        <w:t>报告期内，公司进行了多项核心技术、芯片产品和方案的研发工作。在核心技术方面，公司完成了</w:t>
      </w:r>
      <w:r>
        <w:rPr>
          <w:rFonts w:ascii="Times New Roman" w:hAnsi="Times New Roman" w:cs="Times New Roman" w:eastAsia="Times New Roman" w:hint="default"/>
        </w:rPr>
        <w:t>XBurst2</w:t>
      </w:r>
      <w:r>
        <w:rPr>
          <w:rFonts w:ascii="Times New Roman" w:hAnsi="Times New Roman" w:cs="Times New Roman" w:eastAsia="Times New Roman" w:hint="default"/>
          <w:spacing w:val="-7"/>
        </w:rPr>
        <w:t> </w:t>
      </w:r>
      <w:r>
        <w:rPr>
          <w:rFonts w:ascii="Times New Roman" w:hAnsi="Times New Roman" w:cs="Times New Roman" w:eastAsia="Times New Roman" w:hint="default"/>
        </w:rPr>
        <w:t>CPU</w:t>
      </w:r>
      <w:r>
        <w:rPr/>
        <w:t>核的设 计、优化和相关的验证工作以及基于</w:t>
      </w:r>
      <w:r>
        <w:rPr>
          <w:rFonts w:ascii="Times New Roman" w:hAnsi="Times New Roman" w:cs="Times New Roman" w:eastAsia="Times New Roman" w:hint="default"/>
        </w:rPr>
        <w:t>Xburst2 CPU</w:t>
      </w:r>
      <w:r>
        <w:rPr/>
        <w:t>的芯片产品的研发与样片投产，针对投片结果，公司对</w:t>
      </w:r>
      <w:r>
        <w:rPr>
          <w:rFonts w:ascii="Times New Roman" w:hAnsi="Times New Roman" w:cs="Times New Roman" w:eastAsia="Times New Roman" w:hint="default"/>
        </w:rPr>
        <w:t>Xburst2</w:t>
      </w:r>
      <w:r>
        <w:rPr>
          <w:rFonts w:ascii="Times New Roman" w:hAnsi="Times New Roman" w:cs="Times New Roman" w:eastAsia="Times New Roman" w:hint="default"/>
          <w:spacing w:val="-35"/>
        </w:rPr>
        <w:t> </w:t>
      </w:r>
      <w:r>
        <w:rPr>
          <w:rFonts w:ascii="Times New Roman" w:hAnsi="Times New Roman" w:cs="Times New Roman" w:eastAsia="Times New Roman" w:hint="default"/>
        </w:rPr>
        <w:t>CPU</w:t>
      </w:r>
      <w:r>
        <w:rPr/>
        <w:t>的相关 </w:t>
      </w:r>
      <w:r>
        <w:rPr>
          <w:spacing w:val="-2"/>
        </w:rPr>
        <w:t>模块和技术进行了持续的优化和完善；根据重点业务领域的发展需求，公司继续推进视频编解码技术、影像和声音信号处理</w:t>
      </w:r>
      <w:r>
        <w:rPr>
          <w:spacing w:val="-63"/>
        </w:rPr>
        <w:t> </w:t>
      </w:r>
      <w:r>
        <w:rPr>
          <w:spacing w:val="-63"/>
        </w:rPr>
      </w:r>
      <w:r>
        <w:rPr>
          <w:spacing w:val="-4"/>
        </w:rPr>
        <w:t>技术、图像信号处理技术及计算机视觉和机器学习等方面的技术开发。在芯片研发方面，公司展开了系列芯片新产品的规划、</w:t>
      </w:r>
      <w:r>
        <w:rPr>
          <w:spacing w:val="-45"/>
        </w:rPr>
        <w:t> </w:t>
      </w:r>
      <w:r>
        <w:rPr>
          <w:spacing w:val="-45"/>
        </w:rPr>
      </w:r>
      <w:r>
        <w:rPr>
          <w:spacing w:val="-2"/>
        </w:rPr>
        <w:t>研发和投片工作，并完成了部分新产品的投片和量产工作。方案研发方面，公司对智能音频市场的方案进行了不断的研发和</w:t>
      </w:r>
      <w:r>
        <w:rPr>
          <w:spacing w:val="-63"/>
        </w:rPr>
        <w:t> </w:t>
      </w:r>
      <w:r>
        <w:rPr>
          <w:spacing w:val="-63"/>
        </w:rPr>
      </w:r>
      <w:r>
        <w:rPr/>
        <w:t>优化，展开了电池类</w:t>
      </w:r>
      <w:r>
        <w:rPr>
          <w:rFonts w:ascii="Times New Roman" w:hAnsi="Times New Roman" w:cs="Times New Roman" w:eastAsia="Times New Roman" w:hint="default"/>
        </w:rPr>
        <w:t>IPC</w:t>
      </w:r>
      <w:r>
        <w:rPr/>
        <w:t>的方案研发，并根据客户需求情况，面向二维码、智能门锁、智能音频等市场推出了订制化的专业 开发平台、模组方案及核心板方案。</w:t>
      </w:r>
    </w:p>
    <w:p>
      <w:pPr>
        <w:pStyle w:val="BodyText"/>
        <w:spacing w:line="240" w:lineRule="auto" w:before="62"/>
        <w:ind w:left="513" w:right="84"/>
        <w:jc w:val="left"/>
      </w:pPr>
      <w:r>
        <w:rPr/>
        <w:t>公司在自主核心技术上的不断积累以及对各重点领域整体解决方案的研发能力不断提高</w:t>
      </w:r>
      <w:r>
        <w:rPr>
          <w:spacing w:val="-82"/>
        </w:rPr>
        <w:t>，</w:t>
      </w:r>
      <w:r>
        <w:rPr/>
        <w:t>将有力推动公司对新市场的拓</w:t>
      </w:r>
    </w:p>
    <w:p>
      <w:pPr>
        <w:pStyle w:val="BodyText"/>
        <w:spacing w:line="360" w:lineRule="auto" w:before="76"/>
        <w:ind w:right="6214"/>
        <w:jc w:val="left"/>
      </w:pPr>
      <w:r>
        <w:rPr/>
        <w:t>展。 近三年公司研发投入金额及占营业收入的比例</w:t>
      </w:r>
    </w:p>
    <w:tbl>
      <w:tblPr>
        <w:tblW w:w="0" w:type="auto"/>
        <w:jc w:val="left"/>
        <w:tblInd w:w="149" w:type="dxa"/>
        <w:tblLayout w:type="fixed"/>
        <w:tblCellMar>
          <w:top w:w="0" w:type="dxa"/>
          <w:left w:w="0" w:type="dxa"/>
          <w:bottom w:w="0" w:type="dxa"/>
          <w:right w:w="0" w:type="dxa"/>
        </w:tblCellMar>
        <w:tblLook w:val="01E0"/>
      </w:tblPr>
      <w:tblGrid>
        <w:gridCol w:w="2976"/>
        <w:gridCol w:w="2213"/>
        <w:gridCol w:w="2211"/>
        <w:gridCol w:w="2211"/>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6"/>
        <w:gridCol w:w="2213"/>
        <w:gridCol w:w="2211"/>
        <w:gridCol w:w="2211"/>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77.45%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67.62%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80.89%</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56,740,130.85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49,454,741.53</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51,001,797.22</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30.76%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44.28%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72.75%</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84"/>
        <w:jc w:val="left"/>
      </w:pPr>
      <w:r>
        <w:rPr/>
        <w:t>研发投入总额占营业收入的比重较上年发生显著变化的原因</w:t>
      </w:r>
    </w:p>
    <w:p>
      <w:pPr>
        <w:pStyle w:val="BodyText"/>
        <w:spacing w:line="340" w:lineRule="auto" w:before="115"/>
        <w:ind w:left="513" w:right="8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本年度研发费用支出</w:t>
      </w:r>
      <w:r>
        <w:rPr>
          <w:rFonts w:ascii="Times New Roman" w:hAnsi="Times New Roman" w:cs="Times New Roman" w:eastAsia="Times New Roman" w:hint="default"/>
          <w:spacing w:val="-2"/>
        </w:rPr>
        <w:t>5,674.01</w:t>
      </w:r>
      <w:r>
        <w:rPr>
          <w:spacing w:val="-2"/>
        </w:rPr>
        <w:t>万元，占营业收入的</w:t>
      </w:r>
      <w:r>
        <w:rPr>
          <w:rFonts w:ascii="Times New Roman" w:hAnsi="Times New Roman" w:cs="Times New Roman" w:eastAsia="Times New Roman" w:hint="default"/>
          <w:spacing w:val="-2"/>
        </w:rPr>
        <w:t>30.76%</w:t>
      </w:r>
      <w:r>
        <w:rPr>
          <w:spacing w:val="-2"/>
        </w:rPr>
        <w:t>，较去年同期下降</w:t>
      </w:r>
      <w:r>
        <w:rPr>
          <w:rFonts w:ascii="Times New Roman" w:hAnsi="Times New Roman" w:cs="Times New Roman" w:eastAsia="Times New Roman" w:hint="default"/>
          <w:spacing w:val="-2"/>
        </w:rPr>
        <w:t>13.52%</w:t>
      </w:r>
      <w:r>
        <w:rPr>
          <w:spacing w:val="-2"/>
        </w:rPr>
        <w:t>，主要系</w:t>
      </w:r>
      <w:r>
        <w:rPr>
          <w:rFonts w:ascii="Times New Roman" w:hAnsi="Times New Roman" w:cs="Times New Roman" w:eastAsia="Times New Roman" w:hint="default"/>
          <w:spacing w:val="-2"/>
        </w:rPr>
        <w:t>2017</w:t>
      </w:r>
      <w:r>
        <w:rPr>
          <w:spacing w:val="-2"/>
        </w:rPr>
        <w:t>年度营业收入大幅增长，</w:t>
      </w:r>
    </w:p>
    <w:p>
      <w:pPr>
        <w:pStyle w:val="BodyText"/>
        <w:spacing w:line="215" w:lineRule="exact"/>
        <w:ind w:right="84"/>
        <w:jc w:val="left"/>
      </w:pPr>
      <w:r>
        <w:rPr/>
        <w:t>营业收入的增长幅度大于研发费用的增长幅度所致。</w:t>
      </w:r>
    </w:p>
    <w:p>
      <w:pPr>
        <w:pStyle w:val="BodyText"/>
        <w:spacing w:line="240" w:lineRule="auto" w:before="117"/>
        <w:ind w:right="84"/>
        <w:jc w:val="left"/>
      </w:pPr>
      <w:r>
        <w:rPr/>
        <w:t>研发投入资本化率大幅变动的原因及其合理性说明</w:t>
      </w:r>
    </w:p>
    <w:p>
      <w:pPr>
        <w:pStyle w:val="BodyText"/>
        <w:spacing w:line="240" w:lineRule="auto" w:before="115"/>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2324"/>
        <w:gridCol w:w="2324"/>
        <w:gridCol w:w="2326"/>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237,452,345.31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137,432,808.09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72.78%</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268,146,383.00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203,156,138.62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31.99%</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-30,694,037.69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-65,723,330.53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53.30%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3,115,342,621.31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3,605,344,810.04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-13.59%</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3,261,915,219.64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3,373,013,779.15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-146,572,598.33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232,331,030.89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-163.09%</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13,242,863.39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4,998,884.37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13,242,863.39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-4,998,884.37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364.92%</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-164,297,333.19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161,695,982.01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-201.61%</w:t>
            </w:r>
          </w:p>
        </w:tc>
      </w:tr>
    </w:tbl>
    <w:p>
      <w:pPr>
        <w:pStyle w:val="BodyText"/>
        <w:spacing w:line="240" w:lineRule="auto" w:before="49"/>
        <w:ind w:right="84"/>
        <w:jc w:val="left"/>
      </w:pPr>
      <w:r>
        <w:rPr/>
        <w:t>相关数据同比发生重大变动的主要影响因素说明</w:t>
      </w:r>
    </w:p>
    <w:p>
      <w:pPr>
        <w:pStyle w:val="BodyText"/>
        <w:spacing w:line="340" w:lineRule="auto" w:before="115"/>
        <w:ind w:left="513" w:right="8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本报告期，公司营业收入快速增长致销售商品、提供劳务收到的现金收入同比增长，同时由于销售增长导致用于购买商</w:t>
      </w:r>
    </w:p>
    <w:p>
      <w:pPr>
        <w:pStyle w:val="BodyText"/>
        <w:spacing w:line="338" w:lineRule="auto" w:before="1"/>
        <w:ind w:left="513" w:right="84" w:hanging="361"/>
        <w:jc w:val="left"/>
      </w:pPr>
      <w:r>
        <w:rPr/>
        <w:t>品、接受劳务支付的现金增加，综合上述原因公司经营活动产生的现金流量净额同比增长</w:t>
      </w:r>
      <w:r>
        <w:rPr>
          <w:rFonts w:ascii="Times New Roman" w:hAnsi="Times New Roman" w:cs="Times New Roman" w:eastAsia="Times New Roman" w:hint="default"/>
        </w:rPr>
        <w:t>53.30%</w:t>
      </w:r>
      <w:r>
        <w:rPr/>
        <w:t>； 本报告期，投资活动产生的现金流净额同比上年下降</w:t>
      </w:r>
      <w:r>
        <w:rPr>
          <w:rFonts w:ascii="Times New Roman" w:hAnsi="Times New Roman" w:cs="Times New Roman" w:eastAsia="Times New Roman" w:hint="default"/>
        </w:rPr>
        <w:t>163.09%</w:t>
      </w:r>
      <w:r>
        <w:rPr/>
        <w:t>，主要系公司购买理财产品并且未到期收回资金所致； </w:t>
      </w:r>
      <w:r>
        <w:rPr>
          <w:spacing w:val="-1"/>
        </w:rPr>
        <w:t>本报告期，筹资活动产生的现金流量净额同比增长</w:t>
      </w:r>
      <w:r>
        <w:rPr>
          <w:rFonts w:ascii="Times New Roman" w:hAnsi="Times New Roman" w:cs="Times New Roman" w:eastAsia="Times New Roman" w:hint="default"/>
          <w:spacing w:val="-1"/>
        </w:rPr>
        <w:t>364.92%</w:t>
      </w:r>
      <w:r>
        <w:rPr>
          <w:spacing w:val="-1"/>
        </w:rPr>
        <w:t>，主要系员工股权激励进入行权阶段，股权激励行权致使筹</w:t>
      </w:r>
    </w:p>
    <w:p>
      <w:pPr>
        <w:pStyle w:val="BodyText"/>
        <w:spacing w:line="217" w:lineRule="exact"/>
        <w:ind w:right="84"/>
        <w:jc w:val="left"/>
      </w:pPr>
      <w:r>
        <w:rPr/>
        <w:t>资活动现金流入同比增长所致。</w:t>
      </w:r>
    </w:p>
    <w:p>
      <w:pPr>
        <w:pStyle w:val="BodyText"/>
        <w:spacing w:line="240" w:lineRule="auto" w:before="117"/>
        <w:ind w:right="84"/>
        <w:jc w:val="left"/>
      </w:pPr>
      <w:r>
        <w:rPr/>
        <w:t>报告期内公司经营活动产生的现金净流量与本年度净利润存在重大差异的原因说明</w:t>
      </w:r>
    </w:p>
    <w:p>
      <w:pPr>
        <w:pStyle w:val="BodyText"/>
        <w:spacing w:line="240" w:lineRule="auto" w:before="114"/>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58" w:firstLine="360"/>
        <w:jc w:val="both"/>
      </w:pPr>
      <w:r>
        <w:rPr/>
        <w:t>报告期内经营活动产生的现金流量净额为</w:t>
      </w:r>
      <w:r>
        <w:rPr>
          <w:rFonts w:ascii="Times New Roman" w:hAnsi="Times New Roman" w:cs="Times New Roman" w:eastAsia="Times New Roman" w:hint="default"/>
        </w:rPr>
        <w:t>-30,694,037.69</w:t>
      </w:r>
      <w:r>
        <w:rPr/>
        <w:t>元，同期净利润为</w:t>
      </w:r>
      <w:r>
        <w:rPr>
          <w:rFonts w:ascii="Times New Roman" w:hAnsi="Times New Roman" w:cs="Times New Roman" w:eastAsia="Times New Roman" w:hint="default"/>
        </w:rPr>
        <w:t>6,501,097.82</w:t>
      </w:r>
      <w:r>
        <w:rPr/>
        <w:t>元。两者的差额是</w:t>
      </w:r>
      <w:r>
        <w:rPr>
          <w:rFonts w:ascii="Times New Roman" w:hAnsi="Times New Roman" w:cs="Times New Roman" w:eastAsia="Times New Roman" w:hint="default"/>
        </w:rPr>
        <w:t>-37,195,135.51 </w:t>
      </w:r>
      <w:r>
        <w:rPr/>
        <w:t>元，主要原因为：投资收益致现金流减少</w:t>
      </w:r>
      <w:r>
        <w:rPr>
          <w:rFonts w:ascii="Times New Roman" w:hAnsi="Times New Roman" w:cs="Times New Roman" w:eastAsia="Times New Roman" w:hint="default"/>
        </w:rPr>
        <w:t>24,143,141.42</w:t>
      </w:r>
      <w:r>
        <w:rPr/>
        <w:t>元；存货增加，致使现金流减少</w:t>
      </w:r>
      <w:r>
        <w:rPr>
          <w:rFonts w:ascii="Times New Roman" w:hAnsi="Times New Roman" w:cs="Times New Roman" w:eastAsia="Times New Roman" w:hint="default"/>
        </w:rPr>
        <w:t>23,729,790.20</w:t>
      </w:r>
      <w:r>
        <w:rPr/>
        <w:t>元；资产减值准备、固 定资产折旧、无形资产及长期待摊费用摊销额共计</w:t>
      </w:r>
      <w:r>
        <w:rPr>
          <w:rFonts w:ascii="Times New Roman" w:hAnsi="Times New Roman" w:cs="Times New Roman" w:eastAsia="Times New Roman" w:hint="default"/>
        </w:rPr>
        <w:t>9,289,343.46</w:t>
      </w:r>
      <w:r>
        <w:rPr/>
        <w:t>元，相应增加现金流</w:t>
      </w:r>
      <w:r>
        <w:rPr>
          <w:rFonts w:ascii="Times New Roman" w:hAnsi="Times New Roman" w:cs="Times New Roman" w:eastAsia="Times New Roman" w:hint="default"/>
        </w:rPr>
        <w:t>9,289,343.46</w:t>
      </w:r>
      <w:r>
        <w:rPr/>
        <w:t>元。</w:t>
      </w:r>
    </w:p>
    <w:p>
      <w:pPr>
        <w:spacing w:line="240" w:lineRule="auto" w:before="5"/>
        <w:rPr>
          <w:rFonts w:ascii="宋体" w:hAnsi="宋体" w:cs="宋体" w:eastAsia="宋体" w:hint="default"/>
          <w:sz w:val="20"/>
          <w:szCs w:val="20"/>
        </w:rPr>
      </w:pPr>
    </w:p>
    <w:p>
      <w:pPr>
        <w:pStyle w:val="Heading2"/>
        <w:spacing w:line="240" w:lineRule="auto"/>
        <w:ind w:right="15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451"/>
        <w:gridCol w:w="2127"/>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24,143,141.42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353.01%</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3,370,042.74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49.28%</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计提坏账准备及存货跌价准备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391,617.31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5.73%</w:t>
            </w:r>
          </w:p>
        </w:tc>
        <w:tc>
          <w:tcPr>
            <w:tcW w:w="245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273,114.31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c>
          <w:tcPr>
            <w:tcW w:w="245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13,277,611.63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194.14%</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与经营相关的政府补助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325"/>
        <w:gridCol w:w="1063"/>
        <w:gridCol w:w="1347"/>
        <w:gridCol w:w="1063"/>
        <w:gridCol w:w="797"/>
        <w:gridCol w:w="2343"/>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23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3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6"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34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40,799,054.96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206,146,388.15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购买理财产品所致</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13,241,437.38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15,763,891.02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105,303,452.92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84,530,791.63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32,206,147.58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32,947,813.25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1,984,595.85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2,164,489.33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36,188,182.09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39,165,240.88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24,961,130.24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1,922,518.92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君正合肥研发基地建设所致</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683,843,594.79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551,017,779.87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购买理财产品所致</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162,407,377.60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145,040,507.02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23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25,084,700.00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36,000,291.17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782"/>
        <w:gridCol w:w="782"/>
        <w:gridCol w:w="781"/>
        <w:gridCol w:w="715"/>
        <w:gridCol w:w="718"/>
        <w:gridCol w:w="715"/>
        <w:gridCol w:w="653"/>
        <w:gridCol w:w="650"/>
        <w:gridCol w:w="653"/>
        <w:gridCol w:w="653"/>
        <w:gridCol w:w="651"/>
        <w:gridCol w:w="1034"/>
      </w:tblGrid>
      <w:tr>
        <w:trPr>
          <w:trHeight w:val="16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6" w:right="22"/>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64"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0" w:right="51" w:hanging="181"/>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0" w:right="5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153"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357" w:hRule="exact"/>
        </w:trPr>
        <w:tc>
          <w:tcPr>
            <w:tcW w:w="85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
        </w:tc>
        <w:tc>
          <w:tcPr>
            <w:tcW w:w="651"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559"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北京柘量 投资中心</w:t>
            </w:r>
          </w:p>
          <w:p>
            <w:pPr>
              <w:pStyle w:val="TableParagraph"/>
              <w:spacing w:line="316" w:lineRule="auto" w:before="20"/>
              <w:ind w:left="24" w:right="96"/>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00.00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00.00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4" w:right="13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vMerge/>
            <w:tcBorders>
              <w:left w:val="single" w:sz="4" w:space="0" w:color="000000"/>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18,778.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6"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p>
            <w:pPr>
              <w:pStyle w:val="TableParagraph"/>
              <w:spacing w:line="316" w:lineRule="auto" w:before="13"/>
              <w:ind w:left="26" w:right="96"/>
              <w:jc w:val="both"/>
              <w:rPr>
                <w:rFonts w:ascii="宋体" w:hAnsi="宋体" w:cs="宋体" w:eastAsia="宋体" w:hint="default"/>
                <w:sz w:val="18"/>
                <w:szCs w:val="18"/>
              </w:rPr>
            </w:pPr>
            <w:r>
              <w:rPr>
                <w:rFonts w:ascii="宋体" w:hAnsi="宋体" w:cs="宋体" w:eastAsia="宋体" w:hint="default"/>
                <w:sz w:val="18"/>
                <w:szCs w:val="18"/>
              </w:rPr>
              <w:t>《关于参与 投资设立产 业投资基金</w:t>
            </w:r>
          </w:p>
        </w:tc>
      </w:tr>
      <w:tr>
        <w:trPr>
          <w:trHeight w:val="360" w:hRule="exact"/>
        </w:trPr>
        <w:tc>
          <w:tcPr>
            <w:tcW w:w="85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651"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的公告》</w:t>
            </w:r>
          </w:p>
        </w:tc>
      </w:tr>
      <w:tr>
        <w:trPr>
          <w:trHeight w:val="71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00.00</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部分存放</w:t>
            </w: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于募集资</w:t>
            </w:r>
          </w:p>
        </w:tc>
        <w:tc>
          <w:tcPr>
            <w:tcW w:w="869"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 w:right="0"/>
              <w:jc w:val="left"/>
              <w:rPr>
                <w:rFonts w:ascii="Times New Roman" w:hAnsi="Times New Roman" w:cs="Times New Roman" w:eastAsia="Times New Roman" w:hint="default"/>
                <w:sz w:val="18"/>
                <w:szCs w:val="18"/>
              </w:rPr>
            </w:pPr>
            <w:r>
              <w:rPr>
                <w:rFonts w:ascii="Times New Roman"/>
                <w:sz w:val="18"/>
              </w:rPr>
              <w:t>2011</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z w:val="18"/>
              </w:rPr>
              <w:t>82,566.1</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w w:val="95"/>
                <w:sz w:val="18"/>
              </w:rPr>
              <w:t>3,100.54</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w w:val="95"/>
                <w:sz w:val="18"/>
              </w:rPr>
              <w:t>38,432.11</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15,653.14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z w:val="18"/>
              </w:rPr>
              <w:t>18.96%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44,133.99</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2"/>
              <w:jc w:val="left"/>
              <w:rPr>
                <w:rFonts w:ascii="宋体" w:hAnsi="宋体" w:cs="宋体" w:eastAsia="宋体" w:hint="default"/>
                <w:sz w:val="18"/>
                <w:szCs w:val="18"/>
              </w:rPr>
            </w:pPr>
            <w:r>
              <w:rPr>
                <w:rFonts w:ascii="宋体" w:hAnsi="宋体" w:cs="宋体" w:eastAsia="宋体" w:hint="default"/>
                <w:spacing w:val="-18"/>
                <w:sz w:val="18"/>
                <w:szCs w:val="18"/>
              </w:rPr>
              <w:t>金专户，部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分用于购 买银行保</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6" w:right="0"/>
              <w:jc w:val="center"/>
              <w:rPr>
                <w:rFonts w:ascii="Times New Roman" w:hAnsi="Times New Roman" w:cs="Times New Roman" w:eastAsia="Times New Roman" w:hint="default"/>
                <w:sz w:val="18"/>
                <w:szCs w:val="18"/>
              </w:rPr>
            </w:pPr>
            <w:r>
              <w:rPr>
                <w:rFonts w:ascii="Times New Roman"/>
                <w:sz w:val="18"/>
              </w:rPr>
              <w:t>44,133.99</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本型理财</w:t>
            </w: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86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82,566.1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3,100.54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38,432.11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15,653.14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44,133.99</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44,133.99</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32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87,600.00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万元，扣除发行费用后，募集资金净额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万元。截至报告期末，公司已累计使用募集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38,432.11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日召开的第一届董事会第十九次会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议和</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年第二次临时股东大会</w:t>
            </w:r>
            <w:r>
              <w:rPr>
                <w:rFonts w:ascii="宋体" w:hAnsi="宋体" w:cs="宋体" w:eastAsia="宋体" w:hint="default"/>
                <w:spacing w:val="-3"/>
                <w:sz w:val="18"/>
                <w:szCs w:val="18"/>
              </w:rPr>
              <w:t>审</w:t>
            </w:r>
            <w:r>
              <w:rPr>
                <w:rFonts w:ascii="宋体" w:hAnsi="宋体" w:cs="宋体" w:eastAsia="宋体" w:hint="default"/>
                <w:sz w:val="18"/>
                <w:szCs w:val="18"/>
              </w:rPr>
              <w:t>议通过</w:t>
            </w:r>
            <w:r>
              <w:rPr>
                <w:rFonts w:ascii="宋体" w:hAnsi="宋体" w:cs="宋体" w:eastAsia="宋体" w:hint="default"/>
                <w:spacing w:val="-92"/>
                <w:sz w:val="18"/>
                <w:szCs w:val="18"/>
              </w:rPr>
              <w:t>，</w:t>
            </w:r>
            <w:r>
              <w:rPr>
                <w:rFonts w:ascii="宋体" w:hAnsi="宋体" w:cs="宋体" w:eastAsia="宋体" w:hint="default"/>
                <w:sz w:val="18"/>
                <w:szCs w:val="18"/>
              </w:rPr>
              <w:t>该投资项目终止</w:t>
            </w:r>
            <w:r>
              <w:rPr>
                <w:rFonts w:ascii="宋体" w:hAnsi="宋体" w:cs="宋体" w:eastAsia="宋体" w:hint="default"/>
                <w:spacing w:val="-92"/>
                <w:sz w:val="18"/>
                <w:szCs w:val="18"/>
              </w:rPr>
              <w:t>，</w:t>
            </w:r>
            <w:r>
              <w:rPr>
                <w:rFonts w:ascii="宋体" w:hAnsi="宋体" w:cs="宋体" w:eastAsia="宋体" w:hint="default"/>
                <w:sz w:val="18"/>
                <w:szCs w:val="18"/>
              </w:rPr>
              <w:t>终</w:t>
            </w:r>
            <w:r>
              <w:rPr>
                <w:rFonts w:ascii="宋体" w:hAnsi="宋体" w:cs="宋体" w:eastAsia="宋体" w:hint="default"/>
                <w:spacing w:val="2"/>
                <w:sz w:val="18"/>
                <w:szCs w:val="18"/>
              </w:rPr>
              <w:t>止</w:t>
            </w:r>
            <w:r>
              <w:rPr>
                <w:rFonts w:ascii="宋体" w:hAnsi="宋体" w:cs="宋体" w:eastAsia="宋体" w:hint="default"/>
                <w:sz w:val="18"/>
                <w:szCs w:val="18"/>
              </w:rPr>
              <w:t>时该项目累计投入资金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年年度股东大会审议通过，公司将该项目变更为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。截至变更时，</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累计投入金额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2,138.74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日完结，截至项目完结时累计投入金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日完结，截至项目完结时累计投入金额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1,810.31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，截至报告期末，该项目累计投入金额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8,755.94 </w:t>
            </w:r>
            <w:r>
              <w:rPr>
                <w:rFonts w:ascii="宋体" w:hAnsi="宋体" w:cs="宋体" w:eastAsia="宋体" w:hint="default"/>
                <w:sz w:val="18"/>
                <w:szCs w:val="18"/>
              </w:rPr>
              <w:t>万元，投资进度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62.58%</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年第一次临时股东大会审议</w:t>
            </w:r>
          </w:p>
          <w:p>
            <w:pPr>
              <w:pStyle w:val="TableParagraph"/>
              <w:spacing w:line="300" w:lineRule="auto" w:before="63"/>
              <w:ind w:left="24" w:right="29"/>
              <w:jc w:val="left"/>
              <w:rPr>
                <w:rFonts w:ascii="宋体" w:hAnsi="宋体" w:cs="宋体" w:eastAsia="宋体" w:hint="default"/>
                <w:sz w:val="18"/>
                <w:szCs w:val="18"/>
              </w:rPr>
            </w:pPr>
            <w:r>
              <w:rPr>
                <w:rFonts w:ascii="宋体" w:hAnsi="宋体" w:cs="宋体" w:eastAsia="宋体" w:hint="default"/>
                <w:sz w:val="18"/>
                <w:szCs w:val="18"/>
              </w:rPr>
              <w:t>通过，公司决定使用超募资金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万元在合肥高新技术产业开发区投资成立全资子公司。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月，公司完成了 全资子公司合肥君正科技有限公司的设立工作。</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0"/>
        <w:gridCol w:w="781"/>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6"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6"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6" w:right="23"/>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5.1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3"/>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5" w:hRule="exact"/>
                    </w:trPr>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便携式教育电子产品</w:t>
                        </w: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用嵌入式处理器芯片</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8,165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2,138.74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2,138.74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技术改造项目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便携式消费电子产品</w:t>
                        </w: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用多媒体处理器芯片</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8,721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324.3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324.3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技术改造项目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移动互联网终端应用</w:t>
                        </w: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处理器芯片研发及产</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12,387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12,387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w w:val="95"/>
                            <w:sz w:val="18"/>
                          </w:rPr>
                          <w:t>11,402.82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92.05%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业化项目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3,388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3,142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1,810.31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57.62%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2"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物联网及智能可穿戴</w:t>
                        </w: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设备核心技术及产品</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13,991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w w:val="95"/>
                            <w:sz w:val="18"/>
                          </w:rPr>
                          <w:t>3,100.54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8,755.94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62.58%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-1,015.81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研发项目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31,983.04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3,100.54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24,432.11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-1,015.81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投资成立合肥君正科 技有限公司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45,983.04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3,100.54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38,432.11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-2,101.02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、鉴于国内</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市场受移动互联网终端产品的冲击持续衰退，消费电子市场已经发生了较大变化</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实施该项目存在较大风险，经公司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年第二次临时股东大会审议通过，决定终止该投资项目。</w:t>
                        </w:r>
                      </w:p>
                    </w:tc>
                  </w:tr>
                  <w:tr>
                    <w:trPr>
                      <w:trHeight w:val="33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移动互联网终端应用处理器芯片研发及产业化项目”完结。由于移动</w:t>
                        </w:r>
                      </w:p>
                    </w:tc>
                  </w:tr>
                  <w:tr>
                    <w:trPr>
                      <w:trHeight w:val="307"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互联网终端产品市场的销售受软件生态等因素影响，市场拓展一直严重受阻，致使该项目未能达到</w:t>
                        </w:r>
                      </w:p>
                    </w:tc>
                  </w:tr>
                  <w:tr>
                    <w:trPr>
                      <w:trHeight w:val="409"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预计收益，项目累计亏损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4,605.02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年以来，教育电子市场中高端学习机产品逐渐被学生平板所替代，在芯片产品的性能需求</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187" w:lineRule="exact"/>
                          <w:ind w:left="24" w:right="0"/>
                          <w:jc w:val="left"/>
                          <w:rPr>
                            <w:rFonts w:ascii="宋体" w:hAnsi="宋体" w:cs="宋体" w:eastAsia="宋体" w:hint="default"/>
                            <w:sz w:val="18"/>
                            <w:szCs w:val="18"/>
                          </w:rPr>
                        </w:pPr>
                        <w:r>
                          <w:rPr>
                            <w:rFonts w:ascii="宋体" w:hAnsi="宋体" w:cs="宋体" w:eastAsia="宋体" w:hint="default"/>
                            <w:sz w:val="18"/>
                            <w:szCs w:val="18"/>
                          </w:rPr>
                          <w:t>上，学生平板和普通消费类的平板电脑趋于一致。鉴于国内平板电脑市场竞争越来越激烈，芯片提</w:t>
                        </w:r>
                      </w:p>
                    </w:tc>
                  </w:tr>
                  <w:tr>
                    <w:trPr>
                      <w:trHeight w:val="25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187" w:lineRule="exact"/>
                          <w:ind w:left="24" w:right="0"/>
                          <w:jc w:val="left"/>
                          <w:rPr>
                            <w:rFonts w:ascii="宋体" w:hAnsi="宋体" w:cs="宋体" w:eastAsia="宋体" w:hint="default"/>
                            <w:sz w:val="18"/>
                            <w:szCs w:val="18"/>
                          </w:rPr>
                        </w:pPr>
                        <w:r>
                          <w:rPr>
                            <w:rFonts w:ascii="宋体" w:hAnsi="宋体" w:cs="宋体" w:eastAsia="宋体" w:hint="default"/>
                            <w:sz w:val="18"/>
                            <w:szCs w:val="18"/>
                          </w:rPr>
                          <w:t>供商需要不断跟进新的生产工艺，从而导致越来越高的研发和生产成本，而教育电子作为一个行业</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类市场，高端产品的市场容量有限，如果公司仅为满足教育电子的高端需求而进行新工艺产品的开</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发，将会带来成本无法收回的风险。为避免在市场变化时出现募集资金投资无法收回的风险，并综</w:t>
                        </w:r>
                      </w:p>
                    </w:tc>
                  </w:tr>
                  <w:tr>
                    <w:trPr>
                      <w:trHeight w:val="317"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合考虑电子市场的发展趋势，经公司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年年度股东大会审议通过，公司将“便携式教育电子产品用嵌入式处理器</w:t>
                        </w:r>
                      </w:p>
                    </w:tc>
                  </w:tr>
                  <w:tr>
                    <w:trPr>
                      <w:trHeight w:val="327"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芯片技术改造项目”变更为“物联网及智能可穿戴设备核心技术及产品研发项目</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3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“物联网及智能可穿戴设备核心技术及产品研发项目”设立初期，物联网市场仍处于探索阶段，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3.7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92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公司根据市场发展态势不断调整技术研发和产品规划的进度，以确保募投项目投资的安全稳健。近 两年来随着市场发展，物联网类产品逐渐从概念走向具体产品，产品呈多样化发展趋势，公司也处 于在该市场推广的重要阶段，同时，针对物联网市场的产品特点和未来发展趋势，公司拟推出更高 性能、更具竞争力的芯片产品。因此，经公司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日召开的第三届董事会第十五次会议 </w:t>
                        </w:r>
                        <w:r>
                          <w:rPr>
                            <w:rFonts w:ascii="宋体" w:hAnsi="宋体" w:cs="宋体" w:eastAsia="宋体" w:hint="default"/>
                            <w:spacing w:val="-3"/>
                            <w:sz w:val="18"/>
                            <w:szCs w:val="18"/>
                          </w:rPr>
                          <w:t>和第三届监事会第十次会议审议通过，公司对“物联网及智能可穿戴设备核心技术及产品研发项目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进行了延期，将原计划完成时间由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8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、鉴于国内</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市场受移动互联网终端产品的冲击持续衰退，消费电子市场已经发生了较大变化 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的研发已无法达到理想的投资回报， 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日召开的第一届董事会第十九次会议和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年第二次临时股东大会审议通过，决定终止该投资项目。</w:t>
                        </w:r>
                      </w:p>
                      <w:p>
                        <w:pPr>
                          <w:pStyle w:val="TableParagraph"/>
                          <w:spacing w:line="314" w:lineRule="auto" w:before="101"/>
                          <w:ind w:left="24"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年以来，教育电子市场中高端学习机产品逐渐被学生平板所替代，在芯片产品的性能需求 上，学生平板和普通消费类的平板电脑趋于一致。鉴于国内平板电脑市场竞争越来越激烈，芯片提 供商需要不断跟进新的生产工艺，从而导致越来越高的研发和生产成本，而教育电子作为一个行业 类市场，高端产品的市场容量有限，如果公司仅为满足教育电子的高端需求而进行新工艺产品的开 发，将会带来成本无法收回的风险。为避免在市场变化时出现募集资金投资无法收回的风险，并综 合考虑电子市场的发展趋势，经公司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00" w:lineRule="auto" w:before="1"/>
                          <w:ind w:left="24"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日召开的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pacing w:val="-3"/>
                            <w:w w:val="100"/>
                            <w:sz w:val="18"/>
                            <w:szCs w:val="18"/>
                          </w:rPr>
                          <w:t>年年度股东大会审议通过，公司将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便携式教育电子产品用嵌入式处理器芯</w:t>
                        </w:r>
                        <w:r>
                          <w:rPr>
                            <w:rFonts w:ascii="宋体" w:hAnsi="宋体" w:cs="宋体" w:eastAsia="宋体" w:hint="default"/>
                            <w:sz w:val="18"/>
                            <w:szCs w:val="18"/>
                          </w:rPr>
                          <w:t> 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1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月，公司首次公开发行股票实际募集资金净额人民币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82,566.10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万元，募投项目承诺投</w:t>
                        </w:r>
                      </w:p>
                      <w:p>
                        <w:pPr>
                          <w:pStyle w:val="TableParagraph"/>
                          <w:spacing w:line="307" w:lineRule="auto" w:before="60"/>
                          <w:ind w:left="24" w:right="14"/>
                          <w:jc w:val="both"/>
                          <w:rPr>
                            <w:rFonts w:ascii="宋体" w:hAnsi="宋体" w:cs="宋体" w:eastAsia="宋体" w:hint="default"/>
                            <w:sz w:val="18"/>
                            <w:szCs w:val="18"/>
                          </w:rPr>
                        </w:pPr>
                        <w:r>
                          <w:rPr>
                            <w:rFonts w:ascii="宋体" w:hAnsi="宋体" w:cs="宋体" w:eastAsia="宋体" w:hint="default"/>
                            <w:sz w:val="18"/>
                            <w:szCs w:val="18"/>
                          </w:rPr>
                          <w:t>资额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32,661.00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万元，超募资金金额为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49,905.10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日公司第一届董事会第十五次 </w:t>
                        </w:r>
                        <w:r>
                          <w:rPr>
                            <w:rFonts w:ascii="宋体" w:hAnsi="宋体" w:cs="宋体" w:eastAsia="宋体" w:hint="default"/>
                            <w:spacing w:val="-5"/>
                            <w:sz w:val="18"/>
                            <w:szCs w:val="18"/>
                          </w:rPr>
                          <w:t>会议审议通过了《关于变更募集资金投资项目实施地点和实施金额及延期实施的议案》，对募集资金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的实施地点和实施金额进行了变更，变更投资额后结余的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246.00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 转入超募资金管理。</w:t>
                        </w:r>
                      </w:p>
                      <w:p>
                        <w:pPr>
                          <w:pStyle w:val="TableParagraph"/>
                          <w:spacing w:line="300" w:lineRule="auto" w:before="67"/>
                          <w:ind w:left="24"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、为充分利用地方优势，降低公司整体运营成本，利用地方丰富的人力资源及相对较低的人工成本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优势，更好地进行产业布局和企业发展的整体规划，经公司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日召开的第二届董事会</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第十次会议和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年第一次临时股东大会审议通过，公司决定使用超募资</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万元在合肥高新技术产业开发区投资成立全资子公司。</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月，公司完成了全资 子公司合肥君正科技有限公司的设立工作。</w:t>
                        </w:r>
                      </w:p>
                      <w:p>
                        <w:pPr>
                          <w:pStyle w:val="TableParagraph"/>
                          <w:spacing w:line="300" w:lineRule="auto" w:before="72"/>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、截至报告期末，公司超募资金余额为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36,151.10 </w:t>
                        </w:r>
                        <w:r>
                          <w:rPr>
                            <w:rFonts w:ascii="宋体" w:hAnsi="宋体" w:cs="宋体" w:eastAsia="宋体" w:hint="default"/>
                            <w:sz w:val="18"/>
                            <w:szCs w:val="18"/>
                          </w:rPr>
                          <w:t>万元，其中部分存放于募集资金专户，部分用于 购买银行保本型理财产品。</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日召开的第一届董事会第十五次会议审议通过了《关于变更募集资金投资项目</w:t>
                        </w:r>
                        <w:r>
                          <w:rPr>
                            <w:rFonts w:ascii="宋体" w:hAnsi="宋体" w:cs="宋体" w:eastAsia="宋体" w:hint="default"/>
                            <w:sz w:val="18"/>
                            <w:szCs w:val="18"/>
                          </w:rPr>
                          <w:t> </w:t>
                        </w:r>
                        <w:r>
                          <w:rPr>
                            <w:rFonts w:ascii="宋体" w:hAnsi="宋体" w:cs="宋体" w:eastAsia="宋体" w:hint="default"/>
                            <w:spacing w:val="-4"/>
                            <w:w w:val="100"/>
                            <w:sz w:val="18"/>
                            <w:szCs w:val="18"/>
                          </w:rPr>
                          <w:t>实施地点和实施金额及延期实施的议案》，对募集资金投资项目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研发中心建设项目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的实施地点进行</w:t>
                        </w:r>
                        <w:r>
                          <w:rPr>
                            <w:rFonts w:ascii="宋体" w:hAnsi="宋体" w:cs="宋体" w:eastAsia="宋体" w:hint="default"/>
                            <w:spacing w:val="-70"/>
                            <w:w w:val="100"/>
                            <w:sz w:val="18"/>
                            <w:szCs w:val="18"/>
                          </w:rPr>
                          <w:t> </w:t>
                        </w:r>
                        <w:r>
                          <w:rPr>
                            <w:rFonts w:ascii="宋体" w:hAnsi="宋体" w:cs="宋体" w:eastAsia="宋体" w:hint="default"/>
                            <w:spacing w:val="-70"/>
                            <w:w w:val="100"/>
                            <w:sz w:val="18"/>
                            <w:szCs w:val="18"/>
                          </w:rPr>
                        </w:r>
                        <w:r>
                          <w:rPr>
                            <w:rFonts w:ascii="宋体" w:hAnsi="宋体" w:cs="宋体" w:eastAsia="宋体" w:hint="default"/>
                            <w:sz w:val="18"/>
                            <w:szCs w:val="18"/>
                          </w:rPr>
                          <w:t>了变更，原实施地点为北京市海淀区中关村软件园区内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1,760 </w:t>
                        </w:r>
                        <w:r>
                          <w:rPr>
                            <w:rFonts w:ascii="宋体" w:hAnsi="宋体" w:cs="宋体" w:eastAsia="宋体" w:hint="default"/>
                            <w:sz w:val="18"/>
                            <w:szCs w:val="18"/>
                          </w:rPr>
                          <w:t>平方米租赁区内，变更后的实施地点 位于中关村软件园二期（西扩）起步区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J-2 </w:t>
                        </w:r>
                        <w:r>
                          <w:rPr>
                            <w:rFonts w:ascii="宋体" w:hAnsi="宋体" w:cs="宋体" w:eastAsia="宋体" w:hint="default"/>
                            <w:sz w:val="18"/>
                            <w:szCs w:val="18"/>
                          </w:rPr>
                          <w:t>地块。</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日，经公司第一届董事会第十一次会议审议通过，根据北京兴华会计师事务所有限</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责任公司出具的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）京会兴核字第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《关于北京君正集成电路股份有限公司以自筹资</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金预先投入募投项目的鉴证报告</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公司以募集资金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万元置换预先已投入募集资金投资项目</w:t>
            </w:r>
          </w:p>
        </w:tc>
      </w:tr>
      <w:tr>
        <w:trPr>
          <w:trHeight w:val="35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w:t>
            </w:r>
          </w:p>
        </w:tc>
      </w:tr>
      <w:tr>
        <w:trPr>
          <w:trHeight w:val="40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79"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、根据招股说明书中披露的项目完成时间及项目总投资额，</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移动互联网终端应用处理器芯片研发 </w:t>
            </w:r>
            <w:r>
              <w:rPr>
                <w:rFonts w:ascii="宋体" w:hAnsi="宋体" w:cs="宋体" w:eastAsia="宋体" w:hint="default"/>
                <w:w w:val="100"/>
                <w:sz w:val="18"/>
                <w:szCs w:val="18"/>
              </w:rPr>
              <w:t>及产业化项目</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6"/>
                <w:w w:val="100"/>
                <w:sz w:val="18"/>
                <w:szCs w:val="18"/>
              </w:rPr>
              <w:t> </w:t>
            </w:r>
            <w:r>
              <w:rPr>
                <w:rFonts w:ascii="宋体" w:hAnsi="宋体" w:cs="宋体" w:eastAsia="宋体" w:hint="default"/>
                <w:sz w:val="18"/>
                <w:szCs w:val="18"/>
              </w:rPr>
              <w:t>达到预定可使用状态的日期为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pacing w:val="-8"/>
                <w:sz w:val="18"/>
                <w:szCs w:val="18"/>
              </w:rPr>
              <w:t>日，募集资金承诺投资总额为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12,387.00</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pacing w:val="-4"/>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日，该投资项目已经完结，实际投资总额为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11,402.82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万元，结余募集资</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984.18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万元。结余的主要原因为，公司从项目的实际情况出发，本着节约、合理及有效的原则使 用募集资金，并且公司结合自身的技术优势和经验，充分利用现有的设备资源，减少了新设备的购 置，节省了设备购置费用，致使募集资金出现结余。</w:t>
            </w:r>
          </w:p>
          <w:p>
            <w:pPr>
              <w:pStyle w:val="TableParagraph"/>
              <w:spacing w:line="240" w:lineRule="auto" w:before="62"/>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、根据招股说明书及公司董事会决议，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预计完成时间为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募集资金承诺投资总额为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3,142.00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日，该投资项目已经完结，实际投资</w:t>
            </w:r>
          </w:p>
          <w:p>
            <w:pPr>
              <w:pStyle w:val="TableParagraph"/>
              <w:spacing w:line="309"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1,810.31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1,331.69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万元。结余的主要原因为，公司本着节约、合理及有 效的原则使用募集资金，严格控制各项支出，并对各项资源进行合理调度和优化配置，充分考虑资 源的共通性，节省了项目费用，致使募集资金出现结余。</w:t>
            </w:r>
          </w:p>
        </w:tc>
      </w:tr>
      <w:tr>
        <w:trPr>
          <w:trHeight w:val="198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9" w:type="dxa"/>
            <w:vMerge/>
            <w:tcBorders>
              <w:left w:val="single" w:sz="4" w:space="0" w:color="000000"/>
              <w:bottom w:val="single" w:sz="4" w:space="0" w:color="000000"/>
              <w:right w:val="single" w:sz="4" w:space="0" w:color="000000"/>
            </w:tcBorders>
          </w:tcPr>
          <w:p>
            <w:pPr/>
          </w:p>
        </w:tc>
      </w:tr>
      <w:tr>
        <w:trPr>
          <w:trHeight w:val="35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截至报告期末，公司尚未使用的募集资金部分存放于募集资金专户，部分用于购买银行保本型理财</w:t>
            </w:r>
          </w:p>
        </w:tc>
      </w:tr>
      <w:tr>
        <w:trPr>
          <w:trHeight w:val="36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r>
      <w:tr>
        <w:trPr>
          <w:trHeight w:val="354"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9"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便携式消费 电子产品用 多媒体处理 器芯片技术 改造项目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1,810.31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2"/>
              <w:jc w:val="left"/>
              <w:rPr>
                <w:rFonts w:ascii="宋体" w:hAnsi="宋体" w:cs="宋体" w:eastAsia="宋体" w:hint="default"/>
                <w:sz w:val="18"/>
                <w:szCs w:val="18"/>
              </w:rPr>
            </w:pPr>
            <w:r>
              <w:rPr>
                <w:rFonts w:ascii="宋体" w:hAnsi="宋体" w:cs="宋体" w:eastAsia="宋体" w:hint="default"/>
                <w:sz w:val="18"/>
                <w:szCs w:val="18"/>
              </w:rPr>
              <w:t>物联网及智 能可穿戴设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3"/>
              <w:jc w:val="left"/>
              <w:rPr>
                <w:rFonts w:ascii="宋体" w:hAnsi="宋体" w:cs="宋体" w:eastAsia="宋体" w:hint="default"/>
                <w:sz w:val="18"/>
                <w:szCs w:val="18"/>
              </w:rPr>
            </w:pPr>
            <w:r>
              <w:rPr>
                <w:rFonts w:ascii="宋体" w:hAnsi="宋体" w:cs="宋体" w:eastAsia="宋体" w:hint="default"/>
                <w:sz w:val="18"/>
                <w:szCs w:val="18"/>
              </w:rPr>
              <w:t>便携式教育 电子产品用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3,100.54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8,755.94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7.9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987"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22"/>
                          <w:jc w:val="both"/>
                          <w:rPr>
                            <w:rFonts w:ascii="宋体" w:hAnsi="宋体" w:cs="宋体" w:eastAsia="宋体" w:hint="default"/>
                            <w:sz w:val="18"/>
                            <w:szCs w:val="18"/>
                          </w:rPr>
                        </w:pPr>
                        <w:r>
                          <w:rPr>
                            <w:rFonts w:ascii="宋体" w:hAnsi="宋体" w:cs="宋体" w:eastAsia="宋体" w:hint="default"/>
                            <w:sz w:val="18"/>
                            <w:szCs w:val="18"/>
                          </w:rPr>
                          <w:t>备核心技术 及产品研发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both"/>
                          <w:rPr>
                            <w:rFonts w:ascii="宋体" w:hAnsi="宋体" w:cs="宋体" w:eastAsia="宋体" w:hint="default"/>
                            <w:sz w:val="18"/>
                            <w:szCs w:val="18"/>
                          </w:rPr>
                        </w:pPr>
                        <w:r>
                          <w:rPr>
                            <w:rFonts w:ascii="宋体" w:hAnsi="宋体" w:cs="宋体" w:eastAsia="宋体" w:hint="default"/>
                            <w:sz w:val="18"/>
                            <w:szCs w:val="18"/>
                          </w:rPr>
                          <w:t>多媒体处理 器芯片技术 改造项目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17,457.3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3,100.54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10,890.55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-1,015.81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87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市场受移动互联网终端产品的冲击持续衰退，消费电子市场已经发</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生了较大变化，继续</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便携式消费电子产品用多媒体处理器芯片技术改造项目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已无法达到理想的投资回报，实施该项目存在较大风险，经公司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召开的第一届董事会第十九次会议和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w:t>
                        </w:r>
                      </w:p>
                    </w:tc>
                  </w:tr>
                  <w:tr>
                    <w:trPr>
                      <w:trHeight w:val="32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东大会审议通过，决定终止该投资项目。</w:t>
                        </w:r>
                      </w:p>
                    </w:tc>
                  </w:tr>
                  <w:tr>
                    <w:trPr>
                      <w:trHeight w:val="33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日召开的第一届董事会第十五次会议审议通过了《关于变更</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募集资金投资项目实施地点和实施金额及延期实施的议案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对募集资金投资项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的实施地点进行了变更，原实施地点为北京市海淀区中关村软件园</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区内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平方米租赁区内，变更后的实施地点位于中关村软件园二期（西扩）起步</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w:t>
                        </w:r>
                        <w:r>
                          <w:rPr>
                            <w:rFonts w:ascii="宋体" w:hAnsi="宋体" w:cs="宋体" w:eastAsia="宋体" w:hint="default"/>
                            <w:spacing w:val="-57"/>
                            <w:sz w:val="18"/>
                            <w:szCs w:val="18"/>
                          </w:rPr>
                          <w:t> </w:t>
                        </w:r>
                        <w:r>
                          <w:rPr>
                            <w:rFonts w:ascii="Times New Roman" w:hAnsi="Times New Roman" w:cs="Times New Roman" w:eastAsia="Times New Roman" w:hint="default"/>
                            <w:spacing w:val="-1"/>
                            <w:w w:val="99"/>
                            <w:sz w:val="18"/>
                            <w:szCs w:val="18"/>
                          </w:rPr>
                          <w:t>J</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1"/>
                            <w:w w:val="99"/>
                            <w:sz w:val="18"/>
                            <w:szCs w:val="18"/>
                          </w:rPr>
                          <w:t> </w:t>
                        </w:r>
                        <w:r>
                          <w:rPr>
                            <w:rFonts w:ascii="宋体" w:hAnsi="宋体" w:cs="宋体" w:eastAsia="宋体" w:hint="default"/>
                            <w:w w:val="99"/>
                            <w:sz w:val="18"/>
                            <w:szCs w:val="18"/>
                          </w:rPr>
                          <w:t>地块</w:t>
                        </w:r>
                        <w:r>
                          <w:rPr>
                            <w:rFonts w:ascii="宋体" w:hAnsi="宋体" w:cs="宋体" w:eastAsia="宋体" w:hint="default"/>
                            <w:spacing w:val="-92"/>
                            <w:w w:val="99"/>
                            <w:sz w:val="18"/>
                            <w:szCs w:val="18"/>
                          </w:rPr>
                          <w:t>，</w:t>
                        </w:r>
                        <w:r>
                          <w:rPr>
                            <w:rFonts w:ascii="宋体" w:hAnsi="宋体" w:cs="宋体" w:eastAsia="宋体" w:hint="default"/>
                            <w:w w:val="99"/>
                            <w:sz w:val="18"/>
                            <w:szCs w:val="18"/>
                          </w:rPr>
                          <w:t>变更后结余的</w:t>
                        </w:r>
                        <w:r>
                          <w:rPr>
                            <w:rFonts w:ascii="宋体" w:hAnsi="宋体" w:cs="宋体" w:eastAsia="宋体" w:hint="default"/>
                            <w:spacing w:val="-57"/>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0"/>
                            <w:w w:val="99"/>
                            <w:sz w:val="18"/>
                            <w:szCs w:val="18"/>
                          </w:rPr>
                          <w:t> </w:t>
                        </w:r>
                        <w:r>
                          <w:rPr>
                            <w:rFonts w:ascii="宋体" w:hAnsi="宋体" w:cs="宋体" w:eastAsia="宋体" w:hint="default"/>
                            <w:w w:val="99"/>
                            <w:sz w:val="18"/>
                            <w:szCs w:val="18"/>
                          </w:rPr>
                          <w:t>万元转入超募资金的管理</w:t>
                        </w:r>
                        <w:r>
                          <w:rPr>
                            <w:rFonts w:ascii="宋体" w:hAnsi="宋体" w:cs="宋体" w:eastAsia="宋体" w:hint="default"/>
                            <w:spacing w:val="-92"/>
                            <w:w w:val="99"/>
                            <w:sz w:val="18"/>
                            <w:szCs w:val="18"/>
                          </w:rPr>
                          <w:t>，</w:t>
                        </w:r>
                        <w:r>
                          <w:rPr>
                            <w:rFonts w:ascii="宋体" w:hAnsi="宋体" w:cs="宋体" w:eastAsia="宋体" w:hint="default"/>
                            <w:w w:val="99"/>
                            <w:sz w:val="18"/>
                            <w:szCs w:val="18"/>
                          </w:rPr>
                          <w:t>并将预计完成时间由</w:t>
                        </w:r>
                        <w:r>
                          <w:rPr>
                            <w:rFonts w:ascii="宋体" w:hAnsi="宋体" w:cs="宋体" w:eastAsia="宋体" w:hint="default"/>
                            <w:spacing w:val="-56"/>
                            <w:w w:val="9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z w:val="18"/>
                            <w:szCs w:val="18"/>
                          </w:rPr>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由于公司研发基地建设工作比预期有所延后</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致使</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w:t>
                        </w:r>
                        <w:r>
                          <w:rPr>
                            <w:rFonts w:ascii="宋体" w:hAnsi="宋体" w:cs="宋体" w:eastAsia="宋体" w:hint="default"/>
                            <w:spacing w:val="2"/>
                            <w:sz w:val="18"/>
                            <w:szCs w:val="18"/>
                          </w:rPr>
                          <w:t>实</w:t>
                        </w:r>
                        <w:r>
                          <w:rPr>
                            <w:rFonts w:ascii="宋体" w:hAnsi="宋体" w:cs="宋体" w:eastAsia="宋体" w:hint="default"/>
                            <w:sz w:val="18"/>
                            <w:szCs w:val="18"/>
                          </w:rPr>
                          <w:t>施进度受到影响</w:t>
                        </w:r>
                        <w:r>
                          <w:rPr>
                            <w:rFonts w:ascii="宋体" w:hAnsi="宋体" w:cs="宋体" w:eastAsia="宋体" w:hint="default"/>
                            <w:spacing w:val="-89"/>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会第九次会议审议通过</w:t>
                        </w:r>
                        <w:r>
                          <w:rPr>
                            <w:rFonts w:ascii="宋体" w:hAnsi="宋体" w:cs="宋体" w:eastAsia="宋体" w:hint="default"/>
                            <w:spacing w:val="-8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研</w:t>
                        </w:r>
                        <w:r>
                          <w:rPr>
                            <w:rFonts w:ascii="宋体" w:hAnsi="宋体" w:cs="宋体" w:eastAsia="宋体" w:hint="default"/>
                            <w:spacing w:val="2"/>
                            <w:sz w:val="18"/>
                            <w:szCs w:val="18"/>
                          </w:rPr>
                          <w:t>发</w:t>
                        </w:r>
                        <w:r>
                          <w:rPr>
                            <w:rFonts w:ascii="宋体" w:hAnsi="宋体" w:cs="宋体" w:eastAsia="宋体" w:hint="default"/>
                            <w:sz w:val="18"/>
                            <w:szCs w:val="18"/>
                          </w:rPr>
                          <w:t>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预计完成时间由</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w:t>
                        </w:r>
                      </w:p>
                    </w:tc>
                  </w:tr>
                  <w:tr>
                    <w:trPr>
                      <w:trHeight w:val="331"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31"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年以来，教育电子市场中高端学习机产品逐渐被学生平板所替代，在芯片产</w:t>
                        </w:r>
                      </w:p>
                    </w:tc>
                  </w:tr>
                  <w:tr>
                    <w:trPr>
                      <w:trHeight w:val="30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品的性能需求上，学生平板和普通消费类的平板电脑趋于一致。鉴于国内平板电脑市</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场竞争越来越激烈，芯片提供商需要不断跟进新的生产工艺，从而导致越来越高的研</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发和生产成本，而教育电子作为一个行业类市场，高端产品的市场容量有限，如果公</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司仅为满足教育电子的高端需求而进行新工艺产品的开发，将会带来成本无法收回的</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风险。为避免在市场变化时出现募集资金投资无法收回的风险，并综合考虑电子市场</w:t>
                        </w:r>
                      </w:p>
                    </w:tc>
                  </w:tr>
                  <w:tr>
                    <w:trPr>
                      <w:trHeight w:val="31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的发展趋势，经公司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日召开的第二届董事会第十一次会议和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便携式教育电子产品用嵌入</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式处理器芯片技术改造项目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物联网及智能可穿戴设备核心技术及产品研发项</w:t>
                        </w:r>
                      </w:p>
                    </w:tc>
                  </w:tr>
                  <w:tr>
                    <w:trPr>
                      <w:trHeight w:val="355" w:hRule="exact"/>
                    </w:trPr>
                    <w:tc>
                      <w:tcPr>
                        <w:tcW w:w="287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0" w:hRule="exact"/>
                    </w:trPr>
                    <w:tc>
                      <w:tcPr>
                        <w:tcW w:w="287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、鉴于国内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PMP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市场受移动互联网终端产品的冲击持续衰退，消费电子市场已经发</w:t>
                        </w:r>
                      </w:p>
                    </w:tc>
                  </w:tr>
                  <w:tr>
                    <w:trPr>
                      <w:trHeight w:val="30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生了较大变化，继续“便携式消费电子产品用多媒体处理器芯片技术改造项目”的研</w:t>
                        </w:r>
                      </w:p>
                    </w:tc>
                  </w:tr>
                  <w:tr>
                    <w:trPr>
                      <w:trHeight w:val="31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发已无法达到理想的投资回报，实施该项目存在较大风险，经公司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日召开的第一届董事会第十九次会议和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r>
                  <w:tr>
                    <w:trPr>
                      <w:trHeight w:val="328"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股东大会审议通过，决定终止该投资项目。</w:t>
                        </w:r>
                      </w:p>
                    </w:tc>
                  </w:tr>
                  <w:tr>
                    <w:trPr>
                      <w:trHeight w:val="95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309" w:lineRule="auto" w:before="31"/>
                          <w:ind w:left="23" w:right="1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、“物联网及智能可穿戴设备核心技术及产品研发项目”设立初期，物联网市场仍处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于探索阶段，公司根据市场发展态势不断调整技术研发和产品规划的进度，以确保募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投项目投资的安全稳健。近两年来随着市场发展，物联网类产品逐渐从概念走向具体</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产品，产品呈多样化发展趋势，公司也处于在该市场推广的重要阶段，同时，针对物</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联网市场的产品特点和未来发展趋势，公司拟推出更高性能、更具竞争力的芯片产品</w:t>
                        </w:r>
                      </w:p>
                    </w:tc>
                  </w:tr>
                  <w:tr>
                    <w:trPr>
                      <w:trHeight w:val="31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因此，经公司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日召开的第三届董事会第十五次会议和第三届监事会第</w:t>
                        </w:r>
                      </w:p>
                    </w:tc>
                  </w:tr>
                  <w:tr>
                    <w:trPr>
                      <w:trHeight w:val="30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十次会议审议通过，公司对“物联网及智能可穿戴设备核心技术及产品研发项目”进</w:t>
                        </w:r>
                      </w:p>
                    </w:tc>
                  </w:tr>
                  <w:tr>
                    <w:trPr>
                      <w:trHeight w:val="357" w:hRule="exact"/>
                    </w:trPr>
                    <w:tc>
                      <w:tcPr>
                        <w:tcW w:w="287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行了延期，将原计划完成时间由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44"/>
        <w:ind w:left="0" w:right="15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8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8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4"/>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4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2" w:equalWidth="0">
            <w:col w:w="4851" w:space="4069"/>
            <w:col w:w="107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w:t>
            </w:r>
          </w:p>
        </w:tc>
        <w:tc>
          <w:tcPr>
            <w:tcW w:w="119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成电路（香 </w:t>
            </w:r>
            <w:r>
              <w:rPr>
                <w:rFonts w:ascii="宋体" w:hAnsi="宋体" w:cs="宋体" w:eastAsia="宋体" w:hint="default"/>
                <w:spacing w:val="-14"/>
                <w:sz w:val="18"/>
                <w:szCs w:val="18"/>
              </w:rPr>
              <w:t>港）集团有限</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0"/>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733,646.85</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733,646.85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-262,666.73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-262,666.73</w:t>
            </w: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深圳君正时 代集成电路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0"/>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17,271,737.0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12,769,126.0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60,175,187.1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1,510,936.93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1,394,524.81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合肥君正科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集成电路开 发、销售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128,799,733.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107,991,361.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92,566,969.6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-11,132,429.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-10,852,074.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49"/>
        <w:ind w:right="84"/>
        <w:jc w:val="left"/>
      </w:pPr>
      <w:r>
        <w:rPr/>
        <w:t>报告期内取得和处置子公司的情况</w:t>
      </w:r>
    </w:p>
    <w:p>
      <w:pPr>
        <w:pStyle w:val="BodyText"/>
        <w:spacing w:line="340" w:lineRule="auto" w:before="115"/>
        <w:ind w:right="7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312" w:lineRule="auto" w:before="41"/>
        <w:ind w:right="94" w:firstLine="372"/>
        <w:jc w:val="left"/>
      </w:pPr>
      <w:r>
        <w:rPr/>
        <w:t>公司全资子公司合肥君正科技有限公司主要面向智能视频领域，进行视频编解码技术、</w:t>
      </w:r>
      <w:r>
        <w:rPr>
          <w:rFonts w:ascii="Times New Roman" w:hAnsi="Times New Roman" w:cs="Times New Roman" w:eastAsia="Times New Roman" w:hint="default"/>
        </w:rPr>
        <w:t>SoC</w:t>
      </w:r>
      <w:r>
        <w:rPr>
          <w:rFonts w:ascii="Times New Roman" w:hAnsi="Times New Roman" w:cs="Times New Roman" w:eastAsia="Times New Roman" w:hint="default"/>
          <w:spacing w:val="-24"/>
        </w:rPr>
        <w:t> </w:t>
      </w:r>
      <w:r>
        <w:rPr>
          <w:spacing w:val="-3"/>
        </w:rPr>
        <w:t>芯片技术、计算机视觉和机</w:t>
      </w:r>
      <w:r>
        <w:rPr/>
        <w:t> 器学习等相关核心技术的研发、芯片产品的开发、软硬件及方案开发等工作，报告期内，合肥君正市场推广工作进展顺利， 面向视频领域的系列芯片产品具有很好的市场竞争力，更多的客户采用了合肥君正的芯片产品，其营业收入同比大幅增长， 但由于视频领域竞争激烈，毛利率相对较低，同时合肥君正研发投入不断增加，致使其净利润略有下降。</w:t>
      </w:r>
    </w:p>
    <w:p>
      <w:pPr>
        <w:spacing w:line="240" w:lineRule="auto" w:before="13"/>
        <w:rPr>
          <w:rFonts w:ascii="宋体" w:hAnsi="宋体" w:cs="宋体" w:eastAsia="宋体" w:hint="default"/>
          <w:sz w:val="20"/>
          <w:szCs w:val="20"/>
        </w:rPr>
      </w:pPr>
    </w:p>
    <w:p>
      <w:pPr>
        <w:pStyle w:val="Heading2"/>
        <w:spacing w:line="240" w:lineRule="auto"/>
        <w:ind w:right="8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84"/>
        <w:jc w:val="left"/>
      </w:pPr>
      <w:r>
        <w:rPr>
          <w:rFonts w:ascii="Times New Roman" w:hAnsi="Times New Roman" w:cs="Times New Roman" w:eastAsia="Times New Roman" w:hint="default"/>
        </w:rPr>
        <w:t>1</w:t>
      </w:r>
      <w:r>
        <w:rPr/>
        <w:t>、行业格局和趋势</w:t>
      </w:r>
    </w:p>
    <w:p>
      <w:pPr>
        <w:pStyle w:val="BodyText"/>
        <w:spacing w:line="240" w:lineRule="auto" w:before="101"/>
        <w:ind w:left="513" w:right="84"/>
        <w:jc w:val="left"/>
      </w:pPr>
      <w:r>
        <w:rPr>
          <w:rFonts w:ascii="Times New Roman" w:hAnsi="Times New Roman" w:cs="Times New Roman" w:eastAsia="Times New Roman" w:hint="default"/>
        </w:rPr>
        <w:t>2017</w:t>
      </w:r>
      <w:r>
        <w:rPr/>
        <w:t>年全球物联网设备增长迅速，据市场研究公司</w:t>
      </w:r>
      <w:r>
        <w:rPr>
          <w:rFonts w:ascii="Times New Roman" w:hAnsi="Times New Roman" w:cs="Times New Roman" w:eastAsia="Times New Roman" w:hint="default"/>
        </w:rPr>
        <w:t>Gartner</w:t>
      </w:r>
      <w:r>
        <w:rPr/>
        <w:t>预计，</w:t>
      </w:r>
      <w:r>
        <w:rPr>
          <w:rFonts w:ascii="Times New Roman" w:hAnsi="Times New Roman" w:cs="Times New Roman" w:eastAsia="Times New Roman" w:hint="default"/>
        </w:rPr>
        <w:t>2017</w:t>
      </w:r>
      <w:r>
        <w:rPr/>
        <w:t>年全球物联网设备数量将达到</w:t>
      </w:r>
      <w:r>
        <w:rPr>
          <w:rFonts w:ascii="Times New Roman" w:hAnsi="Times New Roman" w:cs="Times New Roman" w:eastAsia="Times New Roman" w:hint="default"/>
        </w:rPr>
        <w:t>84</w:t>
      </w:r>
      <w:r>
        <w:rPr/>
        <w:t>亿，同比</w:t>
      </w:r>
      <w:r>
        <w:rPr>
          <w:rFonts w:ascii="Times New Roman" w:hAnsi="Times New Roman" w:cs="Times New Roman" w:eastAsia="Times New Roman" w:hint="default"/>
        </w:rPr>
        <w:t>2016</w:t>
      </w:r>
      <w:r>
        <w:rPr/>
        <w:t>年</w:t>
      </w:r>
    </w:p>
    <w:p>
      <w:pPr>
        <w:spacing w:after="0" w:line="240" w:lineRule="auto"/>
        <w:jc w:val="left"/>
        <w:sectPr>
          <w:type w:val="continuous"/>
          <w:pgSz w:w="11910" w:h="16840"/>
          <w:pgMar w:top="1060" w:bottom="1160" w:left="980" w:right="940"/>
        </w:sectPr>
      </w:pPr>
    </w:p>
    <w:p>
      <w:pPr>
        <w:spacing w:line="240" w:lineRule="auto" w:before="9"/>
        <w:rPr>
          <w:rFonts w:ascii="宋体" w:hAnsi="宋体" w:cs="宋体" w:eastAsia="宋体" w:hint="default"/>
          <w:sz w:val="25"/>
          <w:szCs w:val="25"/>
        </w:rPr>
      </w:pPr>
    </w:p>
    <w:p>
      <w:pPr>
        <w:pStyle w:val="BodyText"/>
        <w:spacing w:line="314" w:lineRule="auto" w:before="44"/>
        <w:ind w:right="188"/>
        <w:jc w:val="both"/>
      </w:pPr>
      <w:r>
        <w:rPr>
          <w:spacing w:val="-2"/>
        </w:rPr>
        <w:t>增长</w:t>
      </w:r>
      <w:r>
        <w:rPr>
          <w:rFonts w:ascii="Times New Roman" w:hAnsi="Times New Roman" w:cs="Times New Roman" w:eastAsia="Times New Roman" w:hint="default"/>
          <w:spacing w:val="-2"/>
        </w:rPr>
        <w:t>31%</w:t>
      </w:r>
      <w:r>
        <w:rPr>
          <w:spacing w:val="-2"/>
        </w:rPr>
        <w:t>，物联网的发展成为各行各业转型升级的最强催化剂，运营效率、成本优化、用户体验等需求的日益增长推动了物</w:t>
      </w:r>
      <w:r>
        <w:rPr>
          <w:spacing w:val="-38"/>
        </w:rPr>
        <w:t> </w:t>
      </w:r>
      <w:r>
        <w:rPr>
          <w:spacing w:val="-38"/>
        </w:rPr>
      </w:r>
      <w:r>
        <w:rPr>
          <w:spacing w:val="-2"/>
        </w:rPr>
        <w:t>联网在各行各业的发展。物联网硬件、软件和网络连接等技术的发展也推动了物联网的应用，物联网在商用、民用和工业应</w:t>
      </w:r>
      <w:r>
        <w:rPr>
          <w:spacing w:val="-63"/>
        </w:rPr>
        <w:t> </w:t>
      </w:r>
      <w:r>
        <w:rPr>
          <w:spacing w:val="-63"/>
        </w:rPr>
      </w:r>
      <w:r>
        <w:rPr>
          <w:spacing w:val="-2"/>
        </w:rPr>
        <w:t>用的各个领域逐渐落地。物联网涉及各类复杂多变的应用场景，因此需要不同特性的硬件系统以及软硬件协同优化；而随着</w:t>
      </w:r>
      <w:r>
        <w:rPr>
          <w:spacing w:val="-63"/>
        </w:rPr>
        <w:t> </w:t>
      </w:r>
      <w:r>
        <w:rPr>
          <w:spacing w:val="-63"/>
        </w:rPr>
      </w:r>
      <w:r>
        <w:rPr>
          <w:spacing w:val="-2"/>
        </w:rPr>
        <w:t>物联网数据的指数级增长，除了云端服务器需要有更强大的计算能力，终端也需要拥有对数据进行预处理和分析的能力，从</w:t>
      </w:r>
      <w:r>
        <w:rPr>
          <w:spacing w:val="-61"/>
        </w:rPr>
        <w:t> </w:t>
      </w:r>
      <w:r>
        <w:rPr>
          <w:spacing w:val="-61"/>
        </w:rPr>
      </w:r>
      <w:r>
        <w:rPr/>
        <w:t>而，物联网市场的产品呈现出更多的碎片化和智能化的特点，各种创新产品也不断出现。</w:t>
      </w:r>
    </w:p>
    <w:p>
      <w:pPr>
        <w:pStyle w:val="BodyText"/>
        <w:spacing w:line="314" w:lineRule="auto" w:before="61"/>
        <w:ind w:right="188" w:firstLine="360"/>
        <w:jc w:val="both"/>
      </w:pPr>
      <w:r>
        <w:rPr>
          <w:spacing w:val="-2"/>
        </w:rPr>
        <w:t>中国市场是全球物联网领域的主要市场之一，国内智能家居、智能家电、二维码、智能门锁等市场蓬勃发展，其中智能</w:t>
      </w:r>
      <w:r>
        <w:rPr/>
        <w:t> </w:t>
      </w:r>
      <w:r>
        <w:rPr>
          <w:spacing w:val="-2"/>
        </w:rPr>
        <w:t>音箱作为智能家居的入口，仍然是众多厂商争夺的焦点，包括苹果、谷歌、亚马逊、百度、京东等互联网巨头纷纷推出了相</w:t>
      </w:r>
      <w:r>
        <w:rPr>
          <w:spacing w:val="-68"/>
        </w:rPr>
        <w:t> </w:t>
      </w:r>
      <w:r>
        <w:rPr>
          <w:spacing w:val="-68"/>
        </w:rPr>
      </w:r>
      <w:r>
        <w:rPr>
          <w:spacing w:val="-2"/>
        </w:rPr>
        <w:t>应的音箱类产品，而其他音频类产品也不断出现，给消费者提供了丰富的用户体验。随着二维码在信息传播、互动入口、销</w:t>
      </w:r>
      <w:r>
        <w:rPr>
          <w:spacing w:val="-67"/>
        </w:rPr>
        <w:t> </w:t>
      </w:r>
      <w:r>
        <w:rPr>
          <w:spacing w:val="-67"/>
        </w:rPr>
      </w:r>
      <w:r>
        <w:rPr>
          <w:spacing w:val="-2"/>
        </w:rPr>
        <w:t>售购买等方面的应用，二维码市场逐渐显现出巨大的商业机会，二维码支付技术的广泛应用，提高了二维码的客户粘性甚至</w:t>
      </w:r>
      <w:r>
        <w:rPr>
          <w:spacing w:val="-62"/>
        </w:rPr>
        <w:t> </w:t>
      </w:r>
      <w:r>
        <w:rPr>
          <w:spacing w:val="-62"/>
        </w:rPr>
      </w:r>
      <w:r>
        <w:rPr>
          <w:spacing w:val="-2"/>
        </w:rPr>
        <w:t>移动端的粘性，为二维码的其他应用提供了更便捷的应用方式，也带来了更庞大的使用群体，从而带动了二维码市场的快</w:t>
      </w:r>
      <w:r>
        <w:rPr>
          <w:color w:val="242424"/>
          <w:spacing w:val="-2"/>
        </w:rPr>
        <w:t>速</w:t>
      </w:r>
      <w:r>
        <w:rPr>
          <w:color w:val="242424"/>
          <w:spacing w:val="-61"/>
        </w:rPr>
        <w:t> </w:t>
      </w:r>
      <w:r>
        <w:rPr>
          <w:color w:val="242424"/>
          <w:spacing w:val="-61"/>
        </w:rPr>
      </w:r>
      <w:r>
        <w:rPr>
          <w:color w:val="242424"/>
          <w:spacing w:val="-2"/>
        </w:rPr>
        <w:t>发展。此外，</w:t>
      </w:r>
      <w:r>
        <w:rPr>
          <w:rFonts w:ascii="Times New Roman" w:hAnsi="Times New Roman" w:cs="Times New Roman" w:eastAsia="Times New Roman" w:hint="default"/>
          <w:color w:val="242424"/>
          <w:spacing w:val="-2"/>
        </w:rPr>
        <w:t>2017</w:t>
      </w:r>
      <w:r>
        <w:rPr>
          <w:color w:val="242424"/>
          <w:spacing w:val="-2"/>
        </w:rPr>
        <w:t>年，智能门锁、各类智能家电等市场也呈现了良好的发展趋势。</w:t>
      </w:r>
      <w:r>
        <w:rPr>
          <w:spacing w:val="-2"/>
        </w:rPr>
        <w:t>物联网市场的发展为中国的</w:t>
      </w:r>
      <w:r>
        <w:rPr>
          <w:rFonts w:ascii="Times New Roman" w:hAnsi="Times New Roman" w:cs="Times New Roman" w:eastAsia="Times New Roman" w:hint="default"/>
          <w:spacing w:val="-2"/>
        </w:rPr>
        <w:t>IT</w:t>
      </w:r>
      <w:r>
        <w:rPr>
          <w:spacing w:val="-2"/>
        </w:rPr>
        <w:t>企业带来的</w:t>
      </w:r>
      <w:r>
        <w:rPr>
          <w:spacing w:val="-51"/>
        </w:rPr>
        <w:t> </w:t>
      </w:r>
      <w:r>
        <w:rPr>
          <w:spacing w:val="-51"/>
        </w:rPr>
      </w:r>
      <w:r>
        <w:rPr>
          <w:spacing w:val="-2"/>
        </w:rPr>
        <w:t>新的发展机遇，吸引着众多厂商的进入，包括物联网类公司、软件公司和各类硬件及产品公司。作为集成电路设计公司，报</w:t>
      </w:r>
      <w:r>
        <w:rPr>
          <w:spacing w:val="-67"/>
        </w:rPr>
        <w:t> </w:t>
      </w:r>
      <w:r>
        <w:rPr>
          <w:spacing w:val="-67"/>
        </w:rPr>
      </w:r>
      <w:r>
        <w:rPr/>
        <w:t>告期内，公司深入挖掘物联网的市场机会，在智能家居、智能家电、二维码、生物识别等市场均取得了较好的进展。</w:t>
      </w:r>
    </w:p>
    <w:p>
      <w:pPr>
        <w:pStyle w:val="BodyText"/>
        <w:spacing w:line="307" w:lineRule="auto" w:before="59"/>
        <w:ind w:right="189" w:firstLine="360"/>
        <w:jc w:val="both"/>
      </w:pPr>
      <w:r>
        <w:rPr/>
        <w:t>在智能穿戴设备领域，特定应用的智能手表仍然保持良好的发展趋势，</w:t>
      </w:r>
      <w:r>
        <w:rPr>
          <w:spacing w:val="-69"/>
        </w:rPr>
        <w:t> </w:t>
      </w:r>
      <w:r>
        <w:rPr>
          <w:rFonts w:ascii="Times New Roman" w:hAnsi="Times New Roman" w:cs="Times New Roman" w:eastAsia="Times New Roman" w:hint="default"/>
        </w:rPr>
        <w:t>“</w:t>
      </w:r>
      <w:r>
        <w:rPr/>
        <w:t>长续航</w:t>
      </w:r>
      <w:r>
        <w:rPr>
          <w:rFonts w:ascii="Times New Roman" w:hAnsi="Times New Roman" w:cs="Times New Roman" w:eastAsia="Times New Roman" w:hint="default"/>
        </w:rPr>
        <w:t>+</w:t>
      </w:r>
      <w:r>
        <w:rPr/>
        <w:t>运动</w:t>
      </w:r>
      <w:r>
        <w:rPr>
          <w:rFonts w:ascii="Times New Roman" w:hAnsi="Times New Roman" w:cs="Times New Roman" w:eastAsia="Times New Roman" w:hint="default"/>
        </w:rPr>
        <w:t>”</w:t>
      </w:r>
      <w:r>
        <w:rPr/>
        <w:t>的智能运动手表受到消费者的欢 迎，</w:t>
      </w:r>
      <w:r>
        <w:rPr>
          <w:rFonts w:ascii="Times New Roman" w:hAnsi="Times New Roman" w:cs="Times New Roman" w:eastAsia="Times New Roman" w:hint="default"/>
        </w:rPr>
        <w:t>2017</w:t>
      </w:r>
      <w:r>
        <w:rPr/>
        <w:t>年末华米科技发布的第二代</w:t>
      </w:r>
      <w:r>
        <w:rPr>
          <w:rFonts w:ascii="Times New Roman" w:hAnsi="Times New Roman" w:cs="Times New Roman" w:eastAsia="Times New Roman" w:hint="default"/>
        </w:rPr>
        <w:t>AMAZFIT</w:t>
      </w:r>
      <w:r>
        <w:rPr/>
        <w:t>运动手表，以更加丰富的运动模式和更为优化的运动体验，一经发布后获得</w:t>
      </w:r>
      <w:r>
        <w:rPr>
          <w:w w:val="99"/>
        </w:rPr>
        <w:t> </w:t>
      </w:r>
      <w:r>
        <w:rPr>
          <w:spacing w:val="-2"/>
        </w:rPr>
        <w:t>了消费者的热捧。公司在智能手表领域有着多年的技术和市场积累，未来将在这一市场持续耕耘，辅助客户不断优化产品方</w:t>
      </w:r>
      <w:r>
        <w:rPr>
          <w:spacing w:val="-63"/>
        </w:rPr>
        <w:t> </w:t>
      </w:r>
      <w:r>
        <w:rPr>
          <w:spacing w:val="-63"/>
        </w:rPr>
      </w:r>
      <w:r>
        <w:rPr/>
        <w:t>案，以更多的产品功能和更好的交互体验获得更大的市场发展。</w:t>
      </w:r>
    </w:p>
    <w:p>
      <w:pPr>
        <w:pStyle w:val="BodyText"/>
        <w:spacing w:line="307" w:lineRule="auto" w:before="67"/>
        <w:ind w:right="84" w:firstLine="360"/>
        <w:jc w:val="left"/>
      </w:pPr>
      <w:r>
        <w:rPr>
          <w:spacing w:val="-2"/>
        </w:rPr>
        <w:t>报告期内，智能视频市场也呈现了快速发展的势头。随着人工智能技术的发展，视频领域对智能化的需求逐渐提高，在</w:t>
      </w:r>
      <w:r>
        <w:rPr/>
        <w:t> </w:t>
      </w:r>
      <w:r>
        <w:rPr>
          <w:spacing w:val="-2"/>
        </w:rPr>
        <w:t>这一领域中，人工智能技术在云端服务器产品中首先得到了应用，并逐渐开始向端级发展，尤其是在“平安城市”、“智慧</w:t>
      </w:r>
      <w:r>
        <w:rPr>
          <w:spacing w:val="-68"/>
        </w:rPr>
        <w:t> </w:t>
      </w:r>
      <w:r>
        <w:rPr>
          <w:spacing w:val="-68"/>
        </w:rPr>
      </w:r>
      <w:r>
        <w:rPr/>
        <w:t>安防”的需求下。除了产品的智能化需求之外，市场对视频类产品的视频编码标准要求不断提高，</w:t>
      </w:r>
      <w:r>
        <w:rPr>
          <w:rFonts w:ascii="Times New Roman" w:hAnsi="Times New Roman" w:cs="Times New Roman" w:eastAsia="Times New Roman" w:hint="default"/>
        </w:rPr>
        <w:t>H.265</w:t>
      </w:r>
      <w:r>
        <w:rPr/>
        <w:t>的产品开始出现， </w:t>
      </w:r>
      <w:r>
        <w:rPr>
          <w:spacing w:val="-1"/>
        </w:rPr>
        <w:t>摄像头产品的分辨率也随之不断提高，</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720P</w:t>
      </w:r>
      <w:r>
        <w:rPr>
          <w:spacing w:val="-1"/>
        </w:rPr>
        <w:t>的低端摄像头产品迅速被</w:t>
      </w:r>
      <w:r>
        <w:rPr>
          <w:rFonts w:ascii="Times New Roman" w:hAnsi="Times New Roman" w:cs="Times New Roman" w:eastAsia="Times New Roman" w:hint="default"/>
          <w:spacing w:val="-1"/>
        </w:rPr>
        <w:t>1080P</w:t>
      </w:r>
      <w:r>
        <w:rPr>
          <w:spacing w:val="-1"/>
        </w:rPr>
        <w:t>的产品所取代，高清化和智能化将是未</w:t>
      </w:r>
      <w:r>
        <w:rPr>
          <w:spacing w:val="-49"/>
        </w:rPr>
        <w:t> </w:t>
      </w:r>
      <w:r>
        <w:rPr>
          <w:spacing w:val="-49"/>
        </w:rPr>
      </w:r>
      <w:r>
        <w:rPr>
          <w:spacing w:val="-2"/>
        </w:rPr>
        <w:t>来持续的市场发展趋势。在视频领域中，行业类摄像头产品仍然占据市场最大的份额，并保持稳定增长的趋势，民用消费类</w:t>
      </w:r>
      <w:r>
        <w:rPr>
          <w:spacing w:val="-64"/>
        </w:rPr>
        <w:t> </w:t>
      </w:r>
      <w:r>
        <w:rPr>
          <w:spacing w:val="-64"/>
        </w:rPr>
      </w:r>
      <w:r>
        <w:rPr>
          <w:rFonts w:ascii="Times New Roman" w:hAnsi="Times New Roman" w:cs="Times New Roman" w:eastAsia="Times New Roman" w:hint="default"/>
        </w:rPr>
        <w:t>IPC</w:t>
      </w:r>
      <w:r>
        <w:rPr/>
        <w:t>产品增长迅速，且对终端产品的智能化特点更为敏感，而随着视频产品应用领域的不断扩大，电池类</w:t>
      </w:r>
      <w:r>
        <w:rPr>
          <w:rFonts w:ascii="Times New Roman" w:hAnsi="Times New Roman" w:cs="Times New Roman" w:eastAsia="Times New Roman" w:hint="default"/>
        </w:rPr>
        <w:t>IPC</w:t>
      </w:r>
      <w:r>
        <w:rPr/>
        <w:t>呈现了强劲的</w:t>
      </w:r>
      <w:r>
        <w:rPr>
          <w:spacing w:val="-87"/>
        </w:rPr>
        <w:t> </w:t>
      </w:r>
      <w:r>
        <w:rPr/>
        <w:t>市场需求。</w:t>
      </w:r>
      <w:r>
        <w:rPr>
          <w:rFonts w:ascii="Times New Roman" w:hAnsi="Times New Roman" w:cs="Times New Roman" w:eastAsia="Times New Roman" w:hint="default"/>
        </w:rPr>
        <w:t>2017</w:t>
      </w:r>
      <w:r>
        <w:rPr/>
        <w:t>年末，公司推出了</w:t>
      </w:r>
      <w:r>
        <w:rPr>
          <w:rFonts w:ascii="Times New Roman" w:hAnsi="Times New Roman" w:cs="Times New Roman" w:eastAsia="Times New Roman" w:hint="default"/>
        </w:rPr>
        <w:t>H.265</w:t>
      </w:r>
      <w:r>
        <w:rPr/>
        <w:t>的芯片产品，该产品具有专业的成像效果，能够实现多重降噪，并可实现高压缩率 编码，</w:t>
      </w:r>
      <w:r>
        <w:rPr>
          <w:rFonts w:ascii="Times New Roman" w:hAnsi="Times New Roman" w:cs="Times New Roman" w:eastAsia="Times New Roman" w:hint="default"/>
        </w:rPr>
        <w:t>Smart</w:t>
      </w:r>
      <w:r>
        <w:rPr/>
        <w:t>码流控制等性能。同时，公司的智能分析芯片在经过一年多的市场推广之后，也逐渐被客户所采用。随着公司 系列产品的不断推出，公司的芯片产品将涵盖更多的市场应用，公司将努力扩大在视频领域的市场份额。</w:t>
      </w:r>
    </w:p>
    <w:p>
      <w:pPr>
        <w:pStyle w:val="BodyText"/>
        <w:spacing w:line="304" w:lineRule="auto" w:before="67"/>
        <w:ind w:right="94" w:firstLine="360"/>
        <w:jc w:val="left"/>
      </w:pPr>
      <w:r>
        <w:rPr>
          <w:spacing w:val="-2"/>
        </w:rPr>
        <w:t>人工智能领域仍然是</w:t>
      </w:r>
      <w:r>
        <w:rPr>
          <w:rFonts w:ascii="Times New Roman" w:hAnsi="Times New Roman" w:cs="Times New Roman" w:eastAsia="Times New Roman" w:hint="default"/>
          <w:spacing w:val="-2"/>
        </w:rPr>
        <w:t>2017</w:t>
      </w:r>
      <w:r>
        <w:rPr>
          <w:spacing w:val="-2"/>
        </w:rPr>
        <w:t>年度受到市场高度关注的领域，人工智能技术在</w:t>
      </w:r>
      <w:r>
        <w:rPr>
          <w:rFonts w:ascii="Times New Roman" w:hAnsi="Times New Roman" w:cs="Times New Roman" w:eastAsia="Times New Roman" w:hint="default"/>
          <w:spacing w:val="-2"/>
        </w:rPr>
        <w:t>2017</w:t>
      </w:r>
      <w:r>
        <w:rPr>
          <w:spacing w:val="-2"/>
        </w:rPr>
        <w:t>年快速发展，并在安防监控、医疗、金融</w:t>
      </w:r>
      <w:r>
        <w:rPr/>
        <w:t> </w:t>
      </w:r>
      <w:r>
        <w:rPr>
          <w:spacing w:val="-3"/>
        </w:rPr>
        <w:t>等领域逐渐获得应用，面向人工智能的新兴公司也受到资本市场的热捧，无论是众多的新兴公司还是谷歌、</w:t>
      </w:r>
      <w:r>
        <w:rPr>
          <w:rFonts w:ascii="Times New Roman" w:hAnsi="Times New Roman" w:cs="Times New Roman" w:eastAsia="Times New Roman" w:hint="default"/>
          <w:spacing w:val="-3"/>
        </w:rPr>
        <w:t>Facebook</w:t>
      </w:r>
      <w:r>
        <w:rPr>
          <w:spacing w:val="-3"/>
        </w:rPr>
        <w:t>、百度、</w:t>
      </w:r>
      <w:r>
        <w:rPr>
          <w:spacing w:val="-69"/>
        </w:rPr>
        <w:t> </w:t>
      </w:r>
      <w:r>
        <w:rPr>
          <w:spacing w:val="-69"/>
        </w:rPr>
      </w:r>
      <w:r>
        <w:rPr/>
        <w:t>亚马逊等产业巨头，都纷纷加大在人工智能领域的投入。在人工智能领域，产品落地和产业化，预计将是企业成功的关键。 </w:t>
      </w:r>
      <w:r>
        <w:rPr>
          <w:spacing w:val="-2"/>
        </w:rPr>
        <w:t>公司将结合现有的市场应用，持续布局该领域，继公司浅层学习的智能分析协处理器之后，公司预计将在</w:t>
      </w:r>
      <w:r>
        <w:rPr>
          <w:rFonts w:ascii="Times New Roman" w:hAnsi="Times New Roman" w:cs="Times New Roman" w:eastAsia="Times New Roman" w:hint="default"/>
          <w:spacing w:val="-2"/>
        </w:rPr>
        <w:t>2018</w:t>
      </w:r>
      <w:r>
        <w:rPr>
          <w:spacing w:val="-2"/>
        </w:rPr>
        <w:t>年推出深度学</w:t>
      </w:r>
      <w:r>
        <w:rPr>
          <w:spacing w:val="-59"/>
        </w:rPr>
        <w:t> </w:t>
      </w:r>
      <w:r>
        <w:rPr>
          <w:spacing w:val="-59"/>
        </w:rPr>
      </w:r>
      <w:r>
        <w:rPr/>
        <w:t>习的人工智能协处理器产品。</w:t>
      </w:r>
    </w:p>
    <w:p>
      <w:pPr>
        <w:pStyle w:val="BodyText"/>
        <w:spacing w:line="319" w:lineRule="auto" w:before="66"/>
        <w:ind w:right="189" w:firstLine="360"/>
        <w:jc w:val="both"/>
      </w:pPr>
      <w:r>
        <w:rPr>
          <w:spacing w:val="-2"/>
        </w:rPr>
        <w:t>集成电路产业是信息产业的核心，也是信息安全的基石，是衡量一个国家或地区综合竞争力的重要标志。我国对集成电</w:t>
      </w:r>
      <w:r>
        <w:rPr/>
        <w:t> </w:t>
      </w:r>
      <w:r>
        <w:rPr>
          <w:spacing w:val="-2"/>
        </w:rPr>
        <w:t>路产业一直高度重视，国家先后出台了一系列的政策措施，扶持国内集成电路产业的发展。同时，中国是全球电子产品的主</w:t>
      </w:r>
      <w:r>
        <w:rPr>
          <w:spacing w:val="-64"/>
        </w:rPr>
        <w:t> </w:t>
      </w:r>
      <w:r>
        <w:rPr>
          <w:spacing w:val="-64"/>
        </w:rPr>
      </w:r>
      <w:r>
        <w:rPr>
          <w:spacing w:val="-2"/>
        </w:rPr>
        <w:t>要市场，是集成电路产品的消费大国，大数据、物联网、智能视频、人工智能等市场的发展将给中国集成电路产业带来了更</w:t>
      </w:r>
      <w:r>
        <w:rPr>
          <w:spacing w:val="-65"/>
        </w:rPr>
        <w:t> </w:t>
      </w:r>
      <w:r>
        <w:rPr>
          <w:spacing w:val="-65"/>
        </w:rPr>
      </w:r>
      <w:r>
        <w:rPr>
          <w:spacing w:val="-2"/>
        </w:rPr>
        <w:t>大的发展空间。在国家政策的扶持以及市场需求的双重带动下，预计我国集成电路产业将保持良好的增长势头。公司将不断</w:t>
      </w:r>
      <w:r>
        <w:rPr>
          <w:spacing w:val="-61"/>
        </w:rPr>
        <w:t> </w:t>
      </w:r>
      <w:r>
        <w:rPr>
          <w:spacing w:val="-61"/>
        </w:rPr>
      </w:r>
      <w:r>
        <w:rPr/>
        <w:t>加强产品研发和市场推广的力度，及时把握产业发展的机会。</w:t>
      </w:r>
    </w:p>
    <w:p>
      <w:pPr>
        <w:pStyle w:val="BodyText"/>
        <w:spacing w:line="340" w:lineRule="auto" w:before="58"/>
        <w:ind w:left="513" w:right="84"/>
        <w:jc w:val="left"/>
      </w:pPr>
      <w:r>
        <w:rPr>
          <w:rFonts w:ascii="Times New Roman" w:hAnsi="Times New Roman" w:cs="Times New Roman" w:eastAsia="Times New Roman" w:hint="default"/>
        </w:rPr>
        <w:t>2</w:t>
      </w:r>
      <w:r>
        <w:rPr/>
        <w:t>、公司发展战略 </w:t>
      </w:r>
      <w:r>
        <w:rPr>
          <w:spacing w:val="-3"/>
        </w:rPr>
        <w:t>公司坚持</w:t>
      </w:r>
      <w:r>
        <w:rPr>
          <w:rFonts w:ascii="Times New Roman" w:hAnsi="Times New Roman" w:cs="Times New Roman" w:eastAsia="Times New Roman" w:hint="default"/>
          <w:spacing w:val="-3"/>
        </w:rPr>
        <w:t>“</w:t>
      </w:r>
      <w:r>
        <w:rPr>
          <w:spacing w:val="-3"/>
        </w:rPr>
        <w:t>创新技术、自主研发</w:t>
      </w:r>
      <w:r>
        <w:rPr>
          <w:rFonts w:ascii="Times New Roman" w:hAnsi="Times New Roman" w:cs="Times New Roman" w:eastAsia="Times New Roman" w:hint="default"/>
          <w:spacing w:val="-3"/>
        </w:rPr>
        <w:t>”</w:t>
      </w:r>
      <w:r>
        <w:rPr>
          <w:spacing w:val="-3"/>
        </w:rPr>
        <w:t>的技术战略和</w:t>
      </w:r>
      <w:r>
        <w:rPr>
          <w:rFonts w:ascii="Times New Roman" w:hAnsi="Times New Roman" w:cs="Times New Roman" w:eastAsia="Times New Roman" w:hint="default"/>
          <w:spacing w:val="-3"/>
        </w:rPr>
        <w:t>“</w:t>
      </w:r>
      <w:r>
        <w:rPr>
          <w:spacing w:val="-3"/>
        </w:rPr>
        <w:t>开放平台、纵横扩展</w:t>
      </w:r>
      <w:r>
        <w:rPr>
          <w:rFonts w:ascii="Times New Roman" w:hAnsi="Times New Roman" w:cs="Times New Roman" w:eastAsia="Times New Roman" w:hint="default"/>
          <w:spacing w:val="-3"/>
        </w:rPr>
        <w:t>”</w:t>
      </w:r>
      <w:r>
        <w:rPr>
          <w:spacing w:val="-3"/>
        </w:rPr>
        <w:t>的市场战略。在技术上，公司将不断加强研发力度，</w:t>
      </w:r>
    </w:p>
    <w:p>
      <w:pPr>
        <w:pStyle w:val="BodyText"/>
        <w:spacing w:line="215" w:lineRule="exact"/>
        <w:ind w:right="0"/>
        <w:jc w:val="both"/>
      </w:pPr>
      <w:r>
        <w:rPr/>
        <w:t>持续进行技术创新，密切关注产业发展动向，及时布局产业的关键性核心技术，根据市场变化进行新产品的规划与研发。在</w:t>
      </w:r>
    </w:p>
    <w:p>
      <w:pPr>
        <w:pStyle w:val="BodyText"/>
        <w:spacing w:line="316" w:lineRule="auto" w:before="76"/>
        <w:ind w:right="195"/>
        <w:jc w:val="both"/>
      </w:pPr>
      <w:r>
        <w:rPr>
          <w:spacing w:val="-2"/>
        </w:rPr>
        <w:t>市场上，充分发挥自身的技术优势、产品优势、平台优势和本土化服务优势，积极寻找和拓展适合公司产品的市场领域，及</w:t>
      </w:r>
      <w:r>
        <w:rPr>
          <w:spacing w:val="-67"/>
        </w:rPr>
        <w:t> </w:t>
      </w:r>
      <w:r>
        <w:rPr>
          <w:spacing w:val="-67"/>
        </w:rPr>
      </w:r>
      <w:r>
        <w:rPr/>
        <w:t>时跟进新市场，抓住未来新兴产业机会，将公司打造成国内领先、具有国际竞争力的集成电路设计企业。</w:t>
      </w:r>
    </w:p>
    <w:p>
      <w:pPr>
        <w:pStyle w:val="BodyText"/>
        <w:spacing w:line="340" w:lineRule="auto" w:before="57"/>
        <w:ind w:left="513" w:right="84"/>
        <w:jc w:val="left"/>
      </w:pPr>
      <w:r>
        <w:rPr>
          <w:rFonts w:ascii="Times New Roman" w:hAnsi="Times New Roman" w:cs="Times New Roman" w:eastAsia="Times New Roman" w:hint="default"/>
        </w:rPr>
        <w:t>3</w:t>
      </w:r>
      <w:r>
        <w:rPr/>
        <w:t>、前期披露的发展战略和经营计划在报告期内的进展 </w:t>
      </w:r>
      <w:r>
        <w:rPr>
          <w:spacing w:val="-2"/>
        </w:rPr>
        <w:t>根据公司的总体发展战略和</w:t>
      </w:r>
      <w:r>
        <w:rPr>
          <w:rFonts w:ascii="Times New Roman" w:hAnsi="Times New Roman" w:cs="Times New Roman" w:eastAsia="Times New Roman" w:hint="default"/>
          <w:spacing w:val="-2"/>
        </w:rPr>
        <w:t>2017</w:t>
      </w:r>
      <w:r>
        <w:rPr>
          <w:spacing w:val="-2"/>
        </w:rPr>
        <w:t>年经营计划，报告期内，公司深入展开各项工作，持续推进核心技术的研发和创新，公</w:t>
      </w:r>
    </w:p>
    <w:p>
      <w:pPr>
        <w:spacing w:after="0" w:line="3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84"/>
        <w:jc w:val="left"/>
      </w:pPr>
      <w:r>
        <w:rPr/>
        <w:t>司</w:t>
      </w:r>
      <w:r>
        <w:rPr>
          <w:rFonts w:ascii="Times New Roman" w:hAnsi="Times New Roman" w:cs="Times New Roman" w:eastAsia="Times New Roman" w:hint="default"/>
        </w:rPr>
        <w:t>Xburst2</w:t>
      </w:r>
      <w:r>
        <w:rPr>
          <w:rFonts w:ascii="Times New Roman" w:hAnsi="Times New Roman" w:cs="Times New Roman" w:eastAsia="Times New Roman" w:hint="default"/>
          <w:spacing w:val="-3"/>
        </w:rPr>
        <w:t> </w:t>
      </w:r>
      <w:r>
        <w:rPr>
          <w:rFonts w:ascii="Times New Roman" w:hAnsi="Times New Roman" w:cs="Times New Roman" w:eastAsia="Times New Roman" w:hint="default"/>
        </w:rPr>
        <w:t>CPU</w:t>
      </w:r>
      <w:r>
        <w:rPr/>
        <w:t>核、视频编解码、影像和声音信号处理等核心技术的研发工作进展良好；根据市场需求情况，公司对芯片产 </w:t>
      </w:r>
      <w:r>
        <w:rPr>
          <w:spacing w:val="-4"/>
        </w:rPr>
        <w:t>品进行了升级换代，并推出了更多的开发平台；市场推广方面，公司不断加强营销体系建设，加大市场拓展和宣传推广力度，</w:t>
      </w:r>
      <w:r>
        <w:rPr>
          <w:spacing w:val="-46"/>
        </w:rPr>
        <w:t> </w:t>
      </w:r>
      <w:r>
        <w:rPr>
          <w:spacing w:val="-46"/>
        </w:rPr>
      </w:r>
      <w:r>
        <w:rPr>
          <w:spacing w:val="-2"/>
        </w:rPr>
        <w:t>深入拓展各重点应用领域，全面加强市场的推广工作；人才管理方面，公司继续加强人才培养和激励方面的工作，不断完善</w:t>
      </w:r>
      <w:r>
        <w:rPr>
          <w:spacing w:val="-65"/>
        </w:rPr>
        <w:t> </w:t>
      </w:r>
      <w:r>
        <w:rPr>
          <w:spacing w:val="-65"/>
        </w:rPr>
      </w:r>
      <w:r>
        <w:rPr>
          <w:spacing w:val="-2"/>
        </w:rPr>
        <w:t>公司管理制度，建立、健全长期有效的激励机制。</w:t>
      </w:r>
      <w:r>
        <w:rPr>
          <w:rFonts w:ascii="Times New Roman" w:hAnsi="Times New Roman" w:cs="Times New Roman" w:eastAsia="Times New Roman" w:hint="default"/>
          <w:spacing w:val="-2"/>
        </w:rPr>
        <w:t>2017</w:t>
      </w:r>
      <w:r>
        <w:rPr>
          <w:spacing w:val="-2"/>
        </w:rPr>
        <w:t>年，在公司的持续努力下，销售业绩得到了明显提升，销售收入大幅</w:t>
      </w:r>
      <w:r>
        <w:rPr>
          <w:spacing w:val="-64"/>
        </w:rPr>
        <w:t> </w:t>
      </w:r>
      <w:r>
        <w:rPr>
          <w:spacing w:val="-64"/>
        </w:rPr>
      </w:r>
      <w:r>
        <w:rPr/>
        <w:t>增长，同时，公司股票期权激励计划第一个行期的行权顺利实施。</w:t>
      </w:r>
    </w:p>
    <w:p>
      <w:pPr>
        <w:pStyle w:val="BodyText"/>
        <w:spacing w:line="240" w:lineRule="auto" w:before="65"/>
        <w:ind w:left="513" w:right="84"/>
        <w:jc w:val="left"/>
      </w:pPr>
      <w:r>
        <w:rPr/>
        <w:t>报告期内，公司发展战略和</w:t>
      </w:r>
      <w:r>
        <w:rPr>
          <w:rFonts w:ascii="Times New Roman" w:hAnsi="Times New Roman" w:cs="Times New Roman" w:eastAsia="Times New Roman" w:hint="default"/>
        </w:rPr>
        <w:t>2017</w:t>
      </w:r>
      <w:r>
        <w:rPr/>
        <w:t>年经营计划得到有效执行。</w:t>
      </w:r>
    </w:p>
    <w:p>
      <w:pPr>
        <w:pStyle w:val="BodyText"/>
        <w:spacing w:line="240" w:lineRule="auto" w:before="101"/>
        <w:ind w:left="513" w:right="8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年经营计划</w:t>
      </w:r>
    </w:p>
    <w:p>
      <w:pPr>
        <w:pStyle w:val="BodyText"/>
        <w:spacing w:line="300" w:lineRule="auto" w:before="103"/>
        <w:ind w:right="84" w:firstLine="360"/>
        <w:jc w:val="left"/>
      </w:pPr>
      <w:r>
        <w:rPr>
          <w:rFonts w:ascii="Times New Roman" w:hAnsi="Times New Roman" w:cs="Times New Roman" w:eastAsia="Times New Roman" w:hint="default"/>
          <w:spacing w:val="-2"/>
        </w:rPr>
        <w:t>2018</w:t>
      </w:r>
      <w:r>
        <w:rPr>
          <w:spacing w:val="-2"/>
        </w:rPr>
        <w:t>年公司将继续加强研发工作的力度，坚持核心技术的研发，坚持技术创新，不断完善公司的经营管理水平和市场拓</w:t>
      </w:r>
      <w:r>
        <w:rPr/>
        <w:t> 展能力，努力抓住新兴市场机会，不断寻求新的应用领域，加快新市场的开拓和布局，积极推动公司的业绩改善。</w:t>
      </w:r>
    </w:p>
    <w:p>
      <w:pPr>
        <w:pStyle w:val="BodyText"/>
        <w:spacing w:line="240" w:lineRule="auto" w:before="72"/>
        <w:ind w:left="513" w:right="84"/>
        <w:jc w:val="left"/>
      </w:pPr>
      <w:r>
        <w:rPr/>
        <w:t>具体来说，公司</w:t>
      </w:r>
      <w:r>
        <w:rPr>
          <w:rFonts w:ascii="Times New Roman" w:hAnsi="Times New Roman" w:cs="Times New Roman" w:eastAsia="Times New Roman" w:hint="default"/>
        </w:rPr>
        <w:t>2018</w:t>
      </w:r>
      <w:r>
        <w:rPr/>
        <w:t>年经营计划如下：</w:t>
      </w:r>
    </w:p>
    <w:p>
      <w:pPr>
        <w:pStyle w:val="BodyText"/>
        <w:spacing w:line="240" w:lineRule="auto" w:before="101"/>
        <w:ind w:left="513" w:right="84"/>
        <w:jc w:val="left"/>
      </w:pPr>
      <w:r>
        <w:rPr/>
        <w:t>（</w:t>
      </w:r>
      <w:r>
        <w:rPr>
          <w:rFonts w:ascii="Times New Roman" w:hAnsi="Times New Roman" w:cs="Times New Roman" w:eastAsia="Times New Roman" w:hint="default"/>
        </w:rPr>
        <w:t>1</w:t>
      </w:r>
      <w:r>
        <w:rPr/>
        <w:t>）继续推进核心技术的研发和技术创新</w:t>
      </w:r>
    </w:p>
    <w:p>
      <w:pPr>
        <w:pStyle w:val="BodyText"/>
        <w:spacing w:line="309" w:lineRule="auto" w:before="104"/>
        <w:ind w:right="84" w:firstLine="360"/>
        <w:jc w:val="left"/>
      </w:pPr>
      <w:r>
        <w:rPr/>
        <w:t>公司将继续优化</w:t>
      </w:r>
      <w:r>
        <w:rPr>
          <w:rFonts w:ascii="Times New Roman" w:hAnsi="Times New Roman" w:cs="Times New Roman" w:eastAsia="Times New Roman" w:hint="default"/>
        </w:rPr>
        <w:t>XBurst 2 CPU</w:t>
      </w:r>
      <w:r>
        <w:rPr/>
        <w:t>核的各项指标，提高和完善</w:t>
      </w:r>
      <w:r>
        <w:rPr>
          <w:rFonts w:ascii="Times New Roman" w:hAnsi="Times New Roman" w:cs="Times New Roman" w:eastAsia="Times New Roman" w:hint="default"/>
        </w:rPr>
        <w:t>XBurst 2</w:t>
      </w:r>
      <w:r>
        <w:rPr>
          <w:rFonts w:ascii="Times New Roman" w:hAnsi="Times New Roman" w:cs="Times New Roman" w:eastAsia="Times New Roman" w:hint="default"/>
          <w:spacing w:val="-30"/>
        </w:rPr>
        <w:t> </w:t>
      </w:r>
      <w:r>
        <w:rPr>
          <w:rFonts w:ascii="Times New Roman" w:hAnsi="Times New Roman" w:cs="Times New Roman" w:eastAsia="Times New Roman" w:hint="default"/>
        </w:rPr>
        <w:t>CPU</w:t>
      </w:r>
      <w:r>
        <w:rPr/>
        <w:t>的综合性能；根据公司重点拓展的智能视频、物 </w:t>
      </w:r>
      <w:r>
        <w:rPr>
          <w:spacing w:val="-4"/>
        </w:rPr>
        <w:t>联网等领域的市场需要，对视频编解码、影像和声音信号处理、计算机视觉和机器学习等核心技术进行持续研发与不断优化。</w:t>
      </w:r>
      <w:r>
        <w:rPr>
          <w:spacing w:val="-44"/>
        </w:rPr>
        <w:t> </w:t>
      </w:r>
      <w:r>
        <w:rPr>
          <w:spacing w:val="-44"/>
        </w:rPr>
      </w:r>
      <w:r>
        <w:rPr/>
        <w:t>芯片设计技术方面，公司也将不断提高</w:t>
      </w:r>
      <w:r>
        <w:rPr>
          <w:rFonts w:ascii="Times New Roman" w:hAnsi="Times New Roman" w:cs="Times New Roman" w:eastAsia="Times New Roman" w:hint="default"/>
        </w:rPr>
        <w:t>SoC</w:t>
      </w:r>
      <w:r>
        <w:rPr/>
        <w:t>设计能力，继续加强低功耗方面的技术领先性。公司将不断推动核心技术的研发 </w:t>
      </w:r>
      <w:r>
        <w:rPr>
          <w:spacing w:val="-2"/>
        </w:rPr>
        <w:t>和技术创新，根据市场发展动向，及时展开新技术的研发布局工作。此外，公司将继续加强知识产权方面的工作，加强专利</w:t>
      </w:r>
      <w:r>
        <w:rPr>
          <w:spacing w:val="-67"/>
        </w:rPr>
        <w:t> </w:t>
      </w:r>
      <w:r>
        <w:rPr>
          <w:spacing w:val="-67"/>
        </w:rPr>
      </w:r>
      <w:r>
        <w:rPr/>
        <w:t>申请方面的工作，提高公司的知识产权储备。</w:t>
      </w:r>
    </w:p>
    <w:p>
      <w:pPr>
        <w:pStyle w:val="BodyText"/>
        <w:spacing w:line="338" w:lineRule="auto" w:before="65"/>
        <w:ind w:left="513" w:right="84"/>
        <w:jc w:val="left"/>
      </w:pPr>
      <w:r>
        <w:rPr/>
        <w:t>（</w:t>
      </w:r>
      <w:r>
        <w:rPr>
          <w:rFonts w:ascii="Times New Roman" w:hAnsi="Times New Roman" w:cs="Times New Roman" w:eastAsia="Times New Roman" w:hint="default"/>
        </w:rPr>
        <w:t>2</w:t>
      </w:r>
      <w:r>
        <w:rPr/>
        <w:t>）根据市场需求情况展开新产品的研发工作 </w:t>
      </w:r>
      <w:r>
        <w:rPr>
          <w:spacing w:val="-2"/>
        </w:rPr>
        <w:t>公司将针对物联网、智能家居和智能视频等市场的产品需求情况，展开芯片新产品的规划和开发，对芯片产品进行升级</w:t>
      </w:r>
    </w:p>
    <w:p>
      <w:pPr>
        <w:pStyle w:val="BodyText"/>
        <w:spacing w:line="316" w:lineRule="auto" w:before="2"/>
        <w:ind w:right="84"/>
        <w:jc w:val="left"/>
      </w:pPr>
      <w:r>
        <w:rPr>
          <w:spacing w:val="-2"/>
        </w:rPr>
        <w:t>换代。根据市场对人工智能芯片的需求进展，公司将推出深度学习的芯片产品。同时，公司将继续优化和完善针对特定市场</w:t>
      </w:r>
      <w:r>
        <w:rPr>
          <w:spacing w:val="-64"/>
        </w:rPr>
        <w:t> </w:t>
      </w:r>
      <w:r>
        <w:rPr>
          <w:spacing w:val="-64"/>
        </w:rPr>
      </w:r>
      <w:r>
        <w:rPr/>
        <w:t>的整体解决方案，并根据市场和客户的需求及时展开相应的方案研发。</w:t>
      </w:r>
    </w:p>
    <w:p>
      <w:pPr>
        <w:pStyle w:val="BodyText"/>
        <w:spacing w:line="340" w:lineRule="auto" w:before="59"/>
        <w:ind w:left="513" w:right="84"/>
        <w:jc w:val="left"/>
      </w:pPr>
      <w:r>
        <w:rPr/>
        <w:t>（</w:t>
      </w:r>
      <w:r>
        <w:rPr>
          <w:rFonts w:ascii="Times New Roman" w:hAnsi="Times New Roman" w:cs="Times New Roman" w:eastAsia="Times New Roman" w:hint="default"/>
        </w:rPr>
        <w:t>3</w:t>
      </w:r>
      <w:r>
        <w:rPr/>
        <w:t>）加强营销体系建设，加强重点市场的开拓，提高公司市场销售规模 </w:t>
      </w:r>
      <w:r>
        <w:rPr>
          <w:spacing w:val="-2"/>
        </w:rPr>
        <w:t>公司将继续加强市场营销力度，加强营销队伍建设，采用多样化的宣传和营销方式进行市场推广，调动更多的技术力量</w:t>
      </w:r>
    </w:p>
    <w:p>
      <w:pPr>
        <w:pStyle w:val="BodyText"/>
        <w:spacing w:line="316" w:lineRule="auto" w:before="1"/>
        <w:ind w:right="94"/>
        <w:jc w:val="left"/>
      </w:pPr>
      <w:r>
        <w:rPr/>
        <w:t>和市场力量对市场进行布局和推广，加强各类开发平台的推广，深入挖掘物联网、智能家居、智能视频等领域的市场机会， </w:t>
      </w:r>
      <w:r>
        <w:rPr>
          <w:spacing w:val="-2"/>
        </w:rPr>
        <w:t>在现有业务的基础上努力探索新的赢利模式，积极推动人工智能技术在公司重点市场领域的应用，积极拓展更多的客户，进</w:t>
      </w:r>
      <w:r>
        <w:rPr>
          <w:spacing w:val="-63"/>
        </w:rPr>
        <w:t> </w:t>
      </w:r>
      <w:r>
        <w:rPr>
          <w:spacing w:val="-63"/>
        </w:rPr>
      </w:r>
      <w:r>
        <w:rPr/>
        <w:t>一步提高公司的市场销售规模，不断提高公司的经营业绩。在积极把握现有市场的同时，公司也将密切关注其他市场机会， 推动公司产品获得更多的市场应用。</w:t>
      </w:r>
    </w:p>
    <w:p>
      <w:pPr>
        <w:pStyle w:val="BodyText"/>
        <w:spacing w:line="340" w:lineRule="auto" w:before="57"/>
        <w:ind w:left="513" w:right="84"/>
        <w:jc w:val="left"/>
      </w:pPr>
      <w:r>
        <w:rPr/>
        <w:t>（</w:t>
      </w:r>
      <w:r>
        <w:rPr>
          <w:rFonts w:ascii="Times New Roman" w:hAnsi="Times New Roman" w:cs="Times New Roman" w:eastAsia="Times New Roman" w:hint="default"/>
        </w:rPr>
        <w:t>4</w:t>
      </w:r>
      <w:r>
        <w:rPr/>
        <w:t>）加强公司经营管理水平和人才队伍建设 </w:t>
      </w:r>
      <w:r>
        <w:rPr>
          <w:spacing w:val="-2"/>
        </w:rPr>
        <w:t>为更好地推进公司各项业务的发展，持续提高公司总体的经营管理水平，公司将不断加强管理人员的学习和培训，不断</w:t>
      </w:r>
    </w:p>
    <w:p>
      <w:pPr>
        <w:pStyle w:val="BodyText"/>
        <w:spacing w:line="312" w:lineRule="auto" w:before="1"/>
        <w:ind w:right="189"/>
        <w:jc w:val="both"/>
      </w:pPr>
      <w:r>
        <w:rPr>
          <w:spacing w:val="-2"/>
        </w:rPr>
        <w:t>完善管理制度，加强对参、控股公司的监督和管理，采用多种方式进行员工的激励，进一步加强公司的人才队伍建设，加强</w:t>
      </w:r>
      <w:r>
        <w:rPr>
          <w:spacing w:val="-66"/>
        </w:rPr>
        <w:t> </w:t>
      </w:r>
      <w:r>
        <w:rPr>
          <w:spacing w:val="-66"/>
        </w:rPr>
      </w:r>
      <w:r>
        <w:rPr>
          <w:spacing w:val="-2"/>
        </w:rPr>
        <w:t>员工的积极主动性，以顺利展开各项业务经营活动。公司股票期权激励计划第二个行权期将在</w:t>
      </w:r>
      <w:r>
        <w:rPr>
          <w:rFonts w:ascii="Times New Roman" w:hAnsi="Times New Roman" w:cs="Times New Roman" w:eastAsia="Times New Roman" w:hint="default"/>
          <w:spacing w:val="-2"/>
        </w:rPr>
        <w:t>2018</w:t>
      </w:r>
      <w:r>
        <w:rPr>
          <w:spacing w:val="-2"/>
        </w:rPr>
        <w:t>年度开始行权，公司将严</w:t>
      </w:r>
      <w:r>
        <w:rPr>
          <w:spacing w:val="-60"/>
        </w:rPr>
        <w:t> </w:t>
      </w:r>
      <w:r>
        <w:rPr>
          <w:spacing w:val="-60"/>
        </w:rPr>
      </w:r>
      <w:r>
        <w:rPr>
          <w:spacing w:val="-2"/>
        </w:rPr>
        <w:t>格按照《北京君正集成电路股份有限公司股票期权激励计划（草案）》的规定和相关法律法规的要求，做好第二个行权期行</w:t>
      </w:r>
      <w:r>
        <w:rPr>
          <w:spacing w:val="-65"/>
        </w:rPr>
        <w:t> </w:t>
      </w:r>
      <w:r>
        <w:rPr>
          <w:spacing w:val="-65"/>
        </w:rPr>
      </w:r>
      <w:r>
        <w:rPr/>
        <w:t>权的相关工作。</w:t>
      </w:r>
    </w:p>
    <w:p>
      <w:pPr>
        <w:pStyle w:val="BodyText"/>
        <w:spacing w:line="338" w:lineRule="auto" w:before="63"/>
        <w:ind w:left="513" w:right="84"/>
        <w:jc w:val="left"/>
      </w:pPr>
      <w:r>
        <w:rPr/>
        <w:t>（</w:t>
      </w:r>
      <w:r>
        <w:rPr>
          <w:rFonts w:ascii="Times New Roman" w:hAnsi="Times New Roman" w:cs="Times New Roman" w:eastAsia="Times New Roman" w:hint="default"/>
        </w:rPr>
        <w:t>5</w:t>
      </w:r>
      <w:r>
        <w:rPr/>
        <w:t>）推动公司产业投资和并购方面的工作 </w:t>
      </w:r>
      <w:r>
        <w:rPr>
          <w:spacing w:val="-2"/>
        </w:rPr>
        <w:t>公司将积极推进产业投资与并购方面的工作，在努力进行内生式发展的基础上，不断寻求外延式发展的机会，通过并购</w:t>
      </w:r>
    </w:p>
    <w:p>
      <w:pPr>
        <w:pStyle w:val="BodyText"/>
        <w:spacing w:line="240" w:lineRule="auto" w:before="2"/>
        <w:ind w:right="84"/>
        <w:jc w:val="left"/>
      </w:pPr>
      <w:r>
        <w:rPr/>
        <w:t>基金和直接参、控股标的企业等方式，加强产业融合，推动公司的整体发展。</w:t>
      </w:r>
    </w:p>
    <w:p>
      <w:pPr>
        <w:pStyle w:val="BodyText"/>
        <w:spacing w:line="340" w:lineRule="auto" w:before="117"/>
        <w:ind w:left="513" w:right="84"/>
        <w:jc w:val="left"/>
      </w:pPr>
      <w:r>
        <w:rPr/>
        <w:t>（</w:t>
      </w:r>
      <w:r>
        <w:rPr>
          <w:rFonts w:ascii="Times New Roman" w:hAnsi="Times New Roman" w:cs="Times New Roman" w:eastAsia="Times New Roman" w:hint="default"/>
        </w:rPr>
        <w:t>6</w:t>
      </w:r>
      <w:r>
        <w:rPr/>
        <w:t>）完成合肥君正研发楼一期的建设并启动二期研发楼的建设工作 </w:t>
      </w:r>
      <w:r>
        <w:rPr>
          <w:spacing w:val="-2"/>
        </w:rPr>
        <w:t>公司预计可于</w:t>
      </w:r>
      <w:r>
        <w:rPr>
          <w:rFonts w:ascii="Times New Roman" w:hAnsi="Times New Roman" w:cs="Times New Roman" w:eastAsia="Times New Roman" w:hint="default"/>
          <w:spacing w:val="-2"/>
        </w:rPr>
        <w:t>2018</w:t>
      </w:r>
      <w:r>
        <w:rPr>
          <w:spacing w:val="-2"/>
        </w:rPr>
        <w:t>年全面完成目前在建的合肥君正研发楼一期的建设工作，同时，为给合肥君正未来的产业发展提供更</w:t>
      </w:r>
    </w:p>
    <w:p>
      <w:pPr>
        <w:pStyle w:val="BodyText"/>
        <w:spacing w:line="215" w:lineRule="exact"/>
        <w:ind w:right="0"/>
        <w:jc w:val="left"/>
      </w:pPr>
      <w:r>
        <w:rPr/>
        <w:t>大的空间和更好的支持，及时把握合肥高新区良好的产业政策和发展时机，公司决定办理合肥君正二期研发楼建设用地的各</w:t>
      </w:r>
    </w:p>
    <w:p>
      <w:pPr>
        <w:pStyle w:val="BodyText"/>
        <w:spacing w:line="300" w:lineRule="auto" w:before="76"/>
        <w:ind w:right="84"/>
        <w:jc w:val="left"/>
      </w:pPr>
      <w:r>
        <w:rPr>
          <w:spacing w:val="-2"/>
        </w:rPr>
        <w:t>项手续，择时展开二期研发楼的建设工作，根据项目的进度计划，待股东大会审议通过后，公司预计于</w:t>
      </w:r>
      <w:r>
        <w:rPr>
          <w:rFonts w:ascii="Times New Roman" w:hAnsi="Times New Roman" w:cs="Times New Roman" w:eastAsia="Times New Roman" w:hint="default"/>
          <w:spacing w:val="-2"/>
        </w:rPr>
        <w:t>2018</w:t>
      </w:r>
      <w:r>
        <w:rPr>
          <w:spacing w:val="-2"/>
        </w:rPr>
        <w:t>年第二季度启动</w:t>
      </w:r>
      <w:r>
        <w:rPr>
          <w:spacing w:val="-60"/>
        </w:rPr>
        <w:t> </w:t>
      </w:r>
      <w:r>
        <w:rPr>
          <w:spacing w:val="-60"/>
        </w:rPr>
      </w:r>
      <w:r>
        <w:rPr/>
        <w:t>合肥君正二期研发楼的建筑方案设计、政府手续报批等各项工作。</w:t>
      </w:r>
    </w:p>
    <w:p>
      <w:pPr>
        <w:pStyle w:val="BodyText"/>
        <w:spacing w:line="340" w:lineRule="auto" w:before="70"/>
        <w:ind w:left="513" w:right="5153"/>
        <w:jc w:val="left"/>
      </w:pPr>
      <w:r>
        <w:rPr>
          <w:rFonts w:ascii="Times New Roman" w:hAnsi="Times New Roman" w:cs="Times New Roman" w:eastAsia="Times New Roman" w:hint="default"/>
        </w:rPr>
        <w:t>5</w:t>
      </w:r>
      <w:r>
        <w:rPr/>
        <w:t>、可能面对的风险 参见</w:t>
      </w:r>
      <w:r>
        <w:rPr>
          <w:rFonts w:ascii="Times New Roman" w:hAnsi="Times New Roman" w:cs="Times New Roman" w:eastAsia="Times New Roman" w:hint="default"/>
        </w:rPr>
        <w:t>“</w:t>
      </w:r>
      <w:r>
        <w:rPr/>
        <w:t>重要提示、目录和释义</w:t>
      </w:r>
      <w:r>
        <w:rPr>
          <w:rFonts w:ascii="Times New Roman" w:hAnsi="Times New Roman" w:cs="Times New Roman" w:eastAsia="Times New Roman" w:hint="default"/>
        </w:rPr>
        <w:t>”</w:t>
      </w:r>
      <w:r>
        <w:rPr/>
        <w:t>中风险因素的相关内容。</w:t>
      </w:r>
    </w:p>
    <w:p>
      <w:pPr>
        <w:spacing w:after="0" w:line="3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983"/>
        <w:gridCol w:w="1985"/>
        <w:gridCol w:w="3685"/>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7"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日投资者关系活动记录表》</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日投资者关系活动记录表》</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日投资者关系活动记录表》</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20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094"/>
        <w:jc w:val="left"/>
      </w:pPr>
      <w:r>
        <w:rPr/>
        <w:t>报告期内普通股利润分配政策，特别是现金分红政策的制定、执行或调整情况</w:t>
      </w:r>
    </w:p>
    <w:p>
      <w:pPr>
        <w:pStyle w:val="BodyText"/>
        <w:spacing w:line="338" w:lineRule="auto" w:before="117"/>
        <w:ind w:right="2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3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0.20</w:t>
            </w:r>
            <w:r>
              <w:rPr>
                <w:rFonts w:ascii="Times New Roman"/>
                <w:sz w:val="18"/>
              </w:rPr>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167,067,073</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3,341,341.46</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6,501,097.82</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根据北京兴华会计师事务所（特殊普通合伙）出具的（</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）京会兴审字第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w:t>
            </w:r>
            <w:r>
              <w:rPr>
                <w:rFonts w:ascii="宋体" w:hAnsi="宋体" w:cs="宋体" w:eastAsia="宋体" w:hint="default"/>
                <w:sz w:val="18"/>
                <w:szCs w:val="18"/>
              </w:rPr>
              <w:t>审计报告</w:t>
            </w:r>
            <w:r>
              <w:rPr>
                <w:rFonts w:ascii="宋体" w:hAnsi="宋体" w:cs="宋体" w:eastAsia="宋体" w:hint="default"/>
                <w:spacing w:val="-92"/>
                <w:sz w:val="18"/>
                <w:szCs w:val="18"/>
              </w:rPr>
              <w:t>》</w:t>
            </w:r>
            <w:r>
              <w:rPr>
                <w:rFonts w:ascii="宋体" w:hAnsi="宋体" w:cs="宋体" w:eastAsia="宋体" w:hint="default"/>
                <w:sz w:val="18"/>
                <w:szCs w:val="18"/>
              </w:rPr>
              <w:t>，母公司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年实现净利润为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14,264,717.99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元，合并报表归属母公司所有者净利润为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6,501,097.82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司累计可供分配利润为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199,426,128.26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元，合并财务报表可供分配利润为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165,616,219.92 </w:t>
            </w:r>
            <w:r>
              <w:rPr>
                <w:rFonts w:ascii="宋体" w:hAnsi="宋体" w:cs="宋体" w:eastAsia="宋体" w:hint="default"/>
                <w:spacing w:val="-4"/>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司资本公积金为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759,538,575.28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475" w:right="0"/>
              <w:jc w:val="left"/>
              <w:rPr>
                <w:rFonts w:ascii="宋体" w:hAnsi="宋体" w:cs="宋体" w:eastAsia="宋体" w:hint="default"/>
                <w:sz w:val="18"/>
                <w:szCs w:val="18"/>
              </w:rPr>
            </w:pPr>
            <w:r>
              <w:rPr>
                <w:rFonts w:ascii="宋体" w:hAnsi="宋体" w:cs="宋体" w:eastAsia="宋体" w:hint="default"/>
                <w:sz w:val="18"/>
                <w:szCs w:val="18"/>
              </w:rPr>
              <w:t>根据《公司章程》等相关规定，结合公司实际情况，公司拟以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167,067,073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为基数，向全体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，共分配现金股利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；以资本公积金向全体股东每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33,413,415 </w:t>
            </w:r>
            <w:r>
              <w:rPr>
                <w:rFonts w:ascii="宋体" w:hAnsi="宋体" w:cs="宋体" w:eastAsia="宋体" w:hint="default"/>
                <w:sz w:val="18"/>
                <w:szCs w:val="18"/>
              </w:rPr>
              <w:t>股，剩余未分配利润结转以后年度。</w:t>
            </w:r>
          </w:p>
        </w:tc>
      </w:tr>
    </w:tbl>
    <w:p>
      <w:pPr>
        <w:pStyle w:val="BodyText"/>
        <w:spacing w:line="240" w:lineRule="auto" w:before="49"/>
        <w:ind w:right="11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4"/>
        <w:ind w:right="113" w:firstLine="36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年利润分配方案：拟以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日总股本</w:t>
      </w:r>
      <w:r>
        <w:rPr>
          <w:rFonts w:ascii="Times New Roman" w:hAnsi="Times New Roman" w:cs="Times New Roman" w:eastAsia="Times New Roman" w:hint="default"/>
          <w:spacing w:val="-4"/>
        </w:rPr>
        <w:t>167,067,073</w:t>
      </w:r>
      <w:r>
        <w:rPr>
          <w:spacing w:val="-4"/>
        </w:rPr>
        <w:t>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0.2</w:t>
      </w:r>
      <w:r>
        <w:rPr>
          <w:spacing w:val="-4"/>
        </w:rPr>
        <w:t>元（含税），</w:t>
      </w:r>
      <w:r>
        <w:rPr/>
        <w:t> 共分配现金股利</w:t>
      </w:r>
      <w:r>
        <w:rPr>
          <w:rFonts w:ascii="Times New Roman" w:hAnsi="Times New Roman" w:cs="Times New Roman" w:eastAsia="Times New Roman" w:hint="default"/>
        </w:rPr>
        <w:t>3,341,341.46</w:t>
      </w:r>
      <w:r>
        <w:rPr/>
        <w:t>元（含税）；以资本公积金向全体股东每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33,413,415</w:t>
      </w:r>
      <w:r>
        <w:rPr/>
        <w:t>股，剩余未分 配利润结转以后年度。</w:t>
      </w:r>
    </w:p>
    <w:p>
      <w:pPr>
        <w:pStyle w:val="BodyText"/>
        <w:spacing w:line="300" w:lineRule="auto" w:before="70"/>
        <w:ind w:right="20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年利润分配方案：公司</w:t>
      </w:r>
      <w:r>
        <w:rPr>
          <w:rFonts w:ascii="Times New Roman" w:hAnsi="Times New Roman" w:cs="Times New Roman" w:eastAsia="Times New Roman" w:hint="default"/>
        </w:rPr>
        <w:t>2016</w:t>
      </w:r>
      <w:r>
        <w:rPr/>
        <w:t>年不送红股，不以公积金转增股本，不派发现金红利，公司剩余未分配利润结转以 后年度。</w:t>
      </w:r>
    </w:p>
    <w:p>
      <w:pPr>
        <w:pStyle w:val="BodyText"/>
        <w:spacing w:line="300" w:lineRule="auto" w:before="72"/>
        <w:ind w:right="20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年利润分配方案：以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16,640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w:t>
      </w:r>
      <w:r>
        <w:rPr/>
        <w:t>元（含税），共 分配现金股利</w:t>
      </w:r>
      <w:r>
        <w:rPr>
          <w:rFonts w:ascii="Times New Roman" w:hAnsi="Times New Roman" w:cs="Times New Roman" w:eastAsia="Times New Roman" w:hint="default"/>
        </w:rPr>
        <w:t>499.20</w:t>
      </w:r>
      <w:r>
        <w:rPr/>
        <w:t>万元（含税），剩余未分配利润结转以后年度。</w:t>
      </w:r>
    </w:p>
    <w:p>
      <w:pPr>
        <w:pStyle w:val="BodyText"/>
        <w:spacing w:line="240" w:lineRule="auto" w:before="53"/>
        <w:ind w:right="2094"/>
        <w:jc w:val="left"/>
      </w:pPr>
      <w:r>
        <w:rPr/>
        <w:t>公司近三年（包括本报告期）普通股现金分红情况表</w:t>
      </w:r>
    </w:p>
    <w:p>
      <w:pPr>
        <w:pStyle w:val="BodyText"/>
        <w:spacing w:line="240" w:lineRule="auto" w:before="114"/>
        <w:ind w:left="0" w:right="211"/>
        <w:jc w:val="right"/>
      </w:pPr>
      <w:r>
        <w:rPr/>
        <w:t>单位：元</w:t>
      </w:r>
    </w:p>
    <w:p>
      <w:pPr>
        <w:spacing w:after="0" w:line="240" w:lineRule="auto"/>
        <w:jc w:val="right"/>
        <w:sectPr>
          <w:pgSz w:w="11910" w:h="16840"/>
          <w:pgMar w:header="745" w:footer="980" w:top="1060" w:bottom="1160" w:left="980" w:right="920"/>
        </w:sectPr>
      </w:pPr>
    </w:p>
    <w:p>
      <w:pPr>
        <w:spacing w:line="240" w:lineRule="auto" w:before="6"/>
        <w:rPr>
          <w:rFonts w:ascii="宋体" w:hAnsi="宋体" w:cs="宋体" w:eastAsia="宋体" w:hint="default"/>
          <w:sz w:val="28"/>
          <w:szCs w:val="28"/>
        </w:rPr>
      </w:pPr>
      <w:r>
        <w:rPr/>
        <w:pict>
          <v:shape style="position:absolute;margin-left:353.696014pt;margin-top:483.315979pt;width:70.95pt;height:284.9pt;mso-position-horizontal-relative:page;mso-position-vertical-relative:page;z-index:-1026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240" w:lineRule="auto"/>
                    <w:ind w:left="0" w:right="0"/>
                    <w:jc w:val="left"/>
                  </w:pPr>
                  <w:r>
                    <w:rPr/>
                    <w:t>展，</w:t>
                  </w:r>
                </w:p>
              </w:txbxContent>
            </v:textbox>
            <w10:wrap type="none"/>
          </v:shape>
        </w:pict>
      </w:r>
      <w:r>
        <w:rPr/>
        <w:pict>
          <v:group style="position:absolute;margin-left:368.829987pt;margin-top:483.315979pt;width:55.8pt;height:284.9pt;mso-position-horizontal-relative:page;mso-position-vertical-relative:page;z-index:-1026280" coordorigin="7377,9666" coordsize="1116,5698">
            <v:group style="position:absolute;left:7377;top:9666;width:1116;height:5698" coordorigin="7377,9666" coordsize="1116,5698">
              <v:shape style="position:absolute;left:7377;top:9666;width:1116;height:5698" coordorigin="7377,9666" coordsize="1116,5698" path="m7377,15364l8493,15364,8493,9666,7377,9666,7377,15364xe" filled="true" fillcolor="#ffffff" stroked="false">
                <v:path arrowok="t"/>
                <v:fill type="solid"/>
              </v:shape>
            </v:group>
            <v:group style="position:absolute;left:7401;top:12162;width:1071;height:354" coordorigin="7401,12162" coordsize="1071,354">
              <v:shape style="position:absolute;left:7401;top:12162;width:1071;height:354" coordorigin="7401,12162" coordsize="1071,354" path="m7401,12516l8471,12516,8471,12162,7401,12162,7401,12516xe" filled="true" fillcolor="#ffffff" stroked="false">
                <v:path arrowok="t"/>
                <v:fill type="solid"/>
              </v:shape>
            </v:group>
            <v:group style="position:absolute;left:7401;top:12516;width:1071;height:353" coordorigin="7401,12516" coordsize="1071,353">
              <v:shape style="position:absolute;left:7401;top:12516;width:1071;height:353" coordorigin="7401,12516" coordsize="1071,353" path="m7401,12868l8471,12868,8471,12516,7401,12516,7401,12868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1136"/>
        <w:gridCol w:w="1594"/>
        <w:gridCol w:w="1916"/>
        <w:gridCol w:w="1985"/>
        <w:gridCol w:w="1594"/>
        <w:gridCol w:w="1594"/>
      </w:tblGrid>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611"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41" w:right="142"/>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77" w:right="177"/>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43" w:right="15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43" w:right="158"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3,341,341.46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6,501,097.82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51.40%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7,052,089.65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4,992,000.00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32,048,918.72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212" w:right="253"/>
        <w:jc w:val="left"/>
      </w:pPr>
      <w:r>
        <w:rPr/>
        <w:t>公司报告期内盈利且母公司可供普通股股东分配利润为正但未提出普通股现金红利分配预案</w:t>
      </w:r>
    </w:p>
    <w:p>
      <w:pPr>
        <w:pStyle w:val="BodyText"/>
        <w:spacing w:line="240" w:lineRule="auto" w:before="115"/>
        <w:ind w:left="212" w:right="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25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left="212" w:right="106"/>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2"/>
        </w:rPr>
        <w:t> </w:t>
      </w:r>
      <w:r>
        <w:rPr>
          <w:spacing w:val="-62"/>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212" w:right="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276"/>
        <w:gridCol w:w="1123"/>
        <w:gridCol w:w="1129"/>
        <w:gridCol w:w="2710"/>
        <w:gridCol w:w="1126"/>
        <w:gridCol w:w="1121"/>
        <w:gridCol w:w="1106"/>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收购报告书或</w:t>
            </w:r>
          </w:p>
        </w:tc>
        <w:tc>
          <w:tcPr>
            <w:tcW w:w="1123" w:type="dxa"/>
            <w:vMerge w:val="restart"/>
            <w:tcBorders>
              <w:top w:val="single" w:sz="4" w:space="0" w:color="000000"/>
              <w:left w:val="single" w:sz="4" w:space="0" w:color="000000"/>
              <w:right w:val="single" w:sz="4" w:space="0" w:color="000000"/>
            </w:tcBorders>
          </w:tcPr>
          <w:p>
            <w:pPr/>
          </w:p>
        </w:tc>
        <w:tc>
          <w:tcPr>
            <w:tcW w:w="1129" w:type="dxa"/>
            <w:vMerge w:val="restart"/>
            <w:tcBorders>
              <w:top w:val="single" w:sz="4" w:space="0" w:color="000000"/>
              <w:left w:val="single" w:sz="4" w:space="0" w:color="000000"/>
              <w:right w:val="single" w:sz="4" w:space="0" w:color="000000"/>
            </w:tcBorders>
          </w:tcPr>
          <w:p>
            <w:pPr/>
          </w:p>
        </w:tc>
        <w:tc>
          <w:tcPr>
            <w:tcW w:w="2710"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权益变动报告</w:t>
            </w:r>
          </w:p>
        </w:tc>
        <w:tc>
          <w:tcPr>
            <w:tcW w:w="1123"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2710"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1123"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2710"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164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190"/>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18"/>
              <w:jc w:val="left"/>
              <w:rPr>
                <w:rFonts w:ascii="宋体" w:hAnsi="宋体" w:cs="宋体" w:eastAsia="宋体" w:hint="default"/>
                <w:sz w:val="18"/>
                <w:szCs w:val="18"/>
              </w:rPr>
            </w:pPr>
            <w:r>
              <w:rPr>
                <w:rFonts w:ascii="宋体" w:hAnsi="宋体" w:cs="宋体" w:eastAsia="宋体" w:hint="default"/>
                <w:spacing w:val="-4"/>
                <w:sz w:val="18"/>
                <w:szCs w:val="18"/>
              </w:rPr>
              <w:t>公司承诺自《关于终止重大资产重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组事项的公告》发布之日起至少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个月内不再筹划重大资产重组事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司遵守了所 </w:t>
            </w:r>
            <w:r>
              <w:rPr>
                <w:rFonts w:ascii="宋体" w:hAnsi="宋体" w:cs="宋体" w:eastAsia="宋体" w:hint="default"/>
                <w:spacing w:val="-5"/>
                <w:sz w:val="18"/>
                <w:szCs w:val="18"/>
              </w:rPr>
              <w:t>做承诺，该承</w:t>
            </w:r>
            <w:r>
              <w:rPr>
                <w:rFonts w:ascii="宋体" w:hAnsi="宋体" w:cs="宋体" w:eastAsia="宋体" w:hint="default"/>
                <w:sz w:val="18"/>
                <w:szCs w:val="18"/>
              </w:rPr>
              <w:t> 诺已履行完 毕。</w:t>
            </w:r>
          </w:p>
        </w:tc>
      </w:tr>
      <w:tr>
        <w:trPr>
          <w:trHeight w:val="360"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9" w:type="dxa"/>
            <w:tcBorders>
              <w:top w:val="single" w:sz="4" w:space="0" w:color="000000"/>
              <w:left w:val="single" w:sz="4" w:space="0" w:color="000000"/>
              <w:bottom w:val="nil" w:sz="6" w:space="0" w:color="auto"/>
              <w:right w:val="single" w:sz="4" w:space="0" w:color="000000"/>
            </w:tcBorders>
          </w:tcPr>
          <w:p>
            <w:pPr/>
          </w:p>
        </w:tc>
        <w:tc>
          <w:tcPr>
            <w:tcW w:w="2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、其本人（包括其控制的全资、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24"/>
              <w:jc w:val="left"/>
              <w:rPr>
                <w:rFonts w:ascii="宋体" w:hAnsi="宋体" w:cs="宋体" w:eastAsia="宋体" w:hint="default"/>
                <w:sz w:val="18"/>
                <w:szCs w:val="18"/>
              </w:rPr>
            </w:pPr>
            <w:r>
              <w:rPr>
                <w:rFonts w:ascii="宋体" w:hAnsi="宋体" w:cs="宋体" w:eastAsia="宋体" w:hint="default"/>
                <w:sz w:val="18"/>
                <w:szCs w:val="18"/>
              </w:rPr>
              <w:t>控股企业或其他关联企业，下同）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未经营与公司现从事的集成电路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的设计、开发及产业化业务相同或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类似的业务，与公司不构成同业竞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争。而且在公司依法存续期间，承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诺不经营前述业务，以避免与公司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289"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构成同业竞争。</w:t>
            </w:r>
          </w:p>
          <w:p>
            <w:pPr>
              <w:pStyle w:val="TableParagraph"/>
              <w:spacing w:line="309" w:lineRule="auto" w:before="118"/>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、若因承诺人或公司的业务发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而导致其经营的业务与公司的业 </w:t>
            </w:r>
            <w:r>
              <w:rPr>
                <w:rFonts w:ascii="宋体" w:hAnsi="宋体" w:cs="宋体" w:eastAsia="宋体" w:hint="default"/>
                <w:spacing w:val="-4"/>
                <w:sz w:val="18"/>
                <w:szCs w:val="18"/>
              </w:rPr>
              <w:t>务发生重合而可能构成竞争，其同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此承诺期限 为长期有效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pacing w:val="-5"/>
                <w:sz w:val="18"/>
                <w:szCs w:val="18"/>
              </w:rPr>
              <w:t>报告期内，刘</w:t>
            </w:r>
            <w:r>
              <w:rPr>
                <w:rFonts w:ascii="宋体" w:hAnsi="宋体" w:cs="宋体" w:eastAsia="宋体" w:hint="default"/>
                <w:sz w:val="18"/>
                <w:szCs w:val="18"/>
              </w:rPr>
              <w:t> </w:t>
            </w:r>
            <w:r>
              <w:rPr>
                <w:rFonts w:ascii="宋体" w:hAnsi="宋体" w:cs="宋体" w:eastAsia="宋体" w:hint="default"/>
                <w:spacing w:val="-5"/>
                <w:sz w:val="18"/>
                <w:szCs w:val="18"/>
              </w:rPr>
              <w:t>强、李杰均遵</w:t>
            </w:r>
            <w:r>
              <w:rPr>
                <w:rFonts w:ascii="宋体" w:hAnsi="宋体" w:cs="宋体" w:eastAsia="宋体" w:hint="default"/>
                <w:sz w:val="18"/>
                <w:szCs w:val="18"/>
              </w:rPr>
              <w:t> 守了所做的 承诺</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意由公司在同等条件下优先收购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该等业务所涉资产或股权，和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通过合法途径促使其所控制的全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资、控股企业或其他关联企业向公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司转让该等资产或控股权，和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通过其他公平、合理的途径对其经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9" w:type="dxa"/>
            <w:tcBorders>
              <w:top w:val="nil" w:sz="6" w:space="0" w:color="auto"/>
              <w:left w:val="single" w:sz="4" w:space="0" w:color="000000"/>
              <w:bottom w:val="single" w:sz="4" w:space="0" w:color="000000"/>
              <w:right w:val="single" w:sz="4" w:space="0" w:color="000000"/>
            </w:tcBorders>
          </w:tcPr>
          <w:p>
            <w:pPr/>
          </w:p>
        </w:tc>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营的业务进行调整以避免与公司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2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3"/>
        <w:gridCol w:w="1129"/>
        <w:gridCol w:w="2710"/>
        <w:gridCol w:w="1126"/>
        <w:gridCol w:w="1121"/>
        <w:gridCol w:w="1106"/>
      </w:tblGrid>
      <w:tr>
        <w:trPr>
          <w:trHeight w:val="33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9" w:type="dxa"/>
            <w:vMerge w:val="restart"/>
            <w:tcBorders>
              <w:top w:val="single" w:sz="4" w:space="0" w:color="000000"/>
              <w:left w:val="single" w:sz="4" w:space="0" w:color="000000"/>
              <w:right w:val="single" w:sz="4" w:space="0" w:color="000000"/>
            </w:tcBorders>
          </w:tcPr>
          <w:p>
            <w:pPr/>
          </w:p>
        </w:tc>
        <w:tc>
          <w:tcPr>
            <w:tcW w:w="2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的业务构成同业竞争。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38" w:hRule="exact"/>
        </w:trPr>
        <w:tc>
          <w:tcPr>
            <w:tcW w:w="127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、如因其未履行本承诺而给公司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造成损失的，其对因此给公司造成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的损失予以赔偿。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9" w:type="dxa"/>
            <w:tcBorders>
              <w:top w:val="single" w:sz="4" w:space="0" w:color="000000"/>
              <w:left w:val="single" w:sz="4" w:space="0" w:color="000000"/>
              <w:bottom w:val="nil" w:sz="6" w:space="0" w:color="auto"/>
              <w:right w:val="single" w:sz="4" w:space="0" w:color="000000"/>
            </w:tcBorders>
          </w:tcPr>
          <w:p>
            <w:pPr/>
          </w:p>
        </w:tc>
        <w:tc>
          <w:tcPr>
            <w:tcW w:w="2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君正时代成立初期未为非深圳户</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4"/>
                <w:sz w:val="18"/>
                <w:szCs w:val="18"/>
              </w:rPr>
              <w:t>籍员工缴交住房公积金。为此，公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刘强、李杰</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 w:right="190"/>
              <w:jc w:val="both"/>
              <w:rPr>
                <w:rFonts w:ascii="宋体" w:hAnsi="宋体" w:cs="宋体" w:eastAsia="宋体" w:hint="default"/>
                <w:sz w:val="18"/>
                <w:szCs w:val="18"/>
              </w:rPr>
            </w:pPr>
            <w:r>
              <w:rPr>
                <w:rFonts w:ascii="宋体" w:hAnsi="宋体" w:cs="宋体" w:eastAsia="宋体" w:hint="default"/>
                <w:sz w:val="18"/>
                <w:szCs w:val="18"/>
              </w:rPr>
              <w:t>对君正时代 补缴住房公 积金风险的 承诺</w:t>
            </w: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4"/>
                <w:sz w:val="18"/>
                <w:szCs w:val="18"/>
              </w:rPr>
              <w:t>司实际控制人刘强、李杰承诺：如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主管部门要求君正时代为上述员 工补缴住房公积金或因该事项致 </w:t>
            </w:r>
            <w:r>
              <w:rPr>
                <w:rFonts w:ascii="宋体" w:hAnsi="宋体" w:cs="宋体" w:eastAsia="宋体" w:hint="default"/>
                <w:spacing w:val="-4"/>
                <w:sz w:val="18"/>
                <w:szCs w:val="18"/>
              </w:rPr>
              <w:t>使君正时代遭受任何经济损失，刘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强、李杰将承担有关的费用，并及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4" w:lineRule="auto"/>
              <w:ind w:left="23" w:right="5"/>
              <w:jc w:val="left"/>
              <w:rPr>
                <w:rFonts w:ascii="宋体" w:hAnsi="宋体" w:cs="宋体" w:eastAsia="宋体" w:hint="default"/>
                <w:sz w:val="18"/>
                <w:szCs w:val="18"/>
              </w:rPr>
            </w:pPr>
            <w:r>
              <w:rPr>
                <w:rFonts w:ascii="宋体" w:hAnsi="宋体" w:cs="宋体" w:eastAsia="宋体" w:hint="default"/>
                <w:sz w:val="18"/>
                <w:szCs w:val="18"/>
              </w:rPr>
              <w:t>此承诺期限 为长期有效。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5"/>
                <w:sz w:val="18"/>
                <w:szCs w:val="18"/>
              </w:rPr>
              <w:t>报告期内，刘</w:t>
            </w:r>
            <w:r>
              <w:rPr>
                <w:rFonts w:ascii="宋体" w:hAnsi="宋体" w:cs="宋体" w:eastAsia="宋体" w:hint="default"/>
                <w:sz w:val="18"/>
                <w:szCs w:val="18"/>
              </w:rPr>
              <w:t> </w:t>
            </w:r>
            <w:r>
              <w:rPr>
                <w:rFonts w:ascii="宋体" w:hAnsi="宋体" w:cs="宋体" w:eastAsia="宋体" w:hint="default"/>
                <w:spacing w:val="-5"/>
                <w:sz w:val="18"/>
                <w:szCs w:val="18"/>
              </w:rPr>
              <w:t>强、李杰均遵</w:t>
            </w:r>
            <w:r>
              <w:rPr>
                <w:rFonts w:ascii="宋体" w:hAnsi="宋体" w:cs="宋体" w:eastAsia="宋体" w:hint="default"/>
                <w:sz w:val="18"/>
                <w:szCs w:val="18"/>
              </w:rPr>
              <w:t> 守了所做的 承诺。</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时、足额将有关费用支付给君正时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9" w:type="dxa"/>
            <w:tcBorders>
              <w:top w:val="nil" w:sz="6" w:space="0" w:color="auto"/>
              <w:left w:val="single" w:sz="4" w:space="0" w:color="000000"/>
              <w:bottom w:val="single" w:sz="4" w:space="0" w:color="000000"/>
              <w:right w:val="single" w:sz="4" w:space="0" w:color="000000"/>
            </w:tcBorders>
          </w:tcPr>
          <w:p>
            <w:pPr/>
          </w:p>
        </w:tc>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代。</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9" w:type="dxa"/>
            <w:tcBorders>
              <w:top w:val="single" w:sz="4" w:space="0" w:color="000000"/>
              <w:left w:val="single" w:sz="4" w:space="0" w:color="000000"/>
              <w:bottom w:val="nil" w:sz="6" w:space="0" w:color="auto"/>
              <w:right w:val="single" w:sz="4" w:space="0" w:color="000000"/>
            </w:tcBorders>
          </w:tcPr>
          <w:p>
            <w:pPr/>
          </w:p>
        </w:tc>
        <w:tc>
          <w:tcPr>
            <w:tcW w:w="2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在其所承诺限售期满后，每年转让</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的股份不得超过其所持公司股份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；所持公司股份不超过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803"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刘强、李杰、 张紧、冼永 辉、晏晓京、 许志鹏、刘 飞、张敏、张 燕祥</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股的，可一次全部转让，不 </w:t>
            </w:r>
            <w:r>
              <w:rPr>
                <w:rFonts w:ascii="宋体" w:hAnsi="宋体" w:cs="宋体" w:eastAsia="宋体" w:hint="default"/>
                <w:spacing w:val="-4"/>
                <w:sz w:val="18"/>
                <w:szCs w:val="18"/>
              </w:rPr>
              <w:t>受前述转让比例的限制。在其本人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及其关联方担任公司董事、监事、 高级管理人员期间每年转让的股 份不超过其直接和间接持有的公 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 </w:t>
            </w:r>
            <w:r>
              <w:rPr>
                <w:rFonts w:ascii="宋体" w:hAnsi="宋体" w:cs="宋体" w:eastAsia="宋体" w:hint="default"/>
                <w:spacing w:val="-4"/>
                <w:sz w:val="18"/>
                <w:szCs w:val="18"/>
              </w:rPr>
              <w:t>内，不转让其直接和间接持有的公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司股份；离职半年后的十二个月内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通过证券交易所挂牌交易出售公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此承诺期限 为直至所持 股份全部解 锁。</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8"/>
              <w:jc w:val="left"/>
              <w:rPr>
                <w:rFonts w:ascii="宋体" w:hAnsi="宋体" w:cs="宋体" w:eastAsia="宋体" w:hint="default"/>
                <w:sz w:val="18"/>
                <w:szCs w:val="18"/>
              </w:rPr>
            </w:pPr>
            <w:r>
              <w:rPr>
                <w:rFonts w:ascii="宋体" w:hAnsi="宋体" w:cs="宋体" w:eastAsia="宋体" w:hint="default"/>
                <w:spacing w:val="-5"/>
                <w:sz w:val="18"/>
                <w:szCs w:val="18"/>
              </w:rPr>
              <w:t>报告期内，刘</w:t>
            </w:r>
            <w:r>
              <w:rPr>
                <w:rFonts w:ascii="宋体" w:hAnsi="宋体" w:cs="宋体" w:eastAsia="宋体" w:hint="default"/>
                <w:sz w:val="18"/>
                <w:szCs w:val="18"/>
              </w:rPr>
              <w:t> </w:t>
            </w:r>
            <w:r>
              <w:rPr>
                <w:rFonts w:ascii="宋体" w:hAnsi="宋体" w:cs="宋体" w:eastAsia="宋体" w:hint="default"/>
                <w:spacing w:val="-5"/>
                <w:sz w:val="18"/>
                <w:szCs w:val="18"/>
              </w:rPr>
              <w:t>强、李杰、张</w:t>
            </w:r>
            <w:r>
              <w:rPr>
                <w:rFonts w:ascii="宋体" w:hAnsi="宋体" w:cs="宋体" w:eastAsia="宋体" w:hint="default"/>
                <w:sz w:val="18"/>
                <w:szCs w:val="18"/>
              </w:rPr>
              <w:t> 紧、冼永辉、 </w:t>
            </w:r>
            <w:r>
              <w:rPr>
                <w:rFonts w:ascii="宋体" w:hAnsi="宋体" w:cs="宋体" w:eastAsia="宋体" w:hint="default"/>
                <w:spacing w:val="-5"/>
                <w:sz w:val="18"/>
                <w:szCs w:val="18"/>
              </w:rPr>
              <w:t>晏晓京、许志</w:t>
            </w:r>
            <w:r>
              <w:rPr>
                <w:rFonts w:ascii="宋体" w:hAnsi="宋体" w:cs="宋体" w:eastAsia="宋体" w:hint="default"/>
                <w:sz w:val="18"/>
                <w:szCs w:val="18"/>
              </w:rPr>
              <w:t> </w:t>
            </w:r>
            <w:r>
              <w:rPr>
                <w:rFonts w:ascii="宋体" w:hAnsi="宋体" w:cs="宋体" w:eastAsia="宋体" w:hint="default"/>
                <w:spacing w:val="-5"/>
                <w:sz w:val="18"/>
                <w:szCs w:val="18"/>
              </w:rPr>
              <w:t>鹏、刘飞、张</w:t>
            </w:r>
            <w:r>
              <w:rPr>
                <w:rFonts w:ascii="宋体" w:hAnsi="宋体" w:cs="宋体" w:eastAsia="宋体" w:hint="default"/>
                <w:sz w:val="18"/>
                <w:szCs w:val="18"/>
              </w:rPr>
              <w:t> </w:t>
            </w:r>
            <w:r>
              <w:rPr>
                <w:rFonts w:ascii="宋体" w:hAnsi="宋体" w:cs="宋体" w:eastAsia="宋体" w:hint="default"/>
                <w:spacing w:val="-5"/>
                <w:sz w:val="18"/>
                <w:szCs w:val="18"/>
              </w:rPr>
              <w:t>敏、张燕祥均</w:t>
            </w:r>
            <w:r>
              <w:rPr>
                <w:rFonts w:ascii="宋体" w:hAnsi="宋体" w:cs="宋体" w:eastAsia="宋体" w:hint="default"/>
                <w:sz w:val="18"/>
                <w:szCs w:val="18"/>
              </w:rPr>
              <w:t> 遵守了所做 的承诺。</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司股份数量占其直接和间接持有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的公司股份总数的比例不超过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9" w:type="dxa"/>
            <w:tcBorders>
              <w:top w:val="nil" w:sz="6" w:space="0" w:color="auto"/>
              <w:left w:val="single" w:sz="4" w:space="0" w:color="000000"/>
              <w:bottom w:val="single" w:sz="4" w:space="0" w:color="000000"/>
              <w:right w:val="single" w:sz="4" w:space="0" w:color="000000"/>
            </w:tcBorders>
          </w:tcPr>
          <w:p>
            <w:pPr/>
          </w:p>
        </w:tc>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9"/>
              <w:jc w:val="left"/>
              <w:rPr>
                <w:rFonts w:ascii="宋体" w:hAnsi="宋体" w:cs="宋体" w:eastAsia="宋体" w:hint="default"/>
                <w:sz w:val="18"/>
                <w:szCs w:val="18"/>
              </w:rPr>
            </w:pPr>
            <w:r>
              <w:rPr>
                <w:rFonts w:ascii="宋体" w:hAnsi="宋体" w:cs="宋体" w:eastAsia="宋体" w:hint="default"/>
                <w:spacing w:val="-3"/>
                <w:sz w:val="18"/>
                <w:szCs w:val="18"/>
              </w:rPr>
              <w:t>鹿良礼、赵明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漪、姜君</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宋体" w:hAnsi="宋体" w:cs="宋体" w:eastAsia="宋体" w:hint="default"/>
                <w:spacing w:val="-4"/>
                <w:sz w:val="18"/>
                <w:szCs w:val="18"/>
              </w:rPr>
              <w:t>在其所承诺限售期满后，每年转让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的股份不得超过其所持公司股份 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；所持公司股份不超过</w:t>
            </w:r>
            <w:r>
              <w:rPr>
                <w:rFonts w:ascii="宋体" w:hAnsi="宋体" w:cs="宋体" w:eastAsia="宋体" w:hint="default"/>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股的，可一次全部转让，不 受前述转让比例的限制。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此承诺期限 为直至所持 股份全部解 锁。</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报告期内，鹿</w:t>
            </w:r>
            <w:r>
              <w:rPr>
                <w:rFonts w:ascii="宋体" w:hAnsi="宋体" w:cs="宋体" w:eastAsia="宋体" w:hint="default"/>
                <w:sz w:val="18"/>
                <w:szCs w:val="18"/>
              </w:rPr>
              <w:t> 良礼、赵明 </w:t>
            </w:r>
            <w:r>
              <w:rPr>
                <w:rFonts w:ascii="宋体" w:hAnsi="宋体" w:cs="宋体" w:eastAsia="宋体" w:hint="default"/>
                <w:spacing w:val="-5"/>
                <w:sz w:val="18"/>
                <w:szCs w:val="18"/>
              </w:rPr>
              <w:t>漪、姜君均遵</w:t>
            </w:r>
            <w:r>
              <w:rPr>
                <w:rFonts w:ascii="宋体" w:hAnsi="宋体" w:cs="宋体" w:eastAsia="宋体" w:hint="default"/>
                <w:sz w:val="18"/>
                <w:szCs w:val="18"/>
              </w:rPr>
              <w:t> 守了所做的 承诺。</w:t>
            </w:r>
          </w:p>
        </w:tc>
      </w:tr>
      <w:tr>
        <w:trPr>
          <w:trHeight w:val="3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9" w:type="dxa"/>
            <w:tcBorders>
              <w:top w:val="single" w:sz="4" w:space="0" w:color="000000"/>
              <w:left w:val="single" w:sz="4" w:space="0" w:color="000000"/>
              <w:bottom w:val="nil" w:sz="6" w:space="0" w:color="auto"/>
              <w:right w:val="single" w:sz="4" w:space="0" w:color="000000"/>
            </w:tcBorders>
          </w:tcPr>
          <w:p>
            <w:pPr/>
          </w:p>
        </w:tc>
        <w:tc>
          <w:tcPr>
            <w:tcW w:w="2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、公司承诺持股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东或实际控制人及其配偶、直系近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74"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亲属未参与本计划。</w:t>
            </w:r>
          </w:p>
          <w:p>
            <w:pPr>
              <w:pStyle w:val="TableParagraph"/>
              <w:spacing w:line="300" w:lineRule="auto" w:before="115"/>
              <w:ind w:left="24"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、公司承诺不为激励对象依本计 划获取有关股票期权提供贷款以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至本次股权 激励结束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29"/>
              <w:ind w:left="24" w:right="19"/>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司遵守了所 做承诺。</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9" w:type="dxa"/>
            <w:tcBorders>
              <w:top w:val="nil" w:sz="6" w:space="0" w:color="auto"/>
              <w:left w:val="single" w:sz="4" w:space="0" w:color="000000"/>
              <w:bottom w:val="nil" w:sz="6" w:space="0" w:color="auto"/>
              <w:right w:val="single" w:sz="4" w:space="0" w:color="000000"/>
            </w:tcBorders>
          </w:tcPr>
          <w:p>
            <w:pPr/>
          </w:p>
        </w:tc>
        <w:tc>
          <w:tcPr>
            <w:tcW w:w="2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及其他任何形式的财务资助，包括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9" w:type="dxa"/>
            <w:tcBorders>
              <w:top w:val="nil" w:sz="6" w:space="0" w:color="auto"/>
              <w:left w:val="single" w:sz="4" w:space="0" w:color="000000"/>
              <w:bottom w:val="single" w:sz="4" w:space="0" w:color="000000"/>
              <w:right w:val="single" w:sz="4" w:space="0" w:color="000000"/>
            </w:tcBorders>
          </w:tcPr>
          <w:p>
            <w:pPr/>
          </w:p>
        </w:tc>
        <w:tc>
          <w:tcPr>
            <w:tcW w:w="2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为其贷款提供担保。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其他对公司中 小股东所作承</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124"/>
        <w:gridCol w:w="1127"/>
        <w:gridCol w:w="2710"/>
        <w:gridCol w:w="1126"/>
        <w:gridCol w:w="1121"/>
        <w:gridCol w:w="1106"/>
      </w:tblGrid>
      <w:tr>
        <w:trPr>
          <w:trHeight w:val="36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z w:val="18"/>
                <w:szCs w:val="18"/>
              </w:rPr>
              <w:t> 当详细说明未 完成履行的具 体原因及下一 步的工作计划</w:t>
            </w:r>
          </w:p>
        </w:tc>
        <w:tc>
          <w:tcPr>
            <w:tcW w:w="83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83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一、变更原因</w:t>
      </w:r>
    </w:p>
    <w:p>
      <w:pPr>
        <w:pStyle w:val="BodyText"/>
        <w:spacing w:line="300" w:lineRule="auto" w:before="39"/>
        <w:ind w:right="116" w:firstLine="360"/>
        <w:jc w:val="both"/>
      </w:pPr>
      <w:r>
        <w:rPr>
          <w:rFonts w:ascii="Times New Roman" w:hAnsi="Times New Roman" w:cs="Times New Roman" w:eastAsia="Times New Roman" w:hint="default"/>
        </w:rPr>
        <w:t>1</w:t>
      </w:r>
      <w:r>
        <w:rPr/>
        <w:t>、为进一步规范增值税会计处理，财政部</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日发布了财会</w:t>
      </w:r>
      <w:r>
        <w:rPr>
          <w:rFonts w:ascii="Times New Roman" w:hAnsi="Times New Roman" w:cs="Times New Roman" w:eastAsia="Times New Roman" w:hint="default"/>
        </w:rPr>
        <w:t>[2016]22 </w:t>
      </w:r>
      <w:r>
        <w:rPr/>
        <w:t>号《增值税会计处理规定》的通知， </w:t>
      </w:r>
      <w:r>
        <w:rPr>
          <w:spacing w:val="-3"/>
        </w:rPr>
        <w:t>该规定自发布之日起实施，原《营业税改征增值税试点有关企业会计处理规定》（财会〔</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13</w:t>
      </w:r>
      <w:r>
        <w:rPr>
          <w:rFonts w:ascii="Times New Roman" w:hAnsi="Times New Roman" w:cs="Times New Roman" w:eastAsia="Times New Roman" w:hint="default"/>
        </w:rPr>
        <w:t> </w:t>
      </w:r>
      <w:r>
        <w:rPr>
          <w:spacing w:val="-2"/>
        </w:rPr>
        <w:t>号）及《关于小微企业免</w:t>
      </w:r>
      <w:r>
        <w:rPr>
          <w:spacing w:val="-61"/>
        </w:rPr>
        <w:t> </w:t>
      </w:r>
      <w:r>
        <w:rPr>
          <w:spacing w:val="-61"/>
        </w:rPr>
      </w:r>
      <w:r>
        <w:rPr>
          <w:spacing w:val="-4"/>
        </w:rPr>
        <w:t>征增值税和营业税的会计处理规定》（财会〔</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24</w:t>
      </w:r>
      <w:r>
        <w:rPr>
          <w:rFonts w:ascii="Times New Roman" w:hAnsi="Times New Roman" w:cs="Times New Roman" w:eastAsia="Times New Roman" w:hint="default"/>
          <w:spacing w:val="35"/>
        </w:rPr>
        <w:t> </w:t>
      </w:r>
      <w:r>
        <w:rPr>
          <w:spacing w:val="-1"/>
        </w:rPr>
        <w:t>号）等有关增值税会计处理的规定同时废止。根据最新规定的要求，</w:t>
      </w:r>
      <w:r>
        <w:rPr>
          <w:spacing w:val="-82"/>
        </w:rPr>
        <w:t> </w:t>
      </w:r>
      <w:r>
        <w:rPr>
          <w:spacing w:val="-82"/>
        </w:rPr>
      </w:r>
      <w:r>
        <w:rPr/>
        <w:t>公司将</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日起企业经营活动发生的房产税、土地使用税、车船使用税、印花税从“管理费用”项目重分类至“税</w:t>
      </w:r>
    </w:p>
    <w:p>
      <w:pPr>
        <w:pStyle w:val="BodyText"/>
        <w:spacing w:line="240" w:lineRule="auto" w:before="13"/>
        <w:ind w:right="153"/>
        <w:jc w:val="left"/>
      </w:pPr>
      <w:r>
        <w:rPr/>
        <w:t>金及附加”项目，</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日前发生的税费不予调整。</w:t>
      </w:r>
    </w:p>
    <w:p>
      <w:pPr>
        <w:pStyle w:val="BodyText"/>
        <w:spacing w:line="240" w:lineRule="auto" w:before="103"/>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2017</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rPr>
        <w:t>5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日，财政部颁布了财会</w:t>
      </w:r>
      <w:r>
        <w:rPr>
          <w:rFonts w:ascii="Times New Roman" w:hAnsi="Times New Roman" w:cs="Times New Roman" w:eastAsia="Times New Roman" w:hint="default"/>
          <w:spacing w:val="-3"/>
        </w:rPr>
        <w:t>[2017]15</w:t>
      </w:r>
      <w:r>
        <w:rPr>
          <w:rFonts w:ascii="Times New Roman" w:hAnsi="Times New Roman" w:cs="Times New Roman" w:eastAsia="Times New Roman" w:hint="default"/>
          <w:spacing w:val="3"/>
        </w:rPr>
        <w:t> </w:t>
      </w:r>
      <w:r>
        <w:rPr>
          <w:spacing w:val="-4"/>
        </w:rPr>
        <w:t>号关于印发修订《企业会计准则第</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9"/>
        </w:rPr>
        <w:t>号</w:t>
      </w:r>
      <w:r>
        <w:rPr>
          <w:rFonts w:ascii="Times New Roman" w:hAnsi="Times New Roman" w:cs="Times New Roman" w:eastAsia="Times New Roman" w:hint="default"/>
          <w:spacing w:val="-9"/>
        </w:rPr>
        <w:t>—</w:t>
      </w:r>
      <w:r>
        <w:rPr>
          <w:spacing w:val="-9"/>
        </w:rPr>
        <w:t>政府补助》的通知，自</w:t>
      </w:r>
      <w:r>
        <w:rPr>
          <w:spacing w:val="-43"/>
        </w:rPr>
        <w:t> </w:t>
      </w:r>
      <w:r>
        <w:rPr>
          <w:rFonts w:ascii="Times New Roman" w:hAnsi="Times New Roman" w:cs="Times New Roman" w:eastAsia="Times New Roman" w:hint="default"/>
        </w:rPr>
        <w:t>2017</w:t>
      </w:r>
    </w:p>
    <w:p>
      <w:pPr>
        <w:pStyle w:val="BodyText"/>
        <w:spacing w:line="240" w:lineRule="auto" w:before="63"/>
        <w:ind w:right="0"/>
        <w:jc w:val="left"/>
      </w:pP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日起施行，</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日财政部印发的《财政部关于印发〈企业会计准则第</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存货〉等</w:t>
      </w:r>
      <w:r>
        <w:rPr>
          <w:spacing w:val="-49"/>
        </w:rPr>
        <w:t> </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t>项具体准则</w:t>
      </w:r>
    </w:p>
    <w:p>
      <w:pPr>
        <w:pStyle w:val="BodyText"/>
        <w:spacing w:line="240" w:lineRule="auto" w:before="63"/>
        <w:ind w:right="0"/>
        <w:jc w:val="left"/>
        <w:rPr>
          <w:rFonts w:ascii="Times New Roman" w:hAnsi="Times New Roman" w:cs="Times New Roman" w:eastAsia="Times New Roman" w:hint="default"/>
        </w:rPr>
      </w:pPr>
      <w:r>
        <w:rPr/>
        <w:t>的通知</w:t>
      </w:r>
      <w:r>
        <w:rPr>
          <w:spacing w:val="-125"/>
        </w:rPr>
        <w:t>》</w:t>
      </w:r>
      <w:r>
        <w:rPr/>
        <w:t>（财</w:t>
      </w:r>
      <w:r>
        <w:rPr>
          <w:spacing w:val="-34"/>
        </w:rPr>
        <w:t>会</w:t>
      </w:r>
      <w:r>
        <w:rPr/>
        <w:t>〔</w:t>
      </w:r>
      <w:r>
        <w:rPr>
          <w:rFonts w:ascii="Times New Roman" w:hAnsi="Times New Roman" w:cs="Times New Roman" w:eastAsia="Times New Roman" w:hint="default"/>
          <w:spacing w:val="1"/>
        </w:rPr>
        <w:t>2006</w:t>
      </w:r>
      <w:r>
        <w:rPr>
          <w:spacing w:val="-34"/>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spacing w:val="-34"/>
        </w:rPr>
        <w:t>）</w:t>
      </w:r>
      <w:r>
        <w:rPr>
          <w:spacing w:val="-3"/>
        </w:rPr>
        <w:t>中</w:t>
      </w:r>
      <w:r>
        <w:rPr>
          <w:spacing w:val="-34"/>
        </w:rPr>
        <w:t>的</w:t>
      </w:r>
      <w:r>
        <w:rPr/>
        <w:t>《企业会计准则第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
        </w:rPr>
        <w:t>—</w:t>
      </w:r>
      <w:r>
        <w:rPr/>
        <w:t>政府补助</w:t>
      </w:r>
      <w:r>
        <w:rPr>
          <w:spacing w:val="-34"/>
        </w:rPr>
        <w:t>》</w:t>
      </w:r>
      <w:r>
        <w:rPr/>
        <w:t>同时废止</w:t>
      </w:r>
      <w:r>
        <w:rPr>
          <w:spacing w:val="-34"/>
        </w:rPr>
        <w:t>。</w:t>
      </w:r>
      <w:r>
        <w:rPr/>
        <w:t>根据该</w:t>
      </w:r>
      <w:r>
        <w:rPr>
          <w:spacing w:val="2"/>
        </w:rPr>
        <w:t>修</w:t>
      </w:r>
      <w:r>
        <w:rPr/>
        <w:t>订通知的要求</w:t>
      </w:r>
      <w:r>
        <w:rPr>
          <w:spacing w:val="-34"/>
        </w:rPr>
        <w:t>，</w:t>
      </w:r>
      <w:r>
        <w:rPr/>
        <w:t>公司将自</w:t>
      </w:r>
      <w:r>
        <w:rPr>
          <w:spacing w:val="-4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p>
    <w:p>
      <w:pPr>
        <w:pStyle w:val="BodyText"/>
        <w:spacing w:line="240" w:lineRule="auto" w:before="63"/>
        <w:ind w:right="153"/>
        <w:jc w:val="left"/>
      </w:pP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日起收到的与企业</w:t>
      </w:r>
      <w:r>
        <w:rPr>
          <w:spacing w:val="-3"/>
        </w:rPr>
        <w:t>日</w:t>
      </w:r>
      <w:r>
        <w:rPr/>
        <w:t>常活动相关的政府补助从“营业外收入”调整至“其他收益</w:t>
      </w:r>
      <w:r>
        <w:rPr>
          <w:spacing w:val="-89"/>
        </w:rPr>
        <w:t>”</w:t>
      </w:r>
      <w:r>
        <w:rPr/>
        <w:t>。</w:t>
      </w:r>
    </w:p>
    <w:p>
      <w:pPr>
        <w:pStyle w:val="BodyText"/>
        <w:spacing w:line="240" w:lineRule="auto" w:before="103"/>
        <w:ind w:left="513" w:right="153"/>
        <w:jc w:val="left"/>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年度发布</w:t>
      </w:r>
      <w:r>
        <w:rPr>
          <w:spacing w:val="-3"/>
        </w:rPr>
        <w:t>了</w:t>
      </w:r>
      <w:r>
        <w:rPr/>
        <w:t>《企业会计准则第</w:t>
      </w:r>
      <w:r>
        <w:rPr>
          <w:spacing w:val="-44"/>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持</w:t>
      </w:r>
      <w:r>
        <w:rPr/>
        <w:t>有待售的非流动资产、处置组和终止经营</w:t>
      </w:r>
      <w:r>
        <w:rPr>
          <w:spacing w:val="-92"/>
        </w:rPr>
        <w:t>》</w:t>
      </w:r>
      <w:r>
        <w:rPr/>
        <w:t>，自</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p>
    <w:p>
      <w:pPr>
        <w:pStyle w:val="BodyText"/>
        <w:spacing w:line="240" w:lineRule="auto" w:before="62"/>
        <w:ind w:right="153"/>
        <w:jc w:val="left"/>
      </w:pPr>
      <w:r>
        <w:rPr/>
        <w:t>月</w:t>
      </w:r>
      <w:r>
        <w:rPr>
          <w:spacing w:val="-45"/>
        </w:rPr>
        <w:t> </w:t>
      </w:r>
      <w:r>
        <w:rPr>
          <w:rFonts w:ascii="Times New Roman" w:hAnsi="Times New Roman" w:cs="Times New Roman" w:eastAsia="Times New Roman" w:hint="default"/>
        </w:rPr>
        <w:t>28 </w:t>
      </w:r>
      <w:r>
        <w:rPr/>
        <w:t>日起施行，对于施行日存在的持有待售的非流动资产、处置组和终止经营，要求采用未来适用法处理。</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19" w:firstLine="360"/>
        <w:jc w:val="both"/>
      </w:pPr>
      <w:r>
        <w:rPr>
          <w:rFonts w:ascii="Times New Roman" w:hAnsi="Times New Roman" w:cs="Times New Roman" w:eastAsia="Times New Roman" w:hint="default"/>
          <w:spacing w:val="1"/>
        </w:rPr>
        <w:t>4</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月发</w:t>
      </w:r>
      <w:r>
        <w:rPr>
          <w:spacing w:val="-3"/>
        </w:rPr>
        <w:t>布</w:t>
      </w:r>
      <w:r>
        <w:rPr/>
        <w:t>了《关于修订印发一般企业财务报表格式的通知</w:t>
      </w:r>
      <w:r>
        <w:rPr>
          <w:spacing w:val="-92"/>
        </w:rPr>
        <w:t>》</w:t>
      </w:r>
      <w:r>
        <w:rPr/>
        <w:t>（财会</w:t>
      </w:r>
      <w:r>
        <w:rPr>
          <w:spacing w:val="1"/>
        </w:rPr>
        <w:t>〔</w:t>
      </w:r>
      <w:r>
        <w:rPr>
          <w:rFonts w:ascii="Times New Roman" w:hAnsi="Times New Roman" w:cs="Times New Roman" w:eastAsia="Times New Roman" w:hint="default"/>
          <w:spacing w:val="1"/>
        </w:rPr>
        <w:t>2017</w:t>
      </w:r>
      <w:r>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号，在利润表中分 别列示“持续经营净利润”和“终止经营净利润</w:t>
      </w:r>
      <w:r>
        <w:rPr>
          <w:spacing w:val="-92"/>
        </w:rPr>
        <w:t>”</w:t>
      </w:r>
      <w:r>
        <w:rPr/>
        <w:t>，对可比</w:t>
      </w:r>
      <w:r>
        <w:rPr>
          <w:spacing w:val="2"/>
        </w:rPr>
        <w:t>期</w:t>
      </w:r>
      <w:r>
        <w:rPr/>
        <w:t>间的比较数据按照《通知》进行调整。</w:t>
      </w:r>
    </w:p>
    <w:p>
      <w:pPr>
        <w:pStyle w:val="BodyText"/>
        <w:spacing w:line="357" w:lineRule="auto" w:before="72"/>
        <w:ind w:left="513" w:right="6553"/>
        <w:jc w:val="left"/>
      </w:pPr>
      <w:r>
        <w:rPr/>
        <w:t>二、本次会计政策变更对公司的影响 公司执行上述规定的主要影响如下：</w:t>
      </w:r>
    </w:p>
    <w:p>
      <w:pPr>
        <w:pStyle w:val="BodyText"/>
        <w:spacing w:line="240" w:lineRule="auto" w:before="29"/>
        <w:ind w:left="513" w:right="0"/>
        <w:jc w:val="left"/>
      </w:pPr>
      <w:r>
        <w:rPr>
          <w:rFonts w:ascii="Times New Roman" w:hAnsi="Times New Roman" w:cs="Times New Roman" w:eastAsia="Times New Roman" w:hint="default"/>
          <w:spacing w:val="1"/>
        </w:rPr>
        <w:t>1</w:t>
      </w:r>
      <w:r>
        <w:rPr/>
        <w:t>、根据《增值税会计处理规定</w:t>
      </w:r>
      <w:r>
        <w:rPr>
          <w:spacing w:val="-92"/>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号）的要求</w:t>
      </w:r>
      <w:r>
        <w:rPr>
          <w:spacing w:val="-3"/>
        </w:rPr>
        <w:t>，</w:t>
      </w:r>
      <w:r>
        <w:rPr/>
        <w:t>公司将</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月</w:t>
      </w:r>
      <w:r>
        <w:rPr/>
        <w:t>至</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3"/>
        </w:rPr>
        <w:t>发</w:t>
      </w:r>
      <w:r>
        <w:rPr/>
        <w:t>生的房产税</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w:t>
      </w:r>
    </w:p>
    <w:p>
      <w:pPr>
        <w:pStyle w:val="BodyText"/>
        <w:spacing w:line="300" w:lineRule="auto" w:before="63"/>
        <w:ind w:right="167"/>
        <w:jc w:val="both"/>
      </w:pPr>
      <w:r>
        <w:rPr/>
        <w:t>土地使用税</w:t>
      </w:r>
      <w:r>
        <w:rPr>
          <w:spacing w:val="-45"/>
        </w:rPr>
        <w:t> </w:t>
      </w:r>
      <w:r>
        <w:rPr>
          <w:rFonts w:ascii="Times New Roman" w:hAnsi="Times New Roman" w:cs="Times New Roman" w:eastAsia="Times New Roman" w:hint="default"/>
        </w:rPr>
        <w:t>46,760.00</w:t>
      </w:r>
      <w:r>
        <w:rPr>
          <w:rFonts w:ascii="Times New Roman" w:hAnsi="Times New Roman" w:cs="Times New Roman" w:eastAsia="Times New Roman" w:hint="default"/>
          <w:spacing w:val="1"/>
        </w:rPr>
        <w:t> </w:t>
      </w:r>
      <w:r>
        <w:rPr>
          <w:spacing w:val="-10"/>
        </w:rPr>
        <w:t>元、印花税</w:t>
      </w:r>
      <w:r>
        <w:rPr>
          <w:spacing w:val="-46"/>
        </w:rPr>
        <w:t> </w:t>
      </w:r>
      <w:r>
        <w:rPr>
          <w:rFonts w:ascii="Times New Roman" w:hAnsi="Times New Roman" w:cs="Times New Roman" w:eastAsia="Times New Roman" w:hint="default"/>
        </w:rPr>
        <w:t>106,206.86</w:t>
      </w:r>
      <w:r>
        <w:rPr>
          <w:rFonts w:ascii="Times New Roman" w:hAnsi="Times New Roman" w:cs="Times New Roman" w:eastAsia="Times New Roman" w:hint="default"/>
          <w:spacing w:val="2"/>
        </w:rPr>
        <w:t> </w:t>
      </w:r>
      <w:r>
        <w:rPr>
          <w:spacing w:val="-7"/>
        </w:rPr>
        <w:t>元、车船使用税</w:t>
      </w:r>
      <w:r>
        <w:rPr>
          <w:spacing w:val="-48"/>
        </w:rPr>
        <w:t> </w:t>
      </w:r>
      <w:r>
        <w:rPr>
          <w:rFonts w:ascii="Times New Roman" w:hAnsi="Times New Roman" w:cs="Times New Roman" w:eastAsia="Times New Roman" w:hint="default"/>
        </w:rPr>
        <w:t>2,350.00</w:t>
      </w:r>
      <w:r>
        <w:rPr>
          <w:rFonts w:ascii="Times New Roman" w:hAnsi="Times New Roman" w:cs="Times New Roman" w:eastAsia="Times New Roman" w:hint="default"/>
          <w:spacing w:val="1"/>
        </w:rPr>
        <w:t> </w:t>
      </w:r>
      <w:r>
        <w:rPr>
          <w:spacing w:val="-8"/>
        </w:rPr>
        <w:t>元、水利基金</w:t>
      </w:r>
      <w:r>
        <w:rPr>
          <w:spacing w:val="-48"/>
        </w:rPr>
        <w:t> </w:t>
      </w:r>
      <w:r>
        <w:rPr>
          <w:rFonts w:ascii="Times New Roman" w:hAnsi="Times New Roman" w:cs="Times New Roman" w:eastAsia="Times New Roman" w:hint="default"/>
        </w:rPr>
        <w:t>7,766.63</w:t>
      </w:r>
      <w:r>
        <w:rPr>
          <w:rFonts w:ascii="Times New Roman" w:hAnsi="Times New Roman" w:cs="Times New Roman" w:eastAsia="Times New Roman" w:hint="default"/>
          <w:spacing w:val="-1"/>
        </w:rPr>
        <w:t> </w:t>
      </w:r>
      <w:r>
        <w:rPr/>
        <w:t>元和残保金</w:t>
      </w:r>
      <w:r>
        <w:rPr>
          <w:spacing w:val="-45"/>
        </w:rPr>
        <w:t> </w:t>
      </w:r>
      <w:r>
        <w:rPr>
          <w:rFonts w:ascii="Times New Roman" w:hAnsi="Times New Roman" w:cs="Times New Roman" w:eastAsia="Times New Roman" w:hint="default"/>
        </w:rPr>
        <w:t>476,893.51</w:t>
      </w:r>
      <w:r>
        <w:rPr>
          <w:rFonts w:ascii="Times New Roman" w:hAnsi="Times New Roman" w:cs="Times New Roman" w:eastAsia="Times New Roman" w:hint="default"/>
          <w:spacing w:val="1"/>
        </w:rPr>
        <w:t> </w:t>
      </w:r>
      <w:r>
        <w:rPr>
          <w:spacing w:val="-12"/>
        </w:rPr>
        <w:t>元从“管</w:t>
      </w:r>
      <w:r>
        <w:rPr/>
        <w:t> </w:t>
      </w:r>
      <w:r>
        <w:rPr>
          <w:spacing w:val="-5"/>
        </w:rPr>
        <w:t>理费用”调整至“税金及附加”，本次修订仅对财务报表项目列示产生影响，对公司损益、总资产、净资产不产生影响，</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年年度报告中此项数据已按上述规定调整，不涉及追溯调整，不影响当期及前期净利润。</w:t>
      </w:r>
    </w:p>
    <w:p>
      <w:pPr>
        <w:pStyle w:val="BodyText"/>
        <w:spacing w:line="240" w:lineRule="auto" w:before="72"/>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t>、根据《企业会计准则第</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政府补助</w:t>
      </w:r>
      <w:r>
        <w:rPr>
          <w:spacing w:val="-92"/>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号）的规定，公司将</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p>
    <w:p>
      <w:pPr>
        <w:pStyle w:val="BodyText"/>
        <w:spacing w:line="300" w:lineRule="auto" w:before="63"/>
        <w:ind w:right="167"/>
        <w:jc w:val="left"/>
      </w:pPr>
      <w:r>
        <w:rPr/>
        <w:t>日收到的与企业日常活动相关的政府补助</w:t>
      </w:r>
      <w:r>
        <w:rPr>
          <w:spacing w:val="-33"/>
        </w:rPr>
        <w:t> </w:t>
      </w:r>
      <w:r>
        <w:rPr>
          <w:rFonts w:ascii="Times New Roman" w:hAnsi="Times New Roman" w:cs="Times New Roman" w:eastAsia="Times New Roman" w:hint="default"/>
          <w:spacing w:val="-1"/>
        </w:rPr>
        <w:t>13,277,611.63</w:t>
      </w:r>
      <w:r>
        <w:rPr>
          <w:rFonts w:ascii="Times New Roman" w:hAnsi="Times New Roman" w:cs="Times New Roman" w:eastAsia="Times New Roman" w:hint="default"/>
          <w:spacing w:val="13"/>
        </w:rPr>
        <w:t> </w:t>
      </w:r>
      <w:r>
        <w:rPr>
          <w:spacing w:val="-5"/>
        </w:rPr>
        <w:t>元从“营业外收入”调整至“其他收益”，本次修订仅对财务报表项</w:t>
      </w:r>
      <w:r>
        <w:rPr>
          <w:spacing w:val="-87"/>
        </w:rPr>
        <w:t> </w:t>
      </w:r>
      <w:r>
        <w:rPr>
          <w:spacing w:val="-87"/>
        </w:rPr>
      </w:r>
      <w:r>
        <w:rPr/>
        <w:t>目列示产生影响，对公司损益、总资产、净资产不产生影响，不涉及以前年度的追溯调整。</w:t>
      </w:r>
    </w:p>
    <w:p>
      <w:pPr>
        <w:pStyle w:val="BodyText"/>
        <w:spacing w:line="300" w:lineRule="auto" w:before="70"/>
        <w:ind w:right="161" w:firstLine="360"/>
        <w:jc w:val="both"/>
      </w:pPr>
      <w:r>
        <w:rPr>
          <w:rFonts w:ascii="Times New Roman" w:hAnsi="Times New Roman" w:cs="Times New Roman" w:eastAsia="Times New Roman" w:hint="default"/>
        </w:rPr>
        <w:t>3</w:t>
      </w:r>
      <w:r>
        <w:rPr/>
        <w:t>、根据财政部修订公布的《企业会计准则第</w:t>
      </w:r>
      <w:r>
        <w:rPr>
          <w:spacing w:val="-42"/>
        </w:rPr>
        <w:t> </w:t>
      </w:r>
      <w:r>
        <w:rPr>
          <w:rFonts w:ascii="Times New Roman" w:hAnsi="Times New Roman" w:cs="Times New Roman" w:eastAsia="Times New Roman" w:hint="default"/>
        </w:rPr>
        <w:t>42</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持有待售的非流动资产、处置组和终止经营》（财会</w:t>
      </w:r>
      <w:r>
        <w:rPr>
          <w:rFonts w:ascii="Times New Roman" w:hAnsi="Times New Roman" w:cs="Times New Roman" w:eastAsia="Times New Roman" w:hint="default"/>
          <w:spacing w:val="-3"/>
        </w:rPr>
        <w:t>[2017]13</w:t>
      </w:r>
      <w:r>
        <w:rPr>
          <w:rFonts w:ascii="Times New Roman" w:hAnsi="Times New Roman" w:cs="Times New Roman" w:eastAsia="Times New Roman" w:hint="default"/>
          <w:spacing w:val="4"/>
        </w:rPr>
        <w:t> </w:t>
      </w:r>
      <w:r>
        <w:rPr>
          <w:spacing w:val="-31"/>
        </w:rPr>
        <w:t>号），</w:t>
      </w:r>
      <w:r>
        <w:rPr/>
        <w:t> 公司对</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28 </w:t>
      </w:r>
      <w:r>
        <w:rPr/>
        <w:t>日存在的持有待售的非流动资产、处置组和终止经营，采用未来适用法处理。公司</w:t>
      </w:r>
      <w:r>
        <w:rPr>
          <w:spacing w:val="-44"/>
        </w:rPr>
        <w:t> </w:t>
      </w:r>
      <w:r>
        <w:rPr>
          <w:rFonts w:ascii="Times New Roman" w:hAnsi="Times New Roman" w:cs="Times New Roman" w:eastAsia="Times New Roman" w:hint="default"/>
        </w:rPr>
        <w:t>2017 </w:t>
      </w:r>
      <w:r>
        <w:rPr/>
        <w:t>年度不涉及</w:t>
      </w:r>
    </w:p>
    <w:p>
      <w:pPr>
        <w:pStyle w:val="BodyText"/>
        <w:spacing w:line="240" w:lineRule="auto" w:before="13"/>
        <w:ind w:right="0"/>
        <w:jc w:val="both"/>
      </w:pPr>
      <w:r>
        <w:rPr/>
        <w:t>相关业务，故本项会计政策变更对公司</w:t>
      </w:r>
      <w:r>
        <w:rPr>
          <w:spacing w:val="-46"/>
        </w:rPr>
        <w:t> </w:t>
      </w:r>
      <w:r>
        <w:rPr>
          <w:rFonts w:ascii="Times New Roman" w:hAnsi="Times New Roman" w:cs="Times New Roman" w:eastAsia="Times New Roman" w:hint="default"/>
        </w:rPr>
        <w:t>2017 </w:t>
      </w:r>
      <w:r>
        <w:rPr/>
        <w:t>年度财务报表不产生影响。</w:t>
      </w:r>
    </w:p>
    <w:p>
      <w:pPr>
        <w:pStyle w:val="BodyText"/>
        <w:spacing w:line="300" w:lineRule="auto" w:before="103"/>
        <w:ind w:right="180" w:firstLine="360"/>
        <w:jc w:val="both"/>
      </w:pPr>
      <w:r>
        <w:rPr>
          <w:rFonts w:ascii="Times New Roman" w:hAnsi="Times New Roman" w:cs="Times New Roman" w:eastAsia="Times New Roman" w:hint="default"/>
          <w:spacing w:val="-3"/>
        </w:rPr>
        <w:t>4</w:t>
      </w:r>
      <w:r>
        <w:rPr>
          <w:spacing w:val="-3"/>
        </w:rPr>
        <w:t>、根据财政部公布的《关于修订印发一般企业财务报表格式的通知》（财会〔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0"/>
        </w:rPr>
        <w:t> </w:t>
      </w:r>
      <w:r>
        <w:rPr>
          <w:spacing w:val="-1"/>
        </w:rPr>
        <w:t>号的要求，公司在利润表中分</w:t>
      </w:r>
      <w:r>
        <w:rPr/>
        <w:t> </w:t>
      </w:r>
      <w:r>
        <w:rPr>
          <w:spacing w:val="-4"/>
        </w:rPr>
        <w:t>别列示“持续经营净利润”和“终止经营净利润”。</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4"/>
        </w:rPr>
        <w:t> </w:t>
      </w:r>
      <w:r>
        <w:rPr>
          <w:spacing w:val="-1"/>
        </w:rPr>
        <w:t>年度列示在持续经营净利润金额为</w:t>
      </w:r>
      <w:r>
        <w:rPr>
          <w:spacing w:val="-34"/>
        </w:rPr>
        <w:t> </w:t>
      </w:r>
      <w:r>
        <w:rPr>
          <w:rFonts w:ascii="Times New Roman" w:hAnsi="Times New Roman" w:cs="Times New Roman" w:eastAsia="Times New Roman" w:hint="default"/>
          <w:spacing w:val="-1"/>
        </w:rPr>
        <w:t>6,501,097.82</w:t>
      </w:r>
      <w:r>
        <w:rPr>
          <w:rFonts w:ascii="Times New Roman" w:hAnsi="Times New Roman" w:cs="Times New Roman" w:eastAsia="Times New Roman" w:hint="default"/>
          <w:spacing w:val="15"/>
        </w:rPr>
        <w:t> </w:t>
      </w:r>
      <w:r>
        <w:rPr>
          <w:spacing w:val="-1"/>
        </w:rPr>
        <w:t>元，终止经营净利</w:t>
      </w:r>
      <w:r>
        <w:rPr>
          <w:spacing w:val="-86"/>
        </w:rPr>
        <w:t> </w:t>
      </w:r>
      <w:r>
        <w:rPr>
          <w:spacing w:val="-86"/>
        </w:rPr>
      </w:r>
      <w:r>
        <w:rPr/>
        <w:t>润金额为</w:t>
      </w:r>
      <w:r>
        <w:rPr>
          <w:spacing w:val="-46"/>
        </w:rPr>
        <w:t> </w:t>
      </w:r>
      <w:r>
        <w:rPr>
          <w:rFonts w:ascii="Times New Roman" w:hAnsi="Times New Roman" w:cs="Times New Roman" w:eastAsia="Times New Roman" w:hint="default"/>
        </w:rPr>
        <w:t>0.00 </w:t>
      </w:r>
      <w:r>
        <w:rPr/>
        <w:t>元；</w:t>
      </w:r>
      <w:r>
        <w:rPr>
          <w:rFonts w:ascii="Times New Roman" w:hAnsi="Times New Roman" w:cs="Times New Roman" w:eastAsia="Times New Roman" w:hint="default"/>
        </w:rPr>
        <w:t>2016 </w:t>
      </w:r>
      <w:r>
        <w:rPr/>
        <w:t>年度列示在持续经营净利润金额为</w:t>
      </w:r>
      <w:r>
        <w:rPr>
          <w:spacing w:val="-46"/>
        </w:rPr>
        <w:t> </w:t>
      </w:r>
      <w:r>
        <w:rPr>
          <w:rFonts w:ascii="Times New Roman" w:hAnsi="Times New Roman" w:cs="Times New Roman" w:eastAsia="Times New Roman" w:hint="default"/>
        </w:rPr>
        <w:t>7,052,089.65 </w:t>
      </w:r>
      <w:r>
        <w:rPr/>
        <w:t>元，终止经营净利润金额为</w:t>
      </w:r>
      <w:r>
        <w:rPr>
          <w:spacing w:val="-47"/>
        </w:rPr>
        <w:t> </w:t>
      </w:r>
      <w:r>
        <w:rPr>
          <w:rFonts w:ascii="Times New Roman" w:hAnsi="Times New Roman" w:cs="Times New Roman" w:eastAsia="Times New Roman" w:hint="default"/>
        </w:rPr>
        <w:t>0.00 </w:t>
      </w:r>
      <w:r>
        <w:rPr/>
        <w:t>元。</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49"/>
        <w:ind w:right="6553"/>
        <w:jc w:val="left"/>
      </w:pPr>
      <w:r>
        <w:rPr/>
        <w:t>是否改聘会计师事务所</w:t>
      </w:r>
    </w:p>
    <w:p>
      <w:pPr>
        <w:pStyle w:val="BodyText"/>
        <w:spacing w:line="340" w:lineRule="auto" w:before="115"/>
        <w:ind w:right="5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6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6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35" w:firstLine="360"/>
        <w:jc w:val="righ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日，公司召开的第三届董事会第十五次会议和第三届监事会第十次会议审议通过了《关于调整股票期权激</w:t>
      </w:r>
      <w:r>
        <w:rPr/>
        <w:t> </w:t>
      </w:r>
      <w:r>
        <w:rPr>
          <w:spacing w:val="-2"/>
        </w:rPr>
        <w:t>励计划授予数量和授予对象人数并拟注销部分股票期权的议案》、《关于股票期权激励计划首次授予股票期权第一个行权期</w:t>
      </w:r>
      <w:r>
        <w:rPr/>
        <w:t> </w:t>
      </w:r>
      <w:r>
        <w:rPr>
          <w:spacing w:val="-2"/>
        </w:rPr>
        <w:t>可行权的议案》，同意调整公司股票期权激励计划激励对象名单及股票期权数量，并对激励对象中离职人员获授的股票期权</w:t>
      </w:r>
      <w:r>
        <w:rPr/>
        <w:t> </w:t>
      </w:r>
      <w:r>
        <w:rPr>
          <w:spacing w:val="-2"/>
        </w:rPr>
        <w:t>予以注销。同时，鉴于公司股票期权激励计划第一个行权期的行权条件已成就，同意已获授股票期权的</w:t>
      </w:r>
      <w:r>
        <w:rPr>
          <w:rFonts w:ascii="Times New Roman" w:hAnsi="Times New Roman" w:cs="Times New Roman" w:eastAsia="Times New Roman" w:hint="default"/>
          <w:spacing w:val="-2"/>
        </w:rPr>
        <w:t>95</w:t>
      </w:r>
      <w:r>
        <w:rPr>
          <w:spacing w:val="-2"/>
        </w:rPr>
        <w:t>名激励对象在第一</w:t>
      </w:r>
      <w:r>
        <w:rPr/>
        <w:t> </w:t>
      </w:r>
      <w:r>
        <w:rPr>
          <w:spacing w:val="-1"/>
        </w:rPr>
        <w:t>个行权期内可自主行权。具体披露情况详见公司于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25</w:t>
      </w:r>
      <w:r>
        <w:rPr>
          <w:spacing w:val="-1"/>
        </w:rPr>
        <w:t>日在巨潮资讯网（</w:t>
      </w:r>
      <w:hyperlink r:id="rId9">
        <w:r>
          <w:rPr>
            <w:rFonts w:ascii="Times New Roman" w:hAnsi="Times New Roman" w:cs="Times New Roman" w:eastAsia="Times New Roman" w:hint="default"/>
            <w:spacing w:val="-1"/>
          </w:rPr>
          <w:t>www.cninfo.com.cn</w:t>
        </w:r>
      </w:hyperlink>
      <w:r>
        <w:rPr>
          <w:spacing w:val="-1"/>
        </w:rPr>
        <w:t>）上披露的相关公告。</w:t>
      </w:r>
    </w:p>
    <w:p>
      <w:pPr>
        <w:pStyle w:val="BodyText"/>
        <w:spacing w:line="300" w:lineRule="auto" w:before="46"/>
        <w:ind w:right="151" w:firstLine="36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日，本次自主行权事项已获深圳证券交易所审核通过，公司在中国证券登记结算有限责任公司深圳分 </w:t>
      </w:r>
      <w:r>
        <w:rPr>
          <w:spacing w:val="-2"/>
        </w:rPr>
        <w:t>公司完成了自主行权相关登记申报工作。公司股票期权激励计划第一个可行权期实际可行权人数为</w:t>
      </w:r>
      <w:r>
        <w:rPr>
          <w:rFonts w:ascii="Times New Roman" w:hAnsi="Times New Roman" w:cs="Times New Roman" w:eastAsia="Times New Roman" w:hint="default"/>
          <w:spacing w:val="-2"/>
        </w:rPr>
        <w:t>95</w:t>
      </w:r>
      <w:r>
        <w:rPr>
          <w:spacing w:val="-2"/>
        </w:rPr>
        <w:t>名，可行权股票期权共</w:t>
      </w:r>
      <w:r>
        <w:rPr>
          <w:spacing w:val="-62"/>
        </w:rPr>
        <w:t> </w:t>
      </w:r>
      <w:r>
        <w:rPr>
          <w:spacing w:val="-62"/>
        </w:rPr>
      </w:r>
      <w:r>
        <w:rPr/>
        <w:t>计</w:t>
      </w:r>
      <w:r>
        <w:rPr>
          <w:rFonts w:ascii="Times New Roman" w:hAnsi="Times New Roman" w:cs="Times New Roman" w:eastAsia="Times New Roman" w:hint="default"/>
        </w:rPr>
        <w:t>74.40</w:t>
      </w:r>
      <w:r>
        <w:rPr/>
        <w:t>万份，实际行权期限为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日。具体披露情况详见公司于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日在巨潮资讯网</w:t>
      </w:r>
    </w:p>
    <w:p>
      <w:pPr>
        <w:pStyle w:val="BodyText"/>
        <w:spacing w:line="340" w:lineRule="auto" w:before="13"/>
        <w:ind w:left="513" w:right="2528" w:hanging="361"/>
        <w:jc w:val="left"/>
      </w:pPr>
      <w:r>
        <w:rPr/>
        <w:t>（</w:t>
      </w:r>
      <w:hyperlink r:id="rId9">
        <w:r>
          <w:rPr>
            <w:rFonts w:ascii="Times New Roman" w:hAnsi="Times New Roman" w:cs="Times New Roman" w:eastAsia="Times New Roman" w:hint="default"/>
          </w:rPr>
          <w:t>www.cninfo.com.cn</w:t>
        </w:r>
      </w:hyperlink>
      <w:r>
        <w:rPr/>
        <w:t>）上披露的相关公告。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日，公司股票期权激励计划第一个行权期实际行权数量为</w:t>
      </w:r>
      <w:r>
        <w:rPr>
          <w:rFonts w:ascii="Times New Roman" w:hAnsi="Times New Roman" w:cs="Times New Roman" w:eastAsia="Times New Roman" w:hint="default"/>
        </w:rPr>
        <w:t>646,173</w:t>
      </w:r>
      <w:r>
        <w:rPr/>
        <w:t>股。</w:t>
      </w:r>
    </w:p>
    <w:p>
      <w:pPr>
        <w:spacing w:line="240" w:lineRule="auto" w:before="8"/>
        <w:rPr>
          <w:rFonts w:ascii="宋体" w:hAnsi="宋体" w:cs="宋体" w:eastAsia="宋体" w:hint="default"/>
          <w:sz w:val="17"/>
          <w:szCs w:val="17"/>
        </w:rPr>
      </w:pPr>
    </w:p>
    <w:p>
      <w:pPr>
        <w:pStyle w:val="Heading2"/>
        <w:spacing w:line="240" w:lineRule="auto"/>
        <w:ind w:right="15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3"/>
        <w:ind w:right="181"/>
        <w:jc w:val="left"/>
      </w:pPr>
      <w:r>
        <w:rPr/>
        <w:t>本报告期公司对外租赁部分房产，租赁收入总计 </w:t>
      </w:r>
      <w:r>
        <w:rPr>
          <w:rFonts w:ascii="Times New Roman" w:hAnsi="Times New Roman" w:cs="Times New Roman" w:eastAsia="Times New Roman" w:hint="default"/>
        </w:rPr>
        <w:t>1,028.98</w:t>
      </w:r>
      <w:r>
        <w:rPr>
          <w:rFonts w:ascii="Times New Roman" w:hAnsi="Times New Roman" w:cs="Times New Roman" w:eastAsia="Times New Roman" w:hint="default"/>
          <w:spacing w:val="8"/>
        </w:rPr>
        <w:t> </w:t>
      </w:r>
      <w:r>
        <w:rPr/>
        <w:t>万元，其中部分房产租赁方为关联方，定价标准综合考虑付款条 件和租赁年限等因素，根据市场公允价格确定。</w:t>
      </w:r>
    </w:p>
    <w:p>
      <w:pPr>
        <w:pStyle w:val="BodyText"/>
        <w:spacing w:line="240" w:lineRule="auto" w:before="72"/>
        <w:ind w:right="15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1" w:right="70" w:hanging="272"/>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2" w:right="68" w:hanging="181"/>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both"/>
              <w:rPr>
                <w:rFonts w:ascii="宋体" w:hAnsi="宋体" w:cs="宋体" w:eastAsia="宋体" w:hint="default"/>
                <w:sz w:val="18"/>
                <w:szCs w:val="18"/>
              </w:rPr>
            </w:pPr>
            <w:r>
              <w:rPr>
                <w:rFonts w:ascii="宋体" w:hAnsi="宋体" w:cs="宋体" w:eastAsia="宋体" w:hint="default"/>
                <w:sz w:val="18"/>
                <w:szCs w:val="18"/>
              </w:rPr>
              <w:t>北京华如 科技股份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9"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1,661.39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16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553.80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60" w:right="67" w:hanging="92"/>
              <w:jc w:val="left"/>
              <w:rPr>
                <w:rFonts w:ascii="宋体" w:hAnsi="宋体" w:cs="宋体" w:eastAsia="宋体" w:hint="default"/>
                <w:sz w:val="18"/>
                <w:szCs w:val="18"/>
              </w:rPr>
            </w:pPr>
            <w:r>
              <w:rPr>
                <w:rFonts w:ascii="宋体" w:hAnsi="宋体" w:cs="宋体" w:eastAsia="宋体" w:hint="default"/>
                <w:sz w:val="18"/>
                <w:szCs w:val="18"/>
              </w:rPr>
              <w:t>同一实际 控制人</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36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北京华如 科技股份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67" w:hanging="92"/>
              <w:jc w:val="left"/>
              <w:rPr>
                <w:rFonts w:ascii="宋体" w:hAnsi="宋体" w:cs="宋体" w:eastAsia="宋体" w:hint="default"/>
                <w:sz w:val="18"/>
                <w:szCs w:val="18"/>
              </w:rPr>
            </w:pPr>
            <w:r>
              <w:rPr>
                <w:rFonts w:ascii="宋体" w:hAnsi="宋体" w:cs="宋体" w:eastAsia="宋体" w:hint="default"/>
                <w:sz w:val="18"/>
                <w:szCs w:val="18"/>
              </w:rPr>
              <w:t>同一实际 控制人</w:t>
            </w:r>
          </w:p>
        </w:tc>
      </w:tr>
      <w:tr>
        <w:trPr>
          <w:trHeight w:val="133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北京老来 网科技发 展有限公 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北京君正 集成电路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北京智慧 眼科技股 份有限公 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房屋租赁 合同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增加公司 其他业务 收入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1953" w:space="6787"/>
            <w:col w:w="12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57,990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57,198.9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67,198.9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53"/>
        <w:jc w:val="left"/>
      </w:pPr>
      <w:r>
        <w:rPr/>
        <w:t>单项金额重大或安全性较低、流动性较差、不保本的高风险委托理财具体情况</w:t>
      </w:r>
    </w:p>
    <w:p>
      <w:pPr>
        <w:pStyle w:val="BodyText"/>
        <w:spacing w:line="240" w:lineRule="auto" w:before="118"/>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0"/>
        <w:gridCol w:w="590"/>
        <w:gridCol w:w="607"/>
        <w:gridCol w:w="574"/>
        <w:gridCol w:w="562"/>
        <w:gridCol w:w="559"/>
        <w:gridCol w:w="562"/>
        <w:gridCol w:w="562"/>
        <w:gridCol w:w="562"/>
        <w:gridCol w:w="560"/>
        <w:gridCol w:w="562"/>
        <w:gridCol w:w="562"/>
        <w:gridCol w:w="562"/>
        <w:gridCol w:w="547"/>
        <w:gridCol w:w="548"/>
        <w:gridCol w:w="547"/>
        <w:gridCol w:w="538"/>
      </w:tblGrid>
      <w:tr>
        <w:trPr>
          <w:trHeight w:val="2274"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9"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20"/>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5" w:right="93"/>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6"/>
              <w:jc w:val="both"/>
              <w:rPr>
                <w:rFonts w:ascii="宋体" w:hAnsi="宋体" w:cs="宋体" w:eastAsia="宋体" w:hint="default"/>
                <w:sz w:val="18"/>
                <w:szCs w:val="18"/>
              </w:rPr>
            </w:pPr>
            <w:r>
              <w:rPr>
                <w:rFonts w:ascii="宋体" w:hAnsi="宋体" w:cs="宋体" w:eastAsia="宋体" w:hint="default"/>
                <w:sz w:val="18"/>
                <w:szCs w:val="18"/>
              </w:rPr>
              <w:t>（如 有）</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bl>
    <w:p>
      <w:pPr>
        <w:spacing w:after="0" w:line="316"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1,800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2" w:right="0"/>
              <w:jc w:val="lef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90" w:right="0"/>
              <w:jc w:val="center"/>
              <w:rPr>
                <w:rFonts w:ascii="Times New Roman" w:hAnsi="Times New Roman" w:cs="Times New Roman" w:eastAsia="Times New Roman" w:hint="default"/>
                <w:sz w:val="18"/>
                <w:szCs w:val="18"/>
              </w:rPr>
            </w:pPr>
            <w:r>
              <w:rPr>
                <w:rFonts w:ascii="Times New Roman"/>
                <w:sz w:val="18"/>
              </w:rPr>
              <w:t>0.66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5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9.79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9.79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6.94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6.94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7"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1"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易德</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臻投 资管 理中 </w:t>
            </w:r>
            <w:r>
              <w:rPr>
                <w:rFonts w:ascii="宋体" w:hAnsi="宋体" w:cs="宋体" w:eastAsia="宋体" w:hint="default"/>
                <w:spacing w:val="-8"/>
                <w:sz w:val="18"/>
                <w:szCs w:val="18"/>
              </w:rPr>
              <w:t>心（有</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4,000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2" w:right="0"/>
              <w:jc w:val="left"/>
              <w:rPr>
                <w:rFonts w:ascii="Times New Roman" w:hAnsi="Times New Roman" w:cs="Times New Roman" w:eastAsia="Times New Roman" w:hint="default"/>
                <w:sz w:val="18"/>
                <w:szCs w:val="18"/>
              </w:rPr>
            </w:pPr>
            <w:r>
              <w:rPr>
                <w:rFonts w:ascii="Times New Roman"/>
                <w:sz w:val="18"/>
              </w:rPr>
              <w:t>6.80%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68.56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99" w:right="0"/>
              <w:jc w:val="center"/>
              <w:rPr>
                <w:rFonts w:ascii="Times New Roman" w:hAnsi="Times New Roman" w:cs="Times New Roman" w:eastAsia="Times New Roman" w:hint="default"/>
                <w:sz w:val="18"/>
                <w:szCs w:val="18"/>
              </w:rPr>
            </w:pPr>
            <w:r>
              <w:rPr>
                <w:rFonts w:ascii="Times New Roman"/>
                <w:sz w:val="18"/>
              </w:rPr>
              <w:t>68.56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2.95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9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银行 上地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1"/>
              <w:jc w:val="left"/>
              <w:rPr>
                <w:rFonts w:ascii="宋体" w:hAnsi="宋体" w:cs="宋体" w:eastAsia="宋体" w:hint="default"/>
                <w:sz w:val="18"/>
                <w:szCs w:val="18"/>
              </w:rPr>
            </w:pPr>
            <w:r>
              <w:rPr>
                <w:rFonts w:ascii="宋体" w:hAnsi="宋体" w:cs="宋体" w:eastAsia="宋体" w:hint="default"/>
                <w:sz w:val="18"/>
                <w:szCs w:val="18"/>
              </w:rPr>
              <w:t>财（保 本型）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99" w:right="0"/>
              <w:jc w:val="center"/>
              <w:rPr>
                <w:rFonts w:ascii="Times New Roman" w:hAnsi="Times New Roman" w:cs="Times New Roman" w:eastAsia="Times New Roman" w:hint="default"/>
                <w:sz w:val="18"/>
                <w:szCs w:val="18"/>
              </w:rPr>
            </w:pPr>
            <w:r>
              <w:rPr>
                <w:rFonts w:ascii="Times New Roman"/>
                <w:sz w:val="18"/>
              </w:rPr>
              <w:t>22.88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99" w:right="0"/>
              <w:jc w:val="center"/>
              <w:rPr>
                <w:rFonts w:ascii="Times New Roman" w:hAnsi="Times New Roman" w:cs="Times New Roman" w:eastAsia="Times New Roman" w:hint="default"/>
                <w:sz w:val="18"/>
                <w:szCs w:val="18"/>
              </w:rPr>
            </w:pPr>
            <w:r>
              <w:rPr>
                <w:rFonts w:ascii="Times New Roman"/>
                <w:sz w:val="18"/>
              </w:rPr>
              <w:t>22.88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钜赋 资产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8.25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8.25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2.50%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2.74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2.74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7.74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7.74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1.93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1.93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58"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恒天 中岩 投资 管理</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21.43</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21.43</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
        </w:tc>
      </w:tr>
      <w:tr>
        <w:trPr>
          <w:trHeight w:val="252"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36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1,800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2.17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2.17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恒天</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中岩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6,500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4.70%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5.02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5.02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北京 银行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0.96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华夏 银行 天津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19.66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19.66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华夏 银行 天津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8.58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8.58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华夏 银行 天津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14.16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9" w:right="0"/>
              <w:jc w:val="center"/>
              <w:rPr>
                <w:rFonts w:ascii="Times New Roman" w:hAnsi="Times New Roman" w:cs="Times New Roman" w:eastAsia="Times New Roman" w:hint="default"/>
                <w:sz w:val="18"/>
                <w:szCs w:val="18"/>
              </w:rPr>
            </w:pPr>
            <w:r>
              <w:rPr>
                <w:rFonts w:ascii="Times New Roman"/>
                <w:sz w:val="18"/>
              </w:rPr>
              <w:t>14.16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15.89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15.89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恒天 中岩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基金产</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闲置 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320"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74"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收回</w:t>
            </w:r>
          </w:p>
        </w:tc>
        <w:tc>
          <w:tcPr>
            <w:tcW w:w="547"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0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6.30%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32.99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钜洲</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left"/>
              <w:rPr>
                <w:rFonts w:ascii="宋体" w:hAnsi="宋体" w:cs="宋体" w:eastAsia="宋体" w:hint="default"/>
                <w:sz w:val="18"/>
                <w:szCs w:val="18"/>
              </w:rPr>
            </w:pPr>
            <w:r>
              <w:rPr>
                <w:rFonts w:ascii="宋体" w:hAnsi="宋体" w:cs="宋体" w:eastAsia="宋体" w:hint="default"/>
                <w:sz w:val="18"/>
                <w:szCs w:val="18"/>
              </w:rPr>
              <w:t>资产 管理</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（上 </w:t>
            </w:r>
            <w:r>
              <w:rPr>
                <w:rFonts w:ascii="宋体" w:hAnsi="宋体" w:cs="宋体" w:eastAsia="宋体" w:hint="default"/>
                <w:spacing w:val="-8"/>
                <w:sz w:val="18"/>
                <w:szCs w:val="18"/>
              </w:rPr>
              <w:t>海）有</w:t>
            </w:r>
            <w:r>
              <w:rPr>
                <w:rFonts w:ascii="宋体" w:hAnsi="宋体" w:cs="宋体" w:eastAsia="宋体" w:hint="default"/>
                <w:sz w:val="18"/>
                <w:szCs w:val="18"/>
              </w:rPr>
              <w:t> 限公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22.75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13.69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恒天 财富 投资 管理 有限</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基金 公司</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基金产 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2.48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银行 北京 世纪 坛支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3,000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0" w:right="0"/>
              <w:jc w:val="center"/>
              <w:rPr>
                <w:rFonts w:ascii="Times New Roman" w:hAnsi="Times New Roman" w:cs="Times New Roman" w:eastAsia="Times New Roman" w:hint="default"/>
                <w:sz w:val="18"/>
                <w:szCs w:val="18"/>
              </w:rPr>
            </w:pPr>
            <w:r>
              <w:rPr>
                <w:rFonts w:ascii="Times New Roman"/>
                <w:sz w:val="18"/>
              </w:rPr>
              <w:t>4.16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76"/>
              <w:jc w:val="both"/>
              <w:rPr>
                <w:rFonts w:ascii="宋体" w:hAnsi="宋体" w:cs="宋体" w:eastAsia="宋体" w:hint="default"/>
                <w:sz w:val="18"/>
                <w:szCs w:val="18"/>
              </w:rPr>
            </w:pPr>
            <w:r>
              <w:rPr>
                <w:rFonts w:ascii="宋体" w:hAnsi="宋体" w:cs="宋体" w:eastAsia="宋体" w:hint="default"/>
                <w:sz w:val="18"/>
                <w:szCs w:val="18"/>
              </w:rPr>
              <w:t>兴业 银行 北京 世纪</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1.73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坛支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30,600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298.79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298.79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0" w:right="0"/>
              <w:jc w:val="left"/>
              <w:rPr>
                <w:rFonts w:ascii="Times New Roman" w:hAnsi="Times New Roman" w:cs="Times New Roman" w:eastAsia="Times New Roman" w:hint="default"/>
                <w:sz w:val="18"/>
                <w:szCs w:val="18"/>
              </w:rPr>
            </w:pPr>
            <w:r>
              <w:rPr>
                <w:rFonts w:ascii="Times New Roman"/>
                <w:sz w:val="18"/>
              </w:rPr>
              <w:t>115.51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2"/>
                <w:sz w:val="18"/>
              </w:rPr>
              <w:t>115.51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314.33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314.33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29,600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317.71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317.71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40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银行理</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308.12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未到</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320"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vMerge w:val="restart"/>
            <w:tcBorders>
              <w:top w:val="single" w:sz="4" w:space="0" w:color="000000"/>
              <w:left w:val="single" w:sz="4" w:space="0" w:color="000000"/>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财（保</w:t>
            </w:r>
          </w:p>
        </w:tc>
        <w:tc>
          <w:tcPr>
            <w:tcW w:w="574"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47"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
              <w:jc w:val="center"/>
              <w:rPr>
                <w:rFonts w:ascii="宋体" w:hAnsi="宋体" w:cs="宋体" w:eastAsia="宋体" w:hint="default"/>
                <w:sz w:val="18"/>
                <w:szCs w:val="18"/>
              </w:rPr>
            </w:pPr>
            <w:r>
              <w:rPr>
                <w:rFonts w:ascii="宋体" w:hAnsi="宋体" w:cs="宋体" w:eastAsia="宋体" w:hint="default"/>
                <w:sz w:val="18"/>
                <w:szCs w:val="18"/>
              </w:rPr>
              <w:t>本型）</w:t>
            </w: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0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成府</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路支</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华夏 银行 北京 知春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41.46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41.46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1,310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3.05%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10.1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10.1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2,130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16.69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99" w:right="0"/>
              <w:jc w:val="center"/>
              <w:rPr>
                <w:rFonts w:ascii="Times New Roman" w:hAnsi="Times New Roman" w:cs="Times New Roman" w:eastAsia="Times New Roman" w:hint="default"/>
                <w:sz w:val="18"/>
                <w:szCs w:val="18"/>
              </w:rPr>
            </w:pPr>
            <w:r>
              <w:rPr>
                <w:rFonts w:ascii="Times New Roman"/>
                <w:sz w:val="18"/>
              </w:rPr>
              <w:t>16.69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560"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银行 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11,850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94.36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94.36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9"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36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12,100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2"/>
                <w:sz w:val="18"/>
              </w:rPr>
              <w:t>117.98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2"/>
                <w:sz w:val="18"/>
              </w:rPr>
              <w:t>117.98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1,310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6"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2,130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22.61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22.61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2,130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22.61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22.61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71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6"/>
              <w:jc w:val="left"/>
              <w:rPr>
                <w:rFonts w:ascii="宋体" w:hAnsi="宋体" w:cs="宋体" w:eastAsia="宋体" w:hint="default"/>
                <w:sz w:val="18"/>
                <w:szCs w:val="18"/>
              </w:rPr>
            </w:pPr>
            <w:r>
              <w:rPr>
                <w:rFonts w:ascii="宋体" w:hAnsi="宋体" w:cs="宋体" w:eastAsia="宋体" w:hint="default"/>
                <w:sz w:val="18"/>
                <w:szCs w:val="18"/>
              </w:rPr>
              <w:t>厦门 国际</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31"/>
              <w:jc w:val="left"/>
              <w:rPr>
                <w:rFonts w:ascii="宋体" w:hAnsi="宋体" w:cs="宋体" w:eastAsia="宋体" w:hint="default"/>
                <w:sz w:val="18"/>
                <w:szCs w:val="18"/>
              </w:rPr>
            </w:pPr>
            <w:r>
              <w:rPr>
                <w:rFonts w:ascii="宋体" w:hAnsi="宋体" w:cs="宋体" w:eastAsia="宋体" w:hint="default"/>
                <w:sz w:val="18"/>
                <w:szCs w:val="18"/>
              </w:rPr>
              <w:t>银行理 财（保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66"/>
              <w:jc w:val="left"/>
              <w:rPr>
                <w:rFonts w:ascii="宋体" w:hAnsi="宋体" w:cs="宋体" w:eastAsia="宋体" w:hint="default"/>
                <w:sz w:val="18"/>
                <w:szCs w:val="18"/>
              </w:rPr>
            </w:pPr>
            <w:r>
              <w:rPr>
                <w:rFonts w:ascii="宋体" w:hAnsi="宋体" w:cs="宋体" w:eastAsia="宋体" w:hint="default"/>
                <w:sz w:val="18"/>
                <w:szCs w:val="18"/>
              </w:rPr>
              <w:t>闲置 募集</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320"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vMerge w:val="restart"/>
            <w:tcBorders>
              <w:top w:val="single" w:sz="4" w:space="0" w:color="000000"/>
              <w:left w:val="single" w:sz="4" w:space="0" w:color="000000"/>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本型）</w:t>
            </w:r>
          </w:p>
        </w:tc>
        <w:tc>
          <w:tcPr>
            <w:tcW w:w="574"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07"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vMerge/>
            <w:tcBorders>
              <w:left w:val="single" w:sz="4" w:space="0" w:color="000000"/>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pacing w:val="-1"/>
                <w:sz w:val="18"/>
              </w:rPr>
              <w:t>12,400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96.27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96.27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12,498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224.52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9"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12,100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171.42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171.42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16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厦门 国际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31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59"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vMerge/>
            <w:tcBorders>
              <w:left w:val="single" w:sz="4" w:space="0" w:color="000000"/>
              <w:right w:val="single" w:sz="4" w:space="0" w:color="000000"/>
            </w:tcBorders>
          </w:tcPr>
          <w:p>
            <w:pPr/>
          </w:p>
        </w:tc>
        <w:tc>
          <w:tcPr>
            <w:tcW w:w="607"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59"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59"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12,390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56.44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56.44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7"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15,960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132.69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132.69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 北京</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16,300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292.82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未到 期</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12"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7" w:type="dxa"/>
            <w:tcBorders>
              <w:top w:val="nil" w:sz="6" w:space="0" w:color="auto"/>
              <w:left w:val="single" w:sz="4" w:space="0" w:color="000000"/>
              <w:bottom w:val="nil" w:sz="6" w:space="0" w:color="auto"/>
              <w:right w:val="single" w:sz="4" w:space="0" w:color="000000"/>
            </w:tcBorders>
          </w:tcPr>
          <w:p>
            <w:pPr/>
          </w:p>
        </w:tc>
        <w:tc>
          <w:tcPr>
            <w:tcW w:w="574"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8"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38" w:type="dxa"/>
            <w:vMerge/>
            <w:tcBorders>
              <w:left w:val="single" w:sz="4" w:space="0" w:color="000000"/>
              <w:right w:val="single" w:sz="4" w:space="0" w:color="000000"/>
            </w:tcBorders>
          </w:tcPr>
          <w:p>
            <w:pPr/>
          </w:p>
        </w:tc>
      </w:tr>
      <w:tr>
        <w:trPr>
          <w:trHeight w:val="358"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355" w:hRule="exact"/>
        </w:trPr>
        <w:tc>
          <w:tcPr>
            <w:tcW w:w="5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r>
      <w:tr>
        <w:trPr>
          <w:trHeight w:val="1248" w:hRule="exact"/>
        </w:trPr>
        <w:tc>
          <w:tcPr>
            <w:tcW w:w="57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76"/>
              <w:jc w:val="both"/>
              <w:rPr>
                <w:rFonts w:ascii="宋体" w:hAnsi="宋体" w:cs="宋体" w:eastAsia="宋体" w:hint="default"/>
                <w:sz w:val="18"/>
                <w:szCs w:val="18"/>
              </w:rPr>
            </w:pPr>
            <w:r>
              <w:rPr>
                <w:rFonts w:ascii="宋体" w:hAnsi="宋体" w:cs="宋体" w:eastAsia="宋体" w:hint="default"/>
                <w:sz w:val="18"/>
                <w:szCs w:val="18"/>
              </w:rPr>
              <w:t>银行 合肥 长江 中路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4,500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2.80%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62.48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62.48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360" w:hRule="exact"/>
        </w:trPr>
        <w:tc>
          <w:tcPr>
            <w:tcW w:w="5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71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6"/>
              <w:jc w:val="left"/>
              <w:rPr>
                <w:rFonts w:ascii="宋体" w:hAnsi="宋体" w:cs="宋体" w:eastAsia="宋体" w:hint="default"/>
                <w:sz w:val="18"/>
                <w:szCs w:val="18"/>
              </w:rPr>
            </w:pPr>
            <w:r>
              <w:rPr>
                <w:rFonts w:ascii="宋体" w:hAnsi="宋体" w:cs="宋体" w:eastAsia="宋体" w:hint="default"/>
                <w:sz w:val="18"/>
                <w:szCs w:val="18"/>
              </w:rPr>
              <w:t>兴业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31"/>
              <w:jc w:val="left"/>
              <w:rPr>
                <w:rFonts w:ascii="宋体" w:hAnsi="宋体" w:cs="宋体" w:eastAsia="宋体" w:hint="default"/>
                <w:sz w:val="18"/>
                <w:szCs w:val="18"/>
              </w:rPr>
            </w:pPr>
            <w:r>
              <w:rPr>
                <w:rFonts w:ascii="宋体" w:hAnsi="宋体" w:cs="宋体" w:eastAsia="宋体" w:hint="default"/>
                <w:sz w:val="18"/>
                <w:szCs w:val="18"/>
              </w:rPr>
              <w:t>银行理 财（保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66"/>
              <w:jc w:val="left"/>
              <w:rPr>
                <w:rFonts w:ascii="宋体" w:hAnsi="宋体" w:cs="宋体" w:eastAsia="宋体" w:hint="default"/>
                <w:sz w:val="18"/>
                <w:szCs w:val="18"/>
              </w:rPr>
            </w:pPr>
            <w:r>
              <w:rPr>
                <w:rFonts w:ascii="宋体" w:hAnsi="宋体" w:cs="宋体" w:eastAsia="宋体" w:hint="default"/>
                <w:sz w:val="18"/>
                <w:szCs w:val="18"/>
              </w:rPr>
              <w:t>闲置 自有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7"/>
        <w:gridCol w:w="548"/>
        <w:gridCol w:w="547"/>
        <w:gridCol w:w="538"/>
      </w:tblGrid>
      <w:tr>
        <w:trPr>
          <w:trHeight w:val="12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合肥 长江 中路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本型）</w:t>
            </w: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6"/>
              <w:jc w:val="right"/>
              <w:rPr>
                <w:rFonts w:ascii="宋体" w:hAnsi="宋体" w:cs="宋体" w:eastAsia="宋体" w:hint="default"/>
                <w:sz w:val="18"/>
                <w:szCs w:val="18"/>
              </w:rPr>
            </w:pPr>
            <w:r>
              <w:rPr>
                <w:rFonts w:ascii="宋体" w:hAnsi="宋体" w:cs="宋体" w:eastAsia="宋体" w:hint="default"/>
                <w:sz w:val="18"/>
                <w:szCs w:val="18"/>
              </w:rPr>
              <w:t>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 银行 合肥 长江 中路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 银行 合肥 长江 中路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31"/>
              <w:jc w:val="both"/>
              <w:rPr>
                <w:rFonts w:ascii="宋体" w:hAnsi="宋体" w:cs="宋体" w:eastAsia="宋体" w:hint="default"/>
                <w:sz w:val="18"/>
                <w:szCs w:val="18"/>
              </w:rPr>
            </w:pPr>
            <w:r>
              <w:rPr>
                <w:rFonts w:ascii="宋体" w:hAnsi="宋体" w:cs="宋体" w:eastAsia="宋体" w:hint="default"/>
                <w:sz w:val="18"/>
                <w:szCs w:val="18"/>
              </w:rPr>
              <w:t>银行理 财（保 本型）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166"/>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全部 收回</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375,30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8.9</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3,304.</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2,472.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63</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委托理财出现预期无法收回本金或存在其他可能导致减值的情形</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355" w:hRule="exact"/>
        </w:trPr>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1" w:hRule="exact"/>
        </w:trPr>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5" w:right="41"/>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4" w:right="22" w:firstLine="110"/>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7" w:right="41"/>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6" w:right="21" w:firstLine="110"/>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60" w:hRule="exact"/>
        </w:trPr>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70" w:hRule="exact"/>
        </w:trPr>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北京君 正集成 电路股 份有限</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北京华 如科技 股份有 限公司</w:t>
            </w: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val="restart"/>
            <w:tcBorders>
              <w:top w:val="single" w:sz="4" w:space="0" w:color="000000"/>
              <w:left w:val="single" w:sz="4" w:space="0" w:color="000000"/>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 w:right="63"/>
              <w:jc w:val="left"/>
              <w:rPr>
                <w:rFonts w:ascii="宋体" w:hAnsi="宋体" w:cs="宋体" w:eastAsia="宋体" w:hint="default"/>
                <w:sz w:val="18"/>
                <w:szCs w:val="18"/>
              </w:rPr>
            </w:pPr>
            <w:r>
              <w:rPr>
                <w:rFonts w:ascii="宋体" w:hAnsi="宋体" w:cs="宋体" w:eastAsia="宋体" w:hint="default"/>
                <w:sz w:val="18"/>
                <w:szCs w:val="18"/>
              </w:rPr>
              <w:t>市场公 允价值</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同一实 际控制 人</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正在执 行中</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5"/>
              <w:ind w:left="23" w:right="49"/>
              <w:jc w:val="left"/>
              <w:rPr>
                <w:rFonts w:ascii="Times New Roman" w:hAnsi="Times New Roman" w:cs="Times New Roman" w:eastAsia="Times New Roman" w:hint="default"/>
                <w:sz w:val="18"/>
                <w:szCs w:val="18"/>
              </w:rPr>
            </w:pPr>
            <w:r>
              <w:rPr>
                <w:rFonts w:ascii="Times New Roman"/>
                <w:sz w:val="18"/>
              </w:rPr>
              <w:t>.cninfo. com.cn</w:t>
            </w:r>
          </w:p>
        </w:tc>
      </w:tr>
      <w:tr>
        <w:trPr>
          <w:trHeight w:val="252" w:hRule="exact"/>
        </w:trPr>
        <w:tc>
          <w:tcPr>
            <w:tcW w:w="6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pacing w:val="-142"/>
                <w:sz w:val="18"/>
                <w:szCs w:val="18"/>
              </w:rPr>
              <w:t>）</w:t>
            </w:r>
            <w:r>
              <w:rPr>
                <w:rFonts w:ascii="宋体" w:hAnsi="宋体" w:cs="宋体" w:eastAsia="宋体" w:hint="default"/>
                <w:sz w:val="18"/>
                <w:szCs w:val="18"/>
              </w:rPr>
              <w:t>《关联</w:t>
            </w:r>
          </w:p>
        </w:tc>
      </w:tr>
    </w:tbl>
    <w:p>
      <w:pPr>
        <w:spacing w:after="0" w:line="179" w:lineRule="exact"/>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675"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交易公 告》</w:t>
            </w:r>
          </w:p>
        </w:tc>
      </w:tr>
    </w:tbl>
    <w:p>
      <w:pPr>
        <w:spacing w:line="240" w:lineRule="auto" w:before="1"/>
        <w:rPr>
          <w:rFonts w:ascii="宋体" w:hAnsi="宋体" w:cs="宋体" w:eastAsia="宋体" w:hint="default"/>
          <w:sz w:val="18"/>
          <w:szCs w:val="18"/>
        </w:rPr>
      </w:pPr>
    </w:p>
    <w:p>
      <w:pPr>
        <w:pStyle w:val="Heading2"/>
        <w:spacing w:line="240" w:lineRule="auto" w:before="26"/>
        <w:ind w:right="84"/>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7" w:firstLine="360"/>
        <w:jc w:val="both"/>
      </w:pPr>
      <w:r>
        <w:rPr>
          <w:spacing w:val="-2"/>
        </w:rPr>
        <w:t>公司自上市以来，一直积极履行企业社会责任，在努力为股东创造价值的同时，也积极承担对员工、客户、供应商、社</w:t>
      </w:r>
      <w:r>
        <w:rPr/>
        <w:t> 会等其他利益相关者的责任。</w:t>
      </w:r>
    </w:p>
    <w:p>
      <w:pPr>
        <w:pStyle w:val="BodyText"/>
        <w:spacing w:line="319" w:lineRule="auto" w:before="59"/>
        <w:ind w:right="84" w:firstLine="360"/>
        <w:jc w:val="left"/>
      </w:pPr>
      <w:r>
        <w:rPr>
          <w:spacing w:val="-2"/>
        </w:rPr>
        <w:t>公司严格按照《公司法》、《证券法》、《上市公司治理准则》、《深圳证券交易所创业板股票上市规则》、《深圳证</w:t>
      </w:r>
      <w:r>
        <w:rPr/>
        <w:t> </w:t>
      </w:r>
      <w:r>
        <w:rPr>
          <w:spacing w:val="-4"/>
        </w:rPr>
        <w:t>券交易所创业板上市公司规范运作指引》等法律、法规和《公司章程》等公司治理制度的相关要求，高度重视保护股东权益，</w:t>
      </w:r>
      <w:r>
        <w:rPr>
          <w:spacing w:val="-43"/>
        </w:rPr>
        <w:t> </w:t>
      </w:r>
      <w:r>
        <w:rPr>
          <w:spacing w:val="-43"/>
        </w:rPr>
      </w:r>
      <w:r>
        <w:rPr>
          <w:spacing w:val="-2"/>
        </w:rPr>
        <w:t>建立健全公司内部管理和控制制度，不断完善公司治理结构，提高公司治理水平，加强投资者关系维护管理，严格执行信息</w:t>
      </w:r>
      <w:r>
        <w:rPr>
          <w:spacing w:val="-64"/>
        </w:rPr>
        <w:t> </w:t>
      </w:r>
      <w:r>
        <w:rPr>
          <w:spacing w:val="-64"/>
        </w:rPr>
      </w:r>
      <w:r>
        <w:rPr/>
        <w:t>披露制度，认真履行信息披露义务，秉持公平、公正、公开的原则对待全体投资者，维护广大投资者的利益。</w:t>
      </w:r>
    </w:p>
    <w:p>
      <w:pPr>
        <w:pStyle w:val="BodyText"/>
        <w:spacing w:line="316" w:lineRule="auto" w:before="55"/>
        <w:ind w:right="190" w:firstLine="360"/>
        <w:jc w:val="both"/>
      </w:pPr>
      <w:r>
        <w:rPr>
          <w:spacing w:val="-2"/>
        </w:rPr>
        <w:t>公司重视员工的职业发展规划，制定了完善的人力资源管理制度，尊重和维护员工个人权益，通过多种方式为员工提供</w:t>
      </w:r>
      <w:r>
        <w:rPr/>
        <w:t> </w:t>
      </w:r>
      <w:r>
        <w:rPr>
          <w:spacing w:val="-2"/>
        </w:rPr>
        <w:t>平等的发展机会，积极开展各类培训，重视员工的福利保障，努力为员工提供良好的劳动环境，重视人才培养，实现员工与</w:t>
      </w:r>
      <w:r>
        <w:rPr>
          <w:spacing w:val="-66"/>
        </w:rPr>
        <w:t> </w:t>
      </w:r>
      <w:r>
        <w:rPr>
          <w:spacing w:val="-66"/>
        </w:rPr>
      </w:r>
      <w:r>
        <w:rPr/>
        <w:t>企业的共同成长。</w:t>
      </w:r>
    </w:p>
    <w:p>
      <w:pPr>
        <w:pStyle w:val="BodyText"/>
        <w:spacing w:line="360" w:lineRule="auto" w:before="59"/>
        <w:ind w:left="513" w:right="84"/>
        <w:jc w:val="left"/>
      </w:pPr>
      <w:r>
        <w:rPr/>
        <w:t>公司秉承诚信、共赢的原则，注重维护供应商与客户的关系，诚信对待客户和供应商，平等互助，精诚合作。 </w:t>
      </w:r>
      <w:r>
        <w:rPr>
          <w:spacing w:val="-2"/>
        </w:rPr>
        <w:t>公司注重企业经济效益和社会效益的共赢，严格遵守国家法律、法规、各项政策要求，依法经营、依法纳税，发展就业</w:t>
      </w:r>
    </w:p>
    <w:p>
      <w:pPr>
        <w:pStyle w:val="BodyText"/>
        <w:spacing w:line="222" w:lineRule="exact"/>
        <w:ind w:right="84"/>
        <w:jc w:val="left"/>
      </w:pPr>
      <w:r>
        <w:rPr/>
        <w:t>岗位，努力支持地方经济发展。</w:t>
      </w:r>
    </w:p>
    <w:p>
      <w:pPr>
        <w:spacing w:line="240" w:lineRule="auto" w:before="0"/>
        <w:rPr>
          <w:rFonts w:ascii="宋体" w:hAnsi="宋体" w:cs="宋体" w:eastAsia="宋体" w:hint="default"/>
          <w:sz w:val="18"/>
          <w:szCs w:val="18"/>
        </w:rPr>
      </w:pPr>
    </w:p>
    <w:p>
      <w:pPr>
        <w:pStyle w:val="Heading3"/>
        <w:spacing w:line="240" w:lineRule="auto" w:before="118"/>
        <w:ind w:right="8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4"/>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74"/>
        <w:jc w:val="left"/>
      </w:pPr>
      <w:r>
        <w:rPr/>
        <w:t>上市公司及其子公司是否属于环境保护部门公布的重点排污单位 不适用</w:t>
      </w:r>
    </w:p>
    <w:p>
      <w:pPr>
        <w:spacing w:line="240" w:lineRule="auto" w:before="5"/>
        <w:rPr>
          <w:rFonts w:ascii="宋体" w:hAnsi="宋体" w:cs="宋体" w:eastAsia="宋体" w:hint="default"/>
          <w:sz w:val="18"/>
          <w:szCs w:val="18"/>
        </w:rPr>
      </w:pPr>
    </w:p>
    <w:p>
      <w:pPr>
        <w:pStyle w:val="Heading2"/>
        <w:spacing w:line="240" w:lineRule="auto"/>
        <w:ind w:right="8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8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由于国内证券市场环境、政策等客观情况发生了较大变化，报告期内，经公司与重大资产重组标的方北京豪威科技有限</w:t>
      </w:r>
    </w:p>
    <w:p>
      <w:pPr>
        <w:pStyle w:val="BodyText"/>
        <w:spacing w:line="314" w:lineRule="auto" w:before="2"/>
        <w:ind w:right="84"/>
        <w:jc w:val="left"/>
      </w:pPr>
      <w:r>
        <w:rPr>
          <w:spacing w:val="-4"/>
        </w:rPr>
        <w:t>公司、北京视信源科技发展有限公司、北京思比科微电子技术股份有限公司审慎研究，各方一致同意终止公司重大资产重组，</w:t>
      </w:r>
      <w:r>
        <w:rPr>
          <w:spacing w:val="-44"/>
        </w:rPr>
        <w:t> </w:t>
      </w:r>
      <w:r>
        <w:rPr>
          <w:spacing w:val="-44"/>
        </w:rPr>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日召开的第三届董事会第十六次会议和第三届监事会第十一次会议审议通过了《关于终止重大资产重组 </w:t>
      </w:r>
      <w:r>
        <w:rPr>
          <w:spacing w:val="-4"/>
        </w:rPr>
        <w:t>事项的议案》等相关议案。公司重大资产重组尚未取得中国证监会核准，对于终止本次交易，交易双方均无需承担法律责任。</w:t>
      </w:r>
      <w:r>
        <w:rPr>
          <w:spacing w:val="-46"/>
        </w:rPr>
        <w:t> </w:t>
      </w:r>
      <w:r>
        <w:rPr>
          <w:spacing w:val="-46"/>
        </w:rPr>
      </w:r>
      <w:r>
        <w:rPr>
          <w:spacing w:val="-2"/>
        </w:rPr>
        <w:t>本次重大资产重组事项的终止，不会对公司现有生产经营活动造成影响。公司将立足主业，充分发挥公司的技术优势和创新</w:t>
      </w:r>
      <w:r>
        <w:rPr>
          <w:spacing w:val="-62"/>
        </w:rPr>
        <w:t> </w:t>
      </w:r>
      <w:r>
        <w:rPr>
          <w:spacing w:val="-62"/>
        </w:rPr>
      </w:r>
      <w:r>
        <w:rPr>
          <w:spacing w:val="-2"/>
        </w:rPr>
        <w:t>优势，在现有业务规划的基础上，不断寻求新的应用领域，推动公司总体经营的稳定发展。同时，公司将继续围绕产业链寻</w:t>
      </w:r>
      <w:r>
        <w:rPr>
          <w:spacing w:val="-67"/>
        </w:rPr>
        <w:t> </w:t>
      </w:r>
      <w:r>
        <w:rPr>
          <w:spacing w:val="-67"/>
        </w:rPr>
      </w:r>
      <w:r>
        <w:rPr>
          <w:spacing w:val="-4"/>
        </w:rPr>
        <w:t>求产业投资、并购和行业整合的机会，在努力进行内生式发展的基础上，不断寻求外延式发展的机会，推动公司的总体发展。</w:t>
      </w:r>
    </w:p>
    <w:p>
      <w:pPr>
        <w:pStyle w:val="BodyText"/>
        <w:spacing w:line="300" w:lineRule="auto" w:before="61"/>
        <w:ind w:right="192" w:firstLine="360"/>
        <w:jc w:val="both"/>
      </w:pP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日与北京中关村集成电路设计园发展有限责任公司、北京豪威科技有限公司签署的重大投资框架协</w:t>
      </w:r>
      <w:r>
        <w:rPr/>
        <w:t> 议于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日到期，到期后不再协商延长有效期或签署正式购买协议，该协议的终止不会对公司经营带来重大不利影 响。</w:t>
      </w:r>
    </w:p>
    <w:p>
      <w:pPr>
        <w:spacing w:after="0" w:line="300" w:lineRule="auto"/>
        <w:jc w:val="both"/>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3"/>
        <w:gridCol w:w="3190"/>
        <w:gridCol w:w="3188"/>
      </w:tblGrid>
      <w:tr>
        <w:trPr>
          <w:trHeight w:val="428" w:hRule="exact"/>
        </w:trPr>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049"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06"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39"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关于终止重大资产重组事项的相关情况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83"/>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）《关 于终止重大资产重组事项的公告》</w:t>
            </w:r>
          </w:p>
        </w:tc>
      </w:tr>
      <w:tr>
        <w:trPr>
          <w:trHeight w:val="739"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重大投资框架协议到期终止</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83"/>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）《关 于重大投资框架协议到期终止的公告》</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2094"/>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09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0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6"/>
        <w:gridCol w:w="1177"/>
        <w:gridCol w:w="821"/>
        <w:gridCol w:w="823"/>
        <w:gridCol w:w="483"/>
        <w:gridCol w:w="650"/>
        <w:gridCol w:w="821"/>
        <w:gridCol w:w="823"/>
        <w:gridCol w:w="1107"/>
        <w:gridCol w:w="794"/>
      </w:tblGrid>
      <w:tr>
        <w:trPr>
          <w:trHeight w:val="403" w:hRule="exact"/>
        </w:trPr>
        <w:tc>
          <w:tcPr>
            <w:tcW w:w="2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0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6" w:type="dxa"/>
            <w:tcBorders>
              <w:top w:val="nil" w:sz="6" w:space="0" w:color="auto"/>
              <w:left w:val="single" w:sz="4" w:space="0" w:color="000000"/>
              <w:bottom w:val="nil" w:sz="6" w:space="0" w:color="auto"/>
              <w:right w:val="single" w:sz="4" w:space="0" w:color="000000"/>
            </w:tcBorders>
            <w:shd w:val="clear" w:color="auto" w:fill="D2D2D2"/>
          </w:tcPr>
          <w:p>
            <w:pPr/>
          </w:p>
        </w:tc>
        <w:tc>
          <w:tcPr>
            <w:tcW w:w="1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39" w:right="48"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1" w:hRule="exact"/>
        </w:trPr>
        <w:tc>
          <w:tcPr>
            <w:tcW w:w="2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483"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68,069,946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6,975</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-168,646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-161,671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67,908,275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40.65%</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68,069,946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6,975</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-168,646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-161,671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67,908,275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40.65%</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68,069,946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6,975</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-168,646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-161,671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67,908,275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40.65%</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98,330,054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59.09%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639,198</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168,646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807,844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99,137,898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59.35%</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98,330,054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59.09%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639,198</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168,646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807,844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99,137,898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59.35%</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646,173</w:t>
            </w:r>
          </w:p>
        </w:tc>
        <w:tc>
          <w:tcPr>
            <w:tcW w:w="48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646,173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167,046,173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2094"/>
        <w:jc w:val="left"/>
      </w:pPr>
      <w:r>
        <w:rPr/>
        <w:t>股份变动的原因</w:t>
      </w:r>
    </w:p>
    <w:p>
      <w:pPr>
        <w:pStyle w:val="BodyText"/>
        <w:spacing w:line="240" w:lineRule="auto" w:before="115"/>
        <w:ind w:right="2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4"/>
        <w:ind w:left="513" w:right="113"/>
        <w:jc w:val="left"/>
      </w:pPr>
      <w:r>
        <w:rPr>
          <w:rFonts w:ascii="Times New Roman" w:hAnsi="Times New Roman" w:cs="Times New Roman" w:eastAsia="Times New Roman" w:hint="default"/>
        </w:rPr>
        <w:t>1</w:t>
      </w:r>
      <w:r>
        <w:rPr/>
        <w:t>、股份总数的变动原因 </w:t>
      </w:r>
      <w:r>
        <w:rPr>
          <w:spacing w:val="-4"/>
        </w:rPr>
        <w:t>公司股票期权激励计划第一个行权期于报告期内满足行权条件开始行权，截至报告期末，已有部分激励对象进行了行权，</w:t>
      </w:r>
    </w:p>
    <w:p>
      <w:pPr>
        <w:pStyle w:val="BodyText"/>
        <w:spacing w:line="240" w:lineRule="auto" w:before="1"/>
        <w:ind w:right="2094"/>
        <w:jc w:val="left"/>
      </w:pPr>
      <w:r>
        <w:rPr/>
        <w:t>行权数量为</w:t>
      </w:r>
      <w:r>
        <w:rPr>
          <w:rFonts w:ascii="Times New Roman" w:hAnsi="Times New Roman" w:cs="Times New Roman" w:eastAsia="Times New Roman" w:hint="default"/>
        </w:rPr>
        <w:t>646,173</w:t>
      </w:r>
      <w:r>
        <w:rPr/>
        <w:t>股。</w:t>
      </w:r>
    </w:p>
    <w:p>
      <w:pPr>
        <w:pStyle w:val="BodyText"/>
        <w:spacing w:line="240" w:lineRule="auto" w:before="101"/>
        <w:ind w:left="513" w:right="2094"/>
        <w:jc w:val="left"/>
      </w:pPr>
      <w:r>
        <w:rPr>
          <w:rFonts w:ascii="Times New Roman" w:hAnsi="Times New Roman" w:cs="Times New Roman" w:eastAsia="Times New Roman" w:hint="default"/>
        </w:rPr>
        <w:t>2</w:t>
      </w:r>
      <w:r>
        <w:rPr/>
        <w:t>、有限售条件股份的变动原因</w:t>
      </w:r>
    </w:p>
    <w:p>
      <w:pPr>
        <w:pStyle w:val="BodyText"/>
        <w:spacing w:line="300" w:lineRule="auto" w:before="103"/>
        <w:ind w:right="113"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日，中国证券登记结算有限责任公司深圳分公司根据公司董事、监事和高级管理人员等持有有限售条件股份</w:t>
      </w:r>
      <w:r>
        <w:rPr/>
        <w:t> 的人员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日所持公司股份数量的</w:t>
      </w:r>
      <w:r>
        <w:rPr>
          <w:rFonts w:ascii="Times New Roman" w:hAnsi="Times New Roman" w:cs="Times New Roman" w:eastAsia="Times New Roman" w:hint="default"/>
        </w:rPr>
        <w:t>25%</w:t>
      </w:r>
      <w:r>
        <w:rPr/>
        <w:t>重新计算</w:t>
      </w:r>
      <w:r>
        <w:rPr>
          <w:rFonts w:ascii="Times New Roman" w:hAnsi="Times New Roman" w:cs="Times New Roman" w:eastAsia="Times New Roman" w:hint="default"/>
        </w:rPr>
        <w:t>2017</w:t>
      </w:r>
      <w:r>
        <w:rPr/>
        <w:t>年度可转让股份法定额度。</w:t>
      </w:r>
    </w:p>
    <w:p>
      <w:pPr>
        <w:pStyle w:val="BodyText"/>
        <w:spacing w:line="240" w:lineRule="auto" w:before="53"/>
        <w:ind w:right="2094"/>
        <w:jc w:val="left"/>
      </w:pPr>
      <w:r>
        <w:rPr/>
        <w:t>股份变动的批准情况</w:t>
      </w:r>
    </w:p>
    <w:p>
      <w:pPr>
        <w:pStyle w:val="BodyText"/>
        <w:spacing w:line="340" w:lineRule="auto" w:before="114"/>
        <w:ind w:left="513" w:right="1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报告期内，根据《北京君正集成电路股份有限公司股票期权激励计划（草案）》，公司第一个行权期行权条件已满足。</w:t>
      </w:r>
    </w:p>
    <w:p>
      <w:pPr>
        <w:spacing w:after="0" w:line="3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right="84"/>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日召开的第三届董事会第十五次会议和第三届监事会第十次会议，审议通过了《关于股票期权激励计划</w:t>
      </w:r>
      <w:r>
        <w:rPr>
          <w:spacing w:val="-86"/>
        </w:rPr>
        <w:t> </w:t>
      </w:r>
      <w:r>
        <w:rPr>
          <w:spacing w:val="-86"/>
        </w:rPr>
      </w:r>
      <w:r>
        <w:rPr>
          <w:spacing w:val="-1"/>
        </w:rPr>
        <w:t>首次授予股票期权第一个行权期可行权的议案》，本次股票期权激励对象在第一个行权期可自主行权股票期权共</w:t>
      </w:r>
      <w:r>
        <w:rPr>
          <w:rFonts w:ascii="Times New Roman" w:hAnsi="Times New Roman" w:cs="Times New Roman" w:eastAsia="Times New Roman" w:hint="default"/>
          <w:spacing w:val="-1"/>
        </w:rPr>
        <w:t>74.40</w:t>
      </w:r>
      <w:r>
        <w:rPr>
          <w:spacing w:val="-1"/>
        </w:rPr>
        <w:t>万份，</w:t>
      </w:r>
      <w:r>
        <w:rPr>
          <w:spacing w:val="-70"/>
        </w:rPr>
        <w:t> </w:t>
      </w:r>
      <w:r>
        <w:rPr>
          <w:spacing w:val="-70"/>
        </w:rPr>
      </w:r>
      <w:r>
        <w:rPr/>
        <w:t>实际行权期限为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w:t>
      </w:r>
    </w:p>
    <w:p>
      <w:pPr>
        <w:pStyle w:val="BodyText"/>
        <w:spacing w:line="240" w:lineRule="auto" w:before="53"/>
        <w:ind w:right="84"/>
        <w:jc w:val="left"/>
      </w:pPr>
      <w:r>
        <w:rPr/>
        <w:t>股份变动的过户情况</w:t>
      </w:r>
    </w:p>
    <w:p>
      <w:pPr>
        <w:pStyle w:val="BodyText"/>
        <w:spacing w:line="340" w:lineRule="auto" w:before="115"/>
        <w:ind w:left="513" w:right="297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在股票期权激励计划第一个行权期内行权的股份，行权后直接记入股东证券账户。</w:t>
      </w:r>
    </w:p>
    <w:p>
      <w:pPr>
        <w:pStyle w:val="BodyText"/>
        <w:spacing w:line="240" w:lineRule="auto" w:before="41"/>
        <w:ind w:right="84"/>
        <w:jc w:val="left"/>
      </w:pPr>
      <w:r>
        <w:rPr/>
        <w:t>股份变动对最近一年和最近一期基本每股收益和稀释每股收益、归属于公司普通股股东的每股净资产等财务指标的影响</w:t>
      </w:r>
    </w:p>
    <w:p>
      <w:pPr>
        <w:pStyle w:val="BodyText"/>
        <w:spacing w:line="340" w:lineRule="auto" w:before="115"/>
        <w:ind w:left="513" w:right="6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报告期内，公司股票期权激励计划第一个行权期满足行权条件开始行权，有部分激励对象行权，公司股本增加至</w:t>
      </w:r>
    </w:p>
    <w:p>
      <w:pPr>
        <w:pStyle w:val="BodyText"/>
        <w:spacing w:line="300" w:lineRule="auto" w:before="1"/>
        <w:ind w:right="200"/>
        <w:jc w:val="both"/>
      </w:pPr>
      <w:r>
        <w:rPr>
          <w:rFonts w:ascii="Times New Roman" w:hAnsi="Times New Roman" w:cs="Times New Roman" w:eastAsia="Times New Roman" w:hint="default"/>
        </w:rPr>
        <w:t>167,046,173</w:t>
      </w:r>
      <w:r>
        <w:rPr/>
        <w:t>股，按照新股本摊薄计算，</w:t>
      </w:r>
      <w:r>
        <w:rPr>
          <w:rFonts w:ascii="Times New Roman" w:hAnsi="Times New Roman" w:cs="Times New Roman" w:eastAsia="Times New Roman" w:hint="default"/>
        </w:rPr>
        <w:t>2017</w:t>
      </w:r>
      <w:r>
        <w:rPr/>
        <w:t>年度，公司基本每股收益为</w:t>
      </w:r>
      <w:r>
        <w:rPr>
          <w:rFonts w:ascii="Times New Roman" w:hAnsi="Times New Roman" w:cs="Times New Roman" w:eastAsia="Times New Roman" w:hint="default"/>
        </w:rPr>
        <w:t>0.0390</w:t>
      </w:r>
      <w:r>
        <w:rPr/>
        <w:t>元，稀释每股收益为</w:t>
      </w:r>
      <w:r>
        <w:rPr>
          <w:rFonts w:ascii="Times New Roman" w:hAnsi="Times New Roman" w:cs="Times New Roman" w:eastAsia="Times New Roman" w:hint="default"/>
        </w:rPr>
        <w:t>0.0388</w:t>
      </w:r>
      <w:r>
        <w:rPr/>
        <w:t>元，归属于公司普 通股东的每股净资产为</w:t>
      </w:r>
      <w:r>
        <w:rPr>
          <w:rFonts w:ascii="Times New Roman" w:hAnsi="Times New Roman" w:cs="Times New Roman" w:eastAsia="Times New Roman" w:hint="default"/>
        </w:rPr>
        <w:t>6.7336</w:t>
      </w:r>
      <w:r>
        <w:rPr/>
        <w:t>元；</w:t>
      </w:r>
      <w:r>
        <w:rPr>
          <w:rFonts w:ascii="Times New Roman" w:hAnsi="Times New Roman" w:cs="Times New Roman" w:eastAsia="Times New Roman" w:hint="default"/>
        </w:rPr>
        <w:t>2016</w:t>
      </w:r>
      <w:r>
        <w:rPr/>
        <w:t>年度，公司基本每股收益为</w:t>
      </w:r>
      <w:r>
        <w:rPr>
          <w:rFonts w:ascii="Times New Roman" w:hAnsi="Times New Roman" w:cs="Times New Roman" w:eastAsia="Times New Roman" w:hint="default"/>
        </w:rPr>
        <w:t>0.0424</w:t>
      </w:r>
      <w:r>
        <w:rPr/>
        <w:t>元，稀释每股收益为</w:t>
      </w:r>
      <w:r>
        <w:rPr>
          <w:rFonts w:ascii="Times New Roman" w:hAnsi="Times New Roman" w:cs="Times New Roman" w:eastAsia="Times New Roman" w:hint="default"/>
        </w:rPr>
        <w:t>0.0424</w:t>
      </w:r>
      <w:r>
        <w:rPr/>
        <w:t>元，归属于公司普通股 东的每股净资产为</w:t>
      </w:r>
      <w:r>
        <w:rPr>
          <w:rFonts w:ascii="Times New Roman" w:hAnsi="Times New Roman" w:cs="Times New Roman" w:eastAsia="Times New Roman" w:hint="default"/>
        </w:rPr>
        <w:t>6.5961</w:t>
      </w:r>
      <w:r>
        <w:rPr/>
        <w:t>元。</w:t>
      </w:r>
    </w:p>
    <w:p>
      <w:pPr>
        <w:pStyle w:val="BodyText"/>
        <w:spacing w:line="240" w:lineRule="auto" w:before="53"/>
        <w:ind w:right="84"/>
        <w:jc w:val="left"/>
      </w:pPr>
      <w:r>
        <w:rPr/>
        <w:t>公司认为必要或证券监管机构要求披露的其他内容</w:t>
      </w:r>
    </w:p>
    <w:p>
      <w:pPr>
        <w:pStyle w:val="BodyText"/>
        <w:spacing w:line="240" w:lineRule="auto" w:before="115"/>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78"/>
        <w:gridCol w:w="1078"/>
        <w:gridCol w:w="1076"/>
        <w:gridCol w:w="1078"/>
        <w:gridCol w:w="1078"/>
        <w:gridCol w:w="1078"/>
        <w:gridCol w:w="3147"/>
      </w:tblGrid>
      <w:tr>
        <w:trPr>
          <w:trHeight w:val="715"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83"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8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4" w:right="8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83"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26,424,507</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26,424,507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6,819,015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6,819,015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6,810,030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6,810,030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2,180,325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2,180,325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6"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2,026,500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2,250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2,028,750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1,946,925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1,946,925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1,946,250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1,946,250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784,499</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首次解除限售，以后每年按照</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8"/>
        <w:gridCol w:w="1078"/>
        <w:gridCol w:w="1076"/>
        <w:gridCol w:w="1078"/>
        <w:gridCol w:w="1078"/>
        <w:gridCol w:w="1078"/>
        <w:gridCol w:w="3147"/>
      </w:tblGrid>
      <w:tr>
        <w:trPr>
          <w:trHeight w:val="363" w:hRule="exact"/>
        </w:trPr>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日股权激励行权后按照</w:t>
            </w:r>
          </w:p>
          <w:p>
            <w:pPr>
              <w:pStyle w:val="TableParagraph"/>
              <w:spacing w:line="300" w:lineRule="auto" w:before="63"/>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锁定，以后每年按照所持股份总数</w:t>
            </w:r>
            <w:r>
              <w:rPr>
                <w:rFonts w:ascii="宋体" w:hAnsi="宋体" w:cs="宋体" w:eastAsia="宋体" w:hint="default"/>
                <w:w w:val="99"/>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鹿良礼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683,582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170,896</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512,686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赵明漪</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592,313</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首次解除限售，以后每年按照</w:t>
            </w:r>
            <w:r>
              <w:rPr>
                <w:rFonts w:ascii="宋体" w:hAnsi="宋体" w:cs="宋体" w:eastAsia="宋体" w:hint="default"/>
                <w:sz w:val="18"/>
                <w:szCs w:val="18"/>
              </w:rPr>
              <w:t> 所持股份总数的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68,069,946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173,221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67,908,275</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8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84" w:hanging="36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 </w:t>
      </w:r>
      <w:r>
        <w:rPr/>
        <w:t>不适用 </w:t>
      </w:r>
      <w:r>
        <w:rPr>
          <w:spacing w:val="-6"/>
        </w:rPr>
        <w:t>报告期内，根据《北京君正集成电路股份有限公司股票期权激励计划（草案）》，公司第一个行权期行权条件已满足。公</w:t>
      </w:r>
    </w:p>
    <w:p>
      <w:pPr>
        <w:pStyle w:val="BodyText"/>
        <w:spacing w:line="240" w:lineRule="auto" w:before="2"/>
        <w:ind w:right="84"/>
        <w:jc w:val="left"/>
      </w:pPr>
      <w:r>
        <w:rPr/>
        <w:t>司于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日召开的第三届董事会第十五次会议和第三届监事会第十次会议，审议通过了《关于股票期权激励计划</w:t>
      </w:r>
    </w:p>
    <w:p>
      <w:pPr>
        <w:pStyle w:val="BodyText"/>
        <w:spacing w:line="240" w:lineRule="auto" w:before="63"/>
        <w:ind w:right="0"/>
        <w:jc w:val="left"/>
      </w:pPr>
      <w:r>
        <w:rPr/>
        <w:t>首次授予股票期权第一个行权期可行权的议案</w:t>
      </w:r>
      <w:r>
        <w:rPr>
          <w:spacing w:val="-92"/>
        </w:rPr>
        <w:t>》</w:t>
      </w:r>
      <w:r>
        <w:rPr>
          <w:spacing w:val="-36"/>
        </w:rPr>
        <w:t>，</w:t>
      </w:r>
      <w:r>
        <w:rPr/>
        <w:t>本次股票期权激励对象在第一个行权期可自主行权股票期权共</w:t>
      </w:r>
      <w:r>
        <w:rPr>
          <w:spacing w:val="-43"/>
        </w:rPr>
        <w:t> </w:t>
      </w:r>
      <w:r>
        <w:rPr>
          <w:rFonts w:ascii="Times New Roman" w:hAnsi="Times New Roman" w:cs="Times New Roman" w:eastAsia="Times New Roman" w:hint="default"/>
          <w:spacing w:val="1"/>
        </w:rPr>
        <w:t>74</w:t>
      </w:r>
      <w:r>
        <w:rPr>
          <w:rFonts w:ascii="Times New Roman" w:hAnsi="Times New Roman" w:cs="Times New Roman" w:eastAsia="Times New Roman" w:hint="default"/>
          <w:spacing w:val="-2"/>
        </w:rPr>
        <w:t>.4</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万</w:t>
      </w:r>
      <w:r>
        <w:rPr/>
        <w:t>份，</w:t>
      </w:r>
    </w:p>
    <w:p>
      <w:pPr>
        <w:pStyle w:val="BodyText"/>
        <w:spacing w:line="240" w:lineRule="auto" w:before="63"/>
        <w:ind w:right="84"/>
        <w:jc w:val="left"/>
      </w:pPr>
      <w:r>
        <w:rPr/>
        <w:t>实际行权期限为</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日。在股票期权激励计划第一个行权期内行权的股份，行权后直接记入</w:t>
      </w:r>
    </w:p>
    <w:p>
      <w:pPr>
        <w:pStyle w:val="BodyText"/>
        <w:spacing w:line="240" w:lineRule="auto" w:before="63"/>
        <w:ind w:right="84"/>
        <w:jc w:val="left"/>
      </w:pPr>
      <w:r>
        <w:rPr/>
        <w:t>股东证券账户。截至本报告披露日，公司股票期权激励计划第一个可行权期实际行权数量为</w:t>
      </w:r>
      <w:r>
        <w:rPr>
          <w:spacing w:val="-48"/>
        </w:rPr>
        <w:t> </w:t>
      </w:r>
      <w:r>
        <w:rPr>
          <w:rFonts w:ascii="Times New Roman" w:hAnsi="Times New Roman" w:cs="Times New Roman" w:eastAsia="Times New Roman" w:hint="default"/>
        </w:rPr>
        <w:t>667,073</w:t>
      </w:r>
      <w:r>
        <w:rPr>
          <w:rFonts w:ascii="Times New Roman" w:hAnsi="Times New Roman" w:cs="Times New Roman" w:eastAsia="Times New Roman" w:hint="default"/>
          <w:spacing w:val="-2"/>
        </w:rPr>
        <w:t> </w:t>
      </w:r>
      <w:r>
        <w:rPr/>
        <w:t>股，公司股本增加至</w:t>
      </w:r>
    </w:p>
    <w:p>
      <w:pPr>
        <w:pStyle w:val="BodyText"/>
        <w:spacing w:line="240" w:lineRule="auto" w:before="63"/>
        <w:ind w:right="84"/>
        <w:jc w:val="left"/>
      </w:pPr>
      <w:r>
        <w:rPr>
          <w:rFonts w:ascii="Times New Roman" w:hAnsi="Times New Roman" w:cs="Times New Roman" w:eastAsia="Times New Roman" w:hint="default"/>
        </w:rPr>
        <w:t>167,067,073 </w:t>
      </w:r>
      <w:r>
        <w:rPr/>
        <w:t>股。</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91"/>
        <w:jc w:val="right"/>
      </w:pPr>
      <w:r>
        <w:rPr/>
        <w:pict>
          <v:shape style="position:absolute;margin-left:460.266998pt;margin-top:17.711725pt;width:78.3pt;height:82pt;mso-position-horizontal-relative:page;mso-position-vertical-relative:paragraph;z-index:-1026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93.420013pt;margin-top:17.711725pt;width:45.15pt;height:82pt;mso-position-horizontal-relative:page;mso-position-vertical-relative:paragraph;z-index:-1026232" coordorigin="9868,354" coordsize="903,1640">
            <v:group style="position:absolute;left:9868;top:354;width:903;height:1640" coordorigin="9868,354" coordsize="903,1640">
              <v:shape style="position:absolute;left:9868;top:354;width:903;height:1640" coordorigin="9868,354" coordsize="903,1640" path="m9868,1993l10771,1993,10771,354,9868,354,9868,1993xe" filled="true" fillcolor="#ffffff" stroked="false">
                <v:path arrowok="t"/>
                <v:fill type="solid"/>
              </v:shape>
            </v:group>
            <v:group style="position:absolute;left:9890;top:978;width:857;height:392" coordorigin="9890,978" coordsize="857,392">
              <v:shape style="position:absolute;left:9890;top:978;width:857;height:392" coordorigin="9890,978" coordsize="857,392" path="m9890,1369l10747,1369,10747,978,9890,978,9890,1369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134"/>
        <w:gridCol w:w="662"/>
        <w:gridCol w:w="749"/>
        <w:gridCol w:w="750"/>
        <w:gridCol w:w="906"/>
        <w:gridCol w:w="334"/>
        <w:gridCol w:w="518"/>
        <w:gridCol w:w="893"/>
        <w:gridCol w:w="806"/>
        <w:gridCol w:w="312"/>
        <w:gridCol w:w="1328"/>
        <w:gridCol w:w="912"/>
      </w:tblGrid>
      <w:tr>
        <w:trPr>
          <w:trHeight w:val="1654"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26,061</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4" w:right="0"/>
              <w:jc w:val="left"/>
              <w:rPr>
                <w:rFonts w:ascii="Times New Roman" w:hAnsi="Times New Roman" w:cs="Times New Roman" w:eastAsia="Times New Roman" w:hint="default"/>
                <w:sz w:val="18"/>
                <w:szCs w:val="18"/>
              </w:rPr>
            </w:pPr>
            <w:r>
              <w:rPr>
                <w:rFonts w:ascii="Times New Roman"/>
                <w:sz w:val="18"/>
              </w:rPr>
              <w:t>24,848</w:t>
            </w:r>
          </w:p>
        </w:tc>
        <w:tc>
          <w:tcPr>
            <w:tcW w:w="1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4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6"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8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0"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0" w:right="0"/>
              <w:jc w:val="left"/>
              <w:rPr>
                <w:rFonts w:ascii="宋体" w:hAnsi="宋体" w:cs="宋体" w:eastAsia="宋体" w:hint="default"/>
                <w:sz w:val="18"/>
                <w:szCs w:val="18"/>
              </w:rPr>
            </w:pPr>
            <w:r>
              <w:rPr>
                <w:rFonts w:ascii="宋体" w:hAnsi="宋体" w:cs="宋体" w:eastAsia="宋体" w:hint="default"/>
                <w:sz w:val="18"/>
                <w:szCs w:val="18"/>
              </w:rPr>
              <w:t>持有有限</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5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869"/>
        <w:gridCol w:w="852"/>
        <w:gridCol w:w="850"/>
        <w:gridCol w:w="850"/>
        <w:gridCol w:w="1136"/>
        <w:gridCol w:w="214"/>
        <w:gridCol w:w="1202"/>
      </w:tblGrid>
      <w:tr>
        <w:trPr>
          <w:trHeight w:val="675"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0" w:right="60"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0" w:right="59"/>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9" w:right="59"/>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33,735,077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-1,497,600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7,310,570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4,310,000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22,560,000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18,890,000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9,092,020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2,273,005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9,080,040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6,810,030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2,270,010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2,884,700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2,180,325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220,000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1,946,925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648,975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李秀英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1,913,300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1,913,300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59"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59" w:type="dxa"/>
            <w:gridSpan w:val="8"/>
            <w:vMerge w:val="restart"/>
            <w:tcBorders>
              <w:top w:val="single" w:sz="4" w:space="0" w:color="000000"/>
              <w:left w:val="single" w:sz="4" w:space="0" w:color="000000"/>
              <w:right w:val="single" w:sz="4" w:space="0" w:color="000000"/>
            </w:tcBorders>
          </w:tcPr>
          <w:p>
            <w:pPr>
              <w:pStyle w:val="TableParagraph"/>
              <w:spacing w:line="319"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公司股东刘强先生和李杰先生为一致行动人；刘强先生和刘飞先生为兄弟关系；除此 之外，公司未知其他股东是否存在关联关系或属于《上市公司股东持股变动信息披露 管理办法》规定的一致行动人。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59" w:type="dxa"/>
            <w:gridSpan w:val="8"/>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59" w:type="dxa"/>
            <w:gridSpan w:val="8"/>
            <w:vMerge/>
            <w:tcBorders>
              <w:left w:val="single" w:sz="4" w:space="0" w:color="000000"/>
              <w:bottom w:val="single" w:sz="4" w:space="0" w:color="000000"/>
              <w:right w:val="single" w:sz="4" w:space="0" w:color="000000"/>
            </w:tcBorders>
          </w:tcPr>
          <w:p>
            <w:pPr/>
          </w:p>
        </w:tc>
      </w:tr>
      <w:tr>
        <w:trPr>
          <w:trHeight w:val="401" w:hRule="exact"/>
        </w:trPr>
        <w:tc>
          <w:tcPr>
            <w:tcW w:w="964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0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5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0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5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4208"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0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7,310,570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7,310,570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5,640,000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2,884,700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2,273,005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2,273,005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2,270,010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2,270,010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李秀英</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1,913,300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刘小东</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1,334,100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孙加明</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936,900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791,100</w:t>
            </w:r>
          </w:p>
        </w:tc>
      </w:tr>
      <w:tr>
        <w:trPr>
          <w:trHeight w:val="401" w:hRule="exact"/>
        </w:trPr>
        <w:tc>
          <w:tcPr>
            <w:tcW w:w="2881" w:type="dxa"/>
            <w:gridSpan w:val="2"/>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42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696,775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696,775</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759"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公司股东刘强先生和李杰先生为一致行动人；刘强先生和刘飞先生为兄弟关系；除此 之外，公司未知其他股东是否存在关联关系或属于《上市公司股东持股变动信息披露 管理办法》规定的一致行动人。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759"/>
      </w:tblGrid>
      <w:tr>
        <w:trPr>
          <w:trHeight w:val="36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75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公司股东李秀英除通过普通证券账户持有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538,100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股外，还通过招商证券股份有限公</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1,913,300 </w:t>
            </w:r>
            <w:r>
              <w:rPr>
                <w:rFonts w:ascii="宋体" w:hAnsi="宋体" w:cs="宋体" w:eastAsia="宋体" w:hint="default"/>
                <w:sz w:val="18"/>
                <w:szCs w:val="18"/>
              </w:rPr>
              <w:t>股；公司股</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p>
        </w:tc>
        <w:tc>
          <w:tcPr>
            <w:tcW w:w="6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东刘小东除通过普通证券账户持有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股外，还通过国都证券股份有限公司客户信</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1,321,100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1,334,100 </w:t>
            </w:r>
            <w:r>
              <w:rPr>
                <w:rFonts w:ascii="宋体" w:hAnsi="宋体" w:cs="宋体" w:eastAsia="宋体" w:hint="default"/>
                <w:sz w:val="18"/>
                <w:szCs w:val="18"/>
              </w:rPr>
              <w:t>股；公司股东龙在平</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7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除通过普通证券账户持有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股外，还通过华泰证券股份有限公司客户信用交易担</w:t>
            </w:r>
          </w:p>
        </w:tc>
      </w:tr>
      <w:tr>
        <w:trPr>
          <w:trHeight w:val="353"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刘强任公司董事长、总经理；李杰任公司董事、北京庚顿数据科技有限公司董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事、北京华如科技股份有限公司董事长。</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53"/>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刘强任公司董事长、总经理；李杰任公司董事、北京庚顿数据科技有限公司董 事、北京华如科技股份有限公司董事长。</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53"/>
        <w:jc w:val="left"/>
      </w:pPr>
      <w:r>
        <w:rPr/>
        <w:t>实际控制人报告期内变更</w:t>
      </w:r>
    </w:p>
    <w:p>
      <w:pPr>
        <w:pStyle w:val="BodyText"/>
        <w:spacing w:line="340" w:lineRule="auto" w:before="115"/>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after="0" w:line="3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2535" w:lineRule="exact"/>
        <w:ind w:left="1355"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4589968" cy="16097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589968" cy="160972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1"/>
        <w:rPr>
          <w:rFonts w:ascii="宋体" w:hAnsi="宋体" w:cs="宋体" w:eastAsia="宋体" w:hint="default"/>
          <w:sz w:val="23"/>
          <w:szCs w:val="23"/>
        </w:rPr>
      </w:pPr>
    </w:p>
    <w:p>
      <w:pPr>
        <w:pStyle w:val="BodyText"/>
        <w:spacing w:line="240" w:lineRule="auto" w:before="44"/>
        <w:ind w:right="153"/>
        <w:jc w:val="left"/>
      </w:pPr>
      <w:r>
        <w:rPr/>
        <w:t>实际控制人通过信托或其他资产管理方式控制公司</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pict>
          <v:shape style="position:absolute;margin-left:465.192993pt;margin-top:32.975597pt;width:74.1pt;height:50.9pt;mso-position-horizontal-relative:page;mso-position-vertical-relative:paragraph;z-index:-102620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799"/>
        <w:gridCol w:w="797"/>
        <w:gridCol w:w="531"/>
        <w:gridCol w:w="569"/>
        <w:gridCol w:w="991"/>
        <w:gridCol w:w="850"/>
        <w:gridCol w:w="994"/>
        <w:gridCol w:w="797"/>
        <w:gridCol w:w="799"/>
        <w:gridCol w:w="814"/>
        <w:gridCol w:w="1008"/>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9" w:firstLine="1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35,232,677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1,497,600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33,735,077</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22,560,000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41"/>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9,092,020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9,092,020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9,080,040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9,080,040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梁云凤</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2,907,100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2,877,100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2,705,000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2,595,900</w:t>
            </w:r>
          </w:p>
        </w:tc>
      </w:tr>
      <w:tr>
        <w:trPr>
          <w:trHeight w:val="10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973,600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周生雷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7" w:right="0"/>
              <w:jc w:val="left"/>
              <w:rPr>
                <w:rFonts w:ascii="Times New Roman" w:hAnsi="Times New Roman" w:cs="Times New Roman" w:eastAsia="Times New Roman" w:hint="default"/>
                <w:sz w:val="18"/>
                <w:szCs w:val="18"/>
              </w:rPr>
            </w:pPr>
            <w:r>
              <w:rPr>
                <w:rFonts w:ascii="Times New Roman"/>
                <w:sz w:val="18"/>
              </w:rPr>
              <w:t>9,300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799"/>
        <w:gridCol w:w="797"/>
        <w:gridCol w:w="531"/>
        <w:gridCol w:w="569"/>
        <w:gridCol w:w="991"/>
        <w:gridCol w:w="850"/>
        <w:gridCol w:w="994"/>
        <w:gridCol w:w="797"/>
        <w:gridCol w:w="799"/>
        <w:gridCol w:w="814"/>
        <w:gridCol w:w="1008"/>
      </w:tblGrid>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41"/>
              <w:jc w:val="left"/>
              <w:rPr>
                <w:rFonts w:ascii="宋体" w:hAnsi="宋体" w:cs="宋体" w:eastAsia="宋体" w:hint="default"/>
                <w:sz w:val="18"/>
                <w:szCs w:val="18"/>
              </w:rPr>
            </w:pPr>
            <w:r>
              <w:rPr>
                <w:rFonts w:ascii="宋体" w:hAnsi="宋体" w:cs="宋体" w:eastAsia="宋体" w:hint="default"/>
                <w:sz w:val="18"/>
                <w:szCs w:val="18"/>
              </w:rPr>
              <w:t>理、财务 总监</w:t>
            </w:r>
          </w:p>
        </w:tc>
        <w:tc>
          <w:tcPr>
            <w:tcW w:w="79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86,463,737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7" w:right="0"/>
              <w:jc w:val="left"/>
              <w:rPr>
                <w:rFonts w:ascii="Times New Roman" w:hAnsi="Times New Roman" w:cs="Times New Roman" w:eastAsia="Times New Roman" w:hint="default"/>
                <w:sz w:val="18"/>
                <w:szCs w:val="18"/>
              </w:rPr>
            </w:pPr>
            <w:r>
              <w:rPr>
                <w:rFonts w:ascii="Times New Roman"/>
                <w:sz w:val="18"/>
              </w:rPr>
              <w:t>9,300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84,876,037</w:t>
            </w:r>
          </w:p>
        </w:tc>
      </w:tr>
    </w:tbl>
    <w:p>
      <w:pPr>
        <w:spacing w:line="240" w:lineRule="auto" w:before="1"/>
        <w:rPr>
          <w:rFonts w:ascii="宋体" w:hAnsi="宋体" w:cs="宋体" w:eastAsia="宋体" w:hint="default"/>
          <w:b/>
          <w:bCs/>
          <w:sz w:val="18"/>
          <w:szCs w:val="18"/>
        </w:rPr>
      </w:pPr>
    </w:p>
    <w:p>
      <w:pPr>
        <w:pStyle w:val="Heading2"/>
        <w:spacing w:line="240" w:lineRule="auto" w:before="26"/>
        <w:ind w:right="8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83"/>
        <w:gridCol w:w="389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因个人工作原因辞职</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因个人工作原因辞职</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0" w:lineRule="auto" w:before="117"/>
        <w:ind w:left="513" w:right="84"/>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w w:val="99"/>
        </w:rPr>
        <w:t> </w:t>
      </w:r>
      <w:r>
        <w:rPr>
          <w:spacing w:val="-2"/>
        </w:rPr>
        <w:t>刘强，男，公司董事长、总经理，中国国籍，无境外永久居留权。刘强先生出生于</w:t>
      </w:r>
      <w:r>
        <w:rPr>
          <w:rFonts w:ascii="Times New Roman" w:hAnsi="Times New Roman" w:cs="Times New Roman" w:eastAsia="Times New Roman" w:hint="default"/>
          <w:spacing w:val="-2"/>
        </w:rPr>
        <w:t>1969</w:t>
      </w:r>
      <w:r>
        <w:rPr>
          <w:spacing w:val="-2"/>
        </w:rPr>
        <w:t>年，博士学位。刘强先生自</w:t>
      </w:r>
      <w:r>
        <w:rPr>
          <w:rFonts w:ascii="Times New Roman" w:hAnsi="Times New Roman" w:cs="Times New Roman" w:eastAsia="Times New Roman" w:hint="default"/>
          <w:spacing w:val="-2"/>
        </w:rPr>
        <w:t>2005</w:t>
      </w:r>
    </w:p>
    <w:p>
      <w:pPr>
        <w:pStyle w:val="BodyText"/>
        <w:spacing w:line="309" w:lineRule="auto" w:before="13"/>
        <w:ind w:right="191"/>
        <w:jc w:val="both"/>
      </w:pPr>
      <w:r>
        <w:rPr/>
        <w:t>年至</w:t>
      </w:r>
      <w:r>
        <w:rPr>
          <w:rFonts w:ascii="Times New Roman" w:hAnsi="Times New Roman" w:cs="Times New Roman" w:eastAsia="Times New Roman" w:hint="default"/>
        </w:rPr>
        <w:t>2009</w:t>
      </w:r>
      <w:r>
        <w:rPr/>
        <w:t>年任北京君正集成电路有限公司董事长，领导研发了嵌入式</w:t>
      </w:r>
      <w:r>
        <w:rPr>
          <w:rFonts w:ascii="Times New Roman" w:hAnsi="Times New Roman" w:cs="Times New Roman" w:eastAsia="Times New Roman" w:hint="default"/>
        </w:rPr>
        <w:t>Xburst</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CPU</w:t>
      </w:r>
      <w:r>
        <w:rPr>
          <w:spacing w:val="-3"/>
        </w:rPr>
        <w:t>，现任公司董事长、总经理、深圳君正时代</w:t>
      </w:r>
      <w:r>
        <w:rPr/>
        <w:t> </w:t>
      </w:r>
      <w:r>
        <w:rPr>
          <w:spacing w:val="-2"/>
        </w:rPr>
        <w:t>集成电路有限公司执行董事、北京君正集成电路（香港）集团有限公司董事、合肥君正科技有限公司执行董事、北京集成电</w:t>
      </w:r>
      <w:r>
        <w:rPr>
          <w:spacing w:val="-67"/>
        </w:rPr>
        <w:t> </w:t>
      </w:r>
      <w:r>
        <w:rPr>
          <w:spacing w:val="-67"/>
        </w:rPr>
      </w:r>
      <w:r>
        <w:rPr/>
        <w:t>路产业发展股权投资基金有限公司独立董事、拉萨君品创业投资有限公司执行董事、经理。</w:t>
      </w:r>
    </w:p>
    <w:p>
      <w:pPr>
        <w:pStyle w:val="BodyText"/>
        <w:spacing w:line="309" w:lineRule="auto" w:before="24"/>
        <w:ind w:right="84" w:firstLine="360"/>
        <w:jc w:val="left"/>
      </w:pPr>
      <w:r>
        <w:rPr>
          <w:spacing w:val="-2"/>
        </w:rPr>
        <w:t>李杰，男，公司董事，中国国籍，无境外永久居留权。李杰先生出生于</w:t>
      </w:r>
      <w:r>
        <w:rPr>
          <w:rFonts w:ascii="Times New Roman" w:hAnsi="Times New Roman" w:cs="Times New Roman" w:eastAsia="Times New Roman" w:hint="default"/>
          <w:spacing w:val="-2"/>
        </w:rPr>
        <w:t>1963</w:t>
      </w:r>
      <w:r>
        <w:rPr>
          <w:spacing w:val="-2"/>
        </w:rPr>
        <w:t>年，硕士学位。李杰先生曾在中科院计算所</w:t>
      </w:r>
      <w:r>
        <w:rPr/>
        <w:t> </w:t>
      </w:r>
      <w:r>
        <w:rPr>
          <w:spacing w:val="-4"/>
        </w:rPr>
        <w:t>任职，从事大型机的研制工作，曾任北京庚顿数据科技有限公司执行董事，现任公司董事、北京庚顿数据科技有限公司董事、</w:t>
      </w:r>
      <w:r>
        <w:rPr>
          <w:spacing w:val="-45"/>
        </w:rPr>
        <w:t> </w:t>
      </w:r>
      <w:r>
        <w:rPr>
          <w:spacing w:val="-45"/>
        </w:rPr>
      </w:r>
      <w:r>
        <w:rPr/>
        <w:t>北京华如科技股份有限公司董事长。</w:t>
      </w:r>
    </w:p>
    <w:p>
      <w:pPr>
        <w:pStyle w:val="BodyText"/>
        <w:spacing w:line="300" w:lineRule="auto" w:before="24"/>
        <w:ind w:right="192" w:firstLine="360"/>
        <w:jc w:val="both"/>
      </w:pPr>
      <w:r>
        <w:rPr>
          <w:spacing w:val="-2"/>
        </w:rPr>
        <w:t>张紧，男，公司董事、副总经理，中国国籍，无境外永久居留权。张紧先生出生于</w:t>
      </w:r>
      <w:r>
        <w:rPr>
          <w:rFonts w:ascii="Times New Roman" w:hAnsi="Times New Roman" w:cs="Times New Roman" w:eastAsia="Times New Roman" w:hint="default"/>
          <w:spacing w:val="-2"/>
        </w:rPr>
        <w:t>1962</w:t>
      </w:r>
      <w:r>
        <w:rPr>
          <w:spacing w:val="-2"/>
        </w:rPr>
        <w:t>年，硕士学位。张紧先生自</w:t>
      </w:r>
      <w:r>
        <w:rPr>
          <w:rFonts w:ascii="Times New Roman" w:hAnsi="Times New Roman" w:cs="Times New Roman" w:eastAsia="Times New Roman" w:hint="default"/>
          <w:spacing w:val="-2"/>
        </w:rPr>
        <w:t>2005</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2009</w:t>
      </w:r>
      <w:r>
        <w:rPr>
          <w:spacing w:val="-2"/>
        </w:rPr>
        <w:t>年任北京君正集成电路有限公司董事、副总经理、技术总监，现任公司董事、副总经理、合肥君正科技有限公司总</w:t>
      </w:r>
      <w:r>
        <w:rPr>
          <w:spacing w:val="-65"/>
        </w:rPr>
        <w:t> </w:t>
      </w:r>
      <w:r>
        <w:rPr>
          <w:spacing w:val="-65"/>
        </w:rPr>
      </w:r>
      <w:r>
        <w:rPr/>
        <w:t>经理。张紧先生精通芯片的体系结构、微体系结构和逻辑电路，领导了公司多个嵌入式</w:t>
      </w:r>
      <w:r>
        <w:rPr>
          <w:rFonts w:ascii="Times New Roman" w:hAnsi="Times New Roman" w:cs="Times New Roman" w:eastAsia="Times New Roman" w:hint="default"/>
        </w:rPr>
        <w:t>CPU</w:t>
      </w:r>
      <w:r>
        <w:rPr/>
        <w:t>芯片研发项目。</w:t>
      </w:r>
    </w:p>
    <w:p>
      <w:pPr>
        <w:pStyle w:val="BodyText"/>
        <w:spacing w:line="300" w:lineRule="auto" w:before="13"/>
        <w:ind w:right="191" w:firstLine="360"/>
        <w:jc w:val="both"/>
      </w:pPr>
      <w:r>
        <w:rPr>
          <w:spacing w:val="-2"/>
        </w:rPr>
        <w:t>冼永辉，男，公司董事、副总经理，中国国籍，无境外永久居留权。冼永辉先生出生于</w:t>
      </w:r>
      <w:r>
        <w:rPr>
          <w:rFonts w:ascii="Times New Roman" w:hAnsi="Times New Roman" w:cs="Times New Roman" w:eastAsia="Times New Roman" w:hint="default"/>
          <w:spacing w:val="-2"/>
        </w:rPr>
        <w:t>1968</w:t>
      </w:r>
      <w:r>
        <w:rPr>
          <w:spacing w:val="-2"/>
        </w:rPr>
        <w:t>年，学士学位。冼永辉先生</w:t>
      </w:r>
      <w:r>
        <w:rPr/>
        <w:t> </w:t>
      </w:r>
      <w:r>
        <w:rPr>
          <w:spacing w:val="-2"/>
        </w:rPr>
        <w:t>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年任北京君正集成电路有限公司副总经理，现任公司董事、副总经理。冼永辉先生负责公司的系统软硬件工</w:t>
      </w:r>
      <w:r>
        <w:rPr>
          <w:spacing w:val="-63"/>
        </w:rPr>
        <w:t> </w:t>
      </w:r>
      <w:r>
        <w:rPr>
          <w:spacing w:val="-63"/>
        </w:rPr>
      </w:r>
      <w:r>
        <w:rPr>
          <w:spacing w:val="-1"/>
        </w:rPr>
        <w:t>作，是硬件电路、操作系统底层、中间件领域的专家，主持了公司</w:t>
      </w:r>
      <w:r>
        <w:rPr>
          <w:rFonts w:ascii="Times New Roman" w:hAnsi="Times New Roman" w:cs="Times New Roman" w:eastAsia="Times New Roman" w:hint="default"/>
          <w:spacing w:val="-1"/>
        </w:rPr>
        <w:t>Linux</w:t>
      </w:r>
      <w:r>
        <w:rPr>
          <w:spacing w:val="-1"/>
        </w:rPr>
        <w:t>、</w:t>
      </w:r>
      <w:r>
        <w:rPr>
          <w:rFonts w:ascii="Times New Roman" w:hAnsi="Times New Roman" w:cs="Times New Roman" w:eastAsia="Times New Roman" w:hint="default"/>
          <w:spacing w:val="-1"/>
        </w:rPr>
        <w:t>Android</w:t>
      </w:r>
      <w:r>
        <w:rPr>
          <w:spacing w:val="-1"/>
        </w:rPr>
        <w:t>平台及</w:t>
      </w:r>
      <w:r>
        <w:rPr>
          <w:rFonts w:ascii="Times New Roman" w:hAnsi="Times New Roman" w:cs="Times New Roman" w:eastAsia="Times New Roman" w:hint="default"/>
          <w:spacing w:val="-1"/>
        </w:rPr>
        <w:t>PMP</w:t>
      </w:r>
      <w:r>
        <w:rPr>
          <w:spacing w:val="-1"/>
        </w:rPr>
        <w:t>方案和智能手机方案的研发项</w:t>
      </w:r>
      <w:r>
        <w:rPr>
          <w:spacing w:val="-69"/>
        </w:rPr>
        <w:t> </w:t>
      </w:r>
      <w:r>
        <w:rPr>
          <w:spacing w:val="-69"/>
        </w:rPr>
      </w:r>
      <w:r>
        <w:rPr/>
        <w:t>目。</w:t>
      </w:r>
    </w:p>
    <w:p>
      <w:pPr>
        <w:pStyle w:val="BodyText"/>
        <w:spacing w:line="300" w:lineRule="auto" w:before="31"/>
        <w:ind w:right="191" w:firstLine="360"/>
        <w:jc w:val="both"/>
      </w:pPr>
      <w:r>
        <w:rPr>
          <w:spacing w:val="-2"/>
        </w:rPr>
        <w:t>梁云凤，女，公司独立董事，中国国籍，无境外永久居留权。梁云凤女士出生于</w:t>
      </w:r>
      <w:r>
        <w:rPr>
          <w:rFonts w:ascii="Times New Roman" w:hAnsi="Times New Roman" w:cs="Times New Roman" w:eastAsia="Times New Roman" w:hint="default"/>
          <w:spacing w:val="-2"/>
        </w:rPr>
        <w:t>1970</w:t>
      </w:r>
      <w:r>
        <w:rPr>
          <w:spacing w:val="-2"/>
        </w:rPr>
        <w:t>年，财政部财政科学研究所经济学</w:t>
      </w:r>
      <w:r>
        <w:rPr/>
        <w:t> </w:t>
      </w:r>
      <w:r>
        <w:rPr>
          <w:spacing w:val="-2"/>
        </w:rPr>
        <w:t>博士、国家发展改革委信息中心博士后站博士后、中国注册税务师、教授、博士生导师，现任国家智库</w:t>
      </w:r>
      <w:r>
        <w:rPr>
          <w:rFonts w:ascii="Times New Roman" w:hAnsi="Times New Roman" w:cs="Times New Roman" w:eastAsia="Times New Roman" w:hint="default"/>
          <w:spacing w:val="-2"/>
        </w:rPr>
        <w:t>——</w:t>
      </w:r>
      <w:r>
        <w:rPr>
          <w:spacing w:val="-2"/>
        </w:rPr>
        <w:t>中国国际经济交</w:t>
      </w:r>
      <w:r>
        <w:rPr>
          <w:spacing w:val="-64"/>
        </w:rPr>
        <w:t> </w:t>
      </w:r>
      <w:r>
        <w:rPr/>
        <w:t>流中心（国家发展改革委对外开放咨询中心）研究员。梁云凤女士自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08</w:t>
      </w:r>
      <w:r>
        <w:rPr/>
        <w:t>日起担任公司独立董事。</w:t>
      </w:r>
    </w:p>
    <w:p>
      <w:pPr>
        <w:pStyle w:val="BodyText"/>
        <w:spacing w:line="304" w:lineRule="auto" w:before="13"/>
        <w:ind w:right="186" w:firstLine="360"/>
        <w:jc w:val="both"/>
      </w:pPr>
      <w:r>
        <w:rPr>
          <w:spacing w:val="-2"/>
        </w:rPr>
        <w:t>刘越，女，公司独立董事，中国国籍，无境外永久居留权。刘越女士出生于</w:t>
      </w:r>
      <w:r>
        <w:rPr>
          <w:rFonts w:ascii="Times New Roman" w:hAnsi="Times New Roman" w:cs="Times New Roman" w:eastAsia="Times New Roman" w:hint="default"/>
          <w:spacing w:val="-2"/>
        </w:rPr>
        <w:t>1961</w:t>
      </w:r>
      <w:r>
        <w:rPr>
          <w:spacing w:val="-2"/>
        </w:rPr>
        <w:t>年，硕士学位，高级工程师。刘越女士</w:t>
      </w:r>
      <w:r>
        <w:rPr/>
        <w:t> </w:t>
      </w:r>
      <w:r>
        <w:rPr>
          <w:spacing w:val="-5"/>
        </w:rPr>
        <w:t>曾任北大青鸟集团副总裁、北大青鸟环宇科技股份有限公司执行董事及副总裁、中芯国际集成电路制造有限公司副总裁。</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2"/>
        </w:rPr>
        <w:t>年以后，在风险投资公司华登国际任副总裁，负责中国事务与集成电路产业的投资。现任北京清芯华创投资管理有限公司创</w:t>
      </w:r>
      <w:r>
        <w:rPr>
          <w:spacing w:val="-63"/>
        </w:rPr>
        <w:t> </w:t>
      </w:r>
      <w:r>
        <w:rPr>
          <w:spacing w:val="-63"/>
        </w:rPr>
      </w:r>
      <w:r>
        <w:rPr>
          <w:spacing w:val="-2"/>
        </w:rPr>
        <w:t>始合伙人及副总裁，中国半导体行业协会理事，中国半导体行业协会集成电路设计分会副秘书长。刘越女士自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9"/>
        </w:rPr>
        <w:t> </w:t>
      </w:r>
      <w:r>
        <w:rPr/>
        <w:t>日起担任公司独立董事。</w:t>
      </w:r>
    </w:p>
    <w:p>
      <w:pPr>
        <w:pStyle w:val="BodyText"/>
        <w:spacing w:line="300" w:lineRule="auto" w:before="28"/>
        <w:ind w:left="513" w:right="84"/>
        <w:jc w:val="left"/>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w w:val="99"/>
        </w:rPr>
        <w:t> </w:t>
      </w:r>
      <w:r>
        <w:rPr>
          <w:spacing w:val="-2"/>
        </w:rPr>
        <w:t>晏晓京，女，公司监事会主席，中国国籍，无境外永久居留权。晏晓京女士出生于</w:t>
      </w:r>
      <w:r>
        <w:rPr>
          <w:rFonts w:ascii="Times New Roman" w:hAnsi="Times New Roman" w:cs="Times New Roman" w:eastAsia="Times New Roman" w:hint="default"/>
          <w:spacing w:val="-2"/>
        </w:rPr>
        <w:t>1965</w:t>
      </w:r>
      <w:r>
        <w:rPr>
          <w:spacing w:val="-2"/>
        </w:rPr>
        <w:t>年，学士学位，高级工程师。晏</w:t>
      </w:r>
    </w:p>
    <w:p>
      <w:pPr>
        <w:pStyle w:val="BodyText"/>
        <w:spacing w:line="300" w:lineRule="auto" w:before="13"/>
        <w:ind w:right="189"/>
        <w:jc w:val="both"/>
      </w:pPr>
      <w:r>
        <w:rPr>
          <w:spacing w:val="-2"/>
        </w:rPr>
        <w:t>晓京女士自</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2009</w:t>
      </w:r>
      <w:r>
        <w:rPr>
          <w:spacing w:val="-2"/>
        </w:rPr>
        <w:t>年任北京君正集成电路有限公司部门经理，现任公司监事会主席、部门经理、北京捷联微芯科技有</w:t>
      </w:r>
      <w:r>
        <w:rPr>
          <w:spacing w:val="-61"/>
        </w:rPr>
        <w:t> </w:t>
      </w:r>
      <w:r>
        <w:rPr>
          <w:spacing w:val="-61"/>
        </w:rPr>
      </w:r>
      <w:r>
        <w:rPr>
          <w:spacing w:val="-3"/>
        </w:rPr>
        <w:t>限公司监事。晏晓京女士对芯片的外围接口电路有丰富的经验，主持设计了闪存接口、</w:t>
      </w:r>
      <w:r>
        <w:rPr>
          <w:rFonts w:ascii="Times New Roman" w:hAnsi="Times New Roman" w:cs="Times New Roman" w:eastAsia="Times New Roman" w:hint="default"/>
          <w:spacing w:val="-3"/>
        </w:rPr>
        <w:t>UART</w:t>
      </w:r>
      <w:r>
        <w:rPr>
          <w:spacing w:val="-3"/>
        </w:rPr>
        <w:t>等多个模块，同时具体负责</w:t>
      </w:r>
      <w:r>
        <w:rPr>
          <w:rFonts w:ascii="Times New Roman" w:hAnsi="Times New Roman" w:cs="Times New Roman" w:eastAsia="Times New Roman" w:hint="default"/>
          <w:spacing w:val="-3"/>
        </w:rPr>
        <w:t>SoC</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芯片从规格定义到量产的全过程。</w:t>
      </w:r>
    </w:p>
    <w:p>
      <w:pPr>
        <w:pStyle w:val="BodyText"/>
        <w:spacing w:line="240" w:lineRule="auto" w:before="31"/>
        <w:ind w:left="513" w:right="0"/>
        <w:jc w:val="left"/>
      </w:pPr>
      <w:r>
        <w:rPr/>
        <w:t>许志鹏，男，公司监事，中国国籍，无境外永久居住权。许志鹏先生出生于</w:t>
      </w:r>
      <w:r>
        <w:rPr>
          <w:rFonts w:ascii="Times New Roman" w:hAnsi="Times New Roman" w:cs="Times New Roman" w:eastAsia="Times New Roman" w:hint="default"/>
        </w:rPr>
        <w:t>1973</w:t>
      </w:r>
      <w:r>
        <w:rPr/>
        <w:t>年，学士学位。许志鹏先生自</w:t>
      </w:r>
      <w:r>
        <w:rPr>
          <w:rFonts w:ascii="Times New Roman" w:hAnsi="Times New Roman" w:cs="Times New Roman" w:eastAsia="Times New Roman" w:hint="default"/>
        </w:rPr>
        <w:t>2005</w:t>
      </w:r>
      <w:r>
        <w:rPr/>
        <w:t>年至</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04"/>
        <w:jc w:val="left"/>
      </w:pPr>
      <w:r>
        <w:rPr>
          <w:rFonts w:ascii="Times New Roman" w:hAnsi="Times New Roman" w:cs="Times New Roman" w:eastAsia="Times New Roman" w:hint="default"/>
        </w:rPr>
        <w:t>2009</w:t>
      </w:r>
      <w:r>
        <w:rPr/>
        <w:t>年任北京君正集成电路有限公司部门经理，现任公司监事、行业事业部总监。许志鹏先生精通</w:t>
      </w:r>
      <w:r>
        <w:rPr>
          <w:rFonts w:ascii="Times New Roman" w:hAnsi="Times New Roman" w:cs="Times New Roman" w:eastAsia="Times New Roman" w:hint="default"/>
        </w:rPr>
        <w:t>Linux</w:t>
      </w:r>
      <w:r>
        <w:rPr/>
        <w:t>操作系统软件和多 媒体软件，领导了公司操作系统底层的研制和多媒体播放器软件的研制。</w:t>
      </w:r>
    </w:p>
    <w:p>
      <w:pPr>
        <w:pStyle w:val="BodyText"/>
        <w:spacing w:line="300" w:lineRule="auto" w:before="31"/>
        <w:ind w:right="288" w:firstLine="360"/>
        <w:jc w:val="both"/>
      </w:pPr>
      <w:r>
        <w:rPr/>
        <w:t>刘飞，男，公司职工代表监事，中国国籍，无境外永久居留权。刘飞先生出生于</w:t>
      </w:r>
      <w:r>
        <w:rPr>
          <w:rFonts w:ascii="Times New Roman" w:hAnsi="Times New Roman" w:cs="Times New Roman" w:eastAsia="Times New Roman" w:hint="default"/>
        </w:rPr>
        <w:t>1972</w:t>
      </w:r>
      <w:r>
        <w:rPr/>
        <w:t>年，学士学位。刘飞先生自</w:t>
      </w:r>
      <w:r>
        <w:rPr>
          <w:rFonts w:ascii="Times New Roman" w:hAnsi="Times New Roman" w:cs="Times New Roman" w:eastAsia="Times New Roman" w:hint="default"/>
        </w:rPr>
        <w:t>2005 </w:t>
      </w:r>
      <w:r>
        <w:rPr/>
        <w:t>年至</w:t>
      </w:r>
      <w:r>
        <w:rPr>
          <w:rFonts w:ascii="Times New Roman" w:hAnsi="Times New Roman" w:cs="Times New Roman" w:eastAsia="Times New Roman" w:hint="default"/>
        </w:rPr>
        <w:t>2009</w:t>
      </w:r>
      <w:r>
        <w:rPr/>
        <w:t>年任北京君正集成电路有限公司项目经理，现任公司职工代表监事。</w:t>
      </w:r>
    </w:p>
    <w:p>
      <w:pPr>
        <w:pStyle w:val="BodyText"/>
        <w:spacing w:line="338" w:lineRule="auto" w:before="13"/>
        <w:ind w:left="513" w:right="2743"/>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刘强，公司董事长、总经理，其个人简历详见本节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张紧，公司董事、副总经理，其个人简历详见本节之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 冼永辉，公司董事、副总经理，其个人简历详见本节之</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、董事</w:t>
      </w:r>
      <w:r>
        <w:rPr>
          <w:rFonts w:ascii="Times New Roman" w:hAnsi="Times New Roman" w:cs="Times New Roman" w:eastAsia="Times New Roman" w:hint="default"/>
        </w:rPr>
        <w:t>”</w:t>
      </w:r>
      <w:r>
        <w:rPr/>
        <w:t>。</w:t>
      </w:r>
    </w:p>
    <w:p>
      <w:pPr>
        <w:pStyle w:val="BodyText"/>
        <w:spacing w:line="300" w:lineRule="auto" w:before="22"/>
        <w:ind w:right="190" w:firstLine="360"/>
        <w:jc w:val="both"/>
      </w:pPr>
      <w:r>
        <w:rPr>
          <w:spacing w:val="-2"/>
        </w:rPr>
        <w:t>张敏，女，公司副总经理、董事会秘书，中国国籍，无境外永久居留权。张敏女士出生于</w:t>
      </w:r>
      <w:r>
        <w:rPr>
          <w:rFonts w:ascii="Times New Roman" w:hAnsi="Times New Roman" w:cs="Times New Roman" w:eastAsia="Times New Roman" w:hint="default"/>
          <w:spacing w:val="-2"/>
        </w:rPr>
        <w:t>1973</w:t>
      </w:r>
      <w:r>
        <w:rPr>
          <w:spacing w:val="-2"/>
        </w:rPr>
        <w:t>年，硕士学位。张敏女士</w:t>
      </w:r>
      <w:r>
        <w:rPr/>
        <w:t> </w:t>
      </w:r>
      <w:r>
        <w:rPr>
          <w:spacing w:val="-2"/>
        </w:rPr>
        <w:t>自</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spacing w:val="-2"/>
        </w:rPr>
        <w:t>年任北京君正集成电路有限公司商务总监，现任公司副总经理、董事会秘书、深圳君正时代集成电路有限公</w:t>
      </w:r>
      <w:r>
        <w:rPr>
          <w:spacing w:val="-60"/>
        </w:rPr>
        <w:t> </w:t>
      </w:r>
      <w:r>
        <w:rPr>
          <w:spacing w:val="-60"/>
        </w:rPr>
      </w:r>
      <w:r>
        <w:rPr/>
        <w:t>司监事、北京君诚易恒科技有限公司监事、拉萨君品创业投资有限公司监事。</w:t>
      </w:r>
    </w:p>
    <w:p>
      <w:pPr>
        <w:pStyle w:val="BodyText"/>
        <w:spacing w:line="300" w:lineRule="auto" w:before="32"/>
        <w:ind w:right="192" w:firstLine="360"/>
        <w:jc w:val="both"/>
      </w:pPr>
      <w:r>
        <w:rPr>
          <w:spacing w:val="-2"/>
        </w:rPr>
        <w:t>张燕祥，女，公司副总经理，中国国籍，无境外永久居留权。张燕祥女士出生于</w:t>
      </w:r>
      <w:r>
        <w:rPr>
          <w:rFonts w:ascii="Times New Roman" w:hAnsi="Times New Roman" w:cs="Times New Roman" w:eastAsia="Times New Roman" w:hint="default"/>
          <w:spacing w:val="-2"/>
        </w:rPr>
        <w:t>1968</w:t>
      </w:r>
      <w:r>
        <w:rPr>
          <w:spacing w:val="-2"/>
        </w:rPr>
        <w:t>年，学士学位。张燕祥女士自</w:t>
      </w:r>
      <w:r>
        <w:rPr>
          <w:rFonts w:ascii="Times New Roman" w:hAnsi="Times New Roman" w:cs="Times New Roman" w:eastAsia="Times New Roman" w:hint="default"/>
          <w:spacing w:val="-2"/>
        </w:rPr>
        <w:t>2006</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年任北京君正集成电路有限公司财务总监，</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2015</w:t>
      </w:r>
      <w:r>
        <w:rPr/>
        <w:t>年任公司副总经理、财务总监，现任公司副总经理。</w:t>
      </w:r>
    </w:p>
    <w:p>
      <w:pPr>
        <w:pStyle w:val="BodyText"/>
        <w:spacing w:line="300" w:lineRule="auto" w:before="13"/>
        <w:ind w:right="192" w:firstLine="360"/>
        <w:jc w:val="both"/>
      </w:pPr>
      <w:r>
        <w:rPr>
          <w:spacing w:val="-2"/>
        </w:rPr>
        <w:t>周生雷，男，公司副总经理，中国国籍，无境外永久居留权。周生雷先生出生于</w:t>
      </w:r>
      <w:r>
        <w:rPr>
          <w:rFonts w:ascii="Times New Roman" w:hAnsi="Times New Roman" w:cs="Times New Roman" w:eastAsia="Times New Roman" w:hint="default"/>
          <w:spacing w:val="-2"/>
        </w:rPr>
        <w:t>1975</w:t>
      </w:r>
      <w:r>
        <w:rPr>
          <w:spacing w:val="-2"/>
        </w:rPr>
        <w:t>年，硕士学位。周生雷先生自</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2009</w:t>
      </w:r>
      <w:r>
        <w:rPr/>
        <w:t>年任北京君正集成电路有限公司市场总监，现任公司副总经理。</w:t>
      </w:r>
    </w:p>
    <w:p>
      <w:pPr>
        <w:pStyle w:val="BodyText"/>
        <w:spacing w:line="300" w:lineRule="auto" w:before="53"/>
        <w:ind w:right="189" w:firstLine="360"/>
        <w:jc w:val="both"/>
      </w:pPr>
      <w:r>
        <w:rPr>
          <w:spacing w:val="-2"/>
        </w:rPr>
        <w:t>叶飞，男，公司副总经理、财务总监，中国国籍，无境外永久居留权。叶飞先生出生于</w:t>
      </w:r>
      <w:r>
        <w:rPr>
          <w:rFonts w:ascii="Times New Roman" w:hAnsi="Times New Roman" w:cs="Times New Roman" w:eastAsia="Times New Roman" w:hint="default"/>
          <w:spacing w:val="-2"/>
        </w:rPr>
        <w:t>1979</w:t>
      </w:r>
      <w:r>
        <w:rPr>
          <w:spacing w:val="-2"/>
        </w:rPr>
        <w:t>年，学士学位，中国注册会</w:t>
      </w:r>
      <w:r>
        <w:rPr/>
        <w:t> </w:t>
      </w:r>
      <w:r>
        <w:rPr>
          <w:spacing w:val="-2"/>
        </w:rPr>
        <w:t>计师、澳洲注册会计师。叶飞先生曾任北京兴华会计师事务所审计部高级经理，自</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年任公司财务经理，现任公</w:t>
      </w:r>
      <w:r>
        <w:rPr>
          <w:spacing w:val="-57"/>
        </w:rPr>
        <w:t> </w:t>
      </w:r>
      <w:r>
        <w:rPr>
          <w:spacing w:val="-57"/>
        </w:rPr>
      </w:r>
      <w:r>
        <w:rPr/>
        <w:t>司副总经理、财务总监。</w:t>
      </w:r>
    </w:p>
    <w:p>
      <w:pPr>
        <w:pStyle w:val="BodyText"/>
        <w:spacing w:line="240" w:lineRule="auto" w:before="72"/>
        <w:ind w:right="84"/>
        <w:jc w:val="left"/>
      </w:pPr>
      <w:r>
        <w:rPr/>
        <w:t>在股东单位任职情况</w:t>
      </w:r>
    </w:p>
    <w:p>
      <w:pPr>
        <w:pStyle w:val="BodyText"/>
        <w:spacing w:line="338"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3"/>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90"/>
        <w:gridCol w:w="1030"/>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20" w:right="59"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梁云凤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中国国际经济交流中心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北京清芯华创投资管理有限公司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84"/>
        <w:jc w:val="left"/>
      </w:pPr>
      <w:r>
        <w:rPr/>
        <w:t>公司现任及报告期内离任董事、监事和高级管理人员近三年证券监管机构处罚的情况</w:t>
      </w:r>
    </w:p>
    <w:p>
      <w:pPr>
        <w:pStyle w:val="BodyText"/>
        <w:spacing w:line="240" w:lineRule="auto" w:before="115"/>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4"/>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93" w:hanging="361"/>
        <w:jc w:val="left"/>
      </w:pPr>
      <w:r>
        <w:rPr/>
        <w:t>董事、监事、高级管理人员报酬的决策程序、确定依据、实际支付情况 董事、监事、高级管理人员报酬的决策程序：独立董事津贴由董事会提名与薪酬委员会提出方案，董事会审议通过后，</w:t>
      </w:r>
    </w:p>
    <w:p>
      <w:pPr>
        <w:pStyle w:val="BodyText"/>
        <w:spacing w:line="224" w:lineRule="exact"/>
        <w:ind w:right="0"/>
        <w:jc w:val="left"/>
      </w:pPr>
      <w:r>
        <w:rPr/>
        <w:t>提交股东大会审议；公司董事和监事不领取董事、监事津贴，只领取在公司担任其他职务的职务薪酬；高级管理人员薪酬由</w:t>
      </w:r>
    </w:p>
    <w:p>
      <w:pPr>
        <w:pStyle w:val="BodyText"/>
        <w:spacing w:line="316" w:lineRule="auto" w:before="76"/>
        <w:ind w:left="513" w:right="84" w:hanging="361"/>
        <w:jc w:val="left"/>
      </w:pPr>
      <w:r>
        <w:rPr/>
        <w:t>董事会提名与薪酬委员会提出方案，董事会审议。 </w:t>
      </w:r>
      <w:r>
        <w:rPr>
          <w:spacing w:val="-2"/>
        </w:rPr>
        <w:t>董事、监事、高级管理人员报酬确定依据：公司董事、监事及高级管理人员薪酬根据公司《董事、监事、高级管理人员</w:t>
      </w:r>
    </w:p>
    <w:p>
      <w:pPr>
        <w:pStyle w:val="BodyText"/>
        <w:spacing w:line="240" w:lineRule="auto" w:before="19"/>
        <w:ind w:right="84"/>
        <w:jc w:val="left"/>
      </w:pPr>
      <w:r>
        <w:rPr/>
        <w:t>薪酬及绩效考核管理制度》确定，由董事会提名与薪酬委员会组织并考核。</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84" w:firstLine="360"/>
        <w:jc w:val="left"/>
      </w:pPr>
      <w:r>
        <w:rPr>
          <w:spacing w:val="-4"/>
        </w:rPr>
        <w:t>董事、监事和高级管理人员报酬的实际支付情况：独立董事津贴按季度发放；董事、监事和高级管理人员薪酬按月发放，</w:t>
      </w:r>
      <w:r>
        <w:rPr/>
        <w:t> 奖金年度发放。</w:t>
      </w:r>
    </w:p>
    <w:p>
      <w:pPr>
        <w:pStyle w:val="BodyText"/>
        <w:spacing w:line="240" w:lineRule="auto" w:before="58"/>
        <w:ind w:right="84"/>
        <w:jc w:val="left"/>
      </w:pPr>
      <w:r>
        <w:rPr/>
        <w:t>公司报告期内董事、监事和高级管理人员报酬情况</w:t>
      </w:r>
    </w:p>
    <w:p>
      <w:pPr>
        <w:pStyle w:val="BodyText"/>
        <w:spacing w:line="240" w:lineRule="auto" w:before="115"/>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991"/>
        <w:gridCol w:w="1136"/>
        <w:gridCol w:w="1366"/>
        <w:gridCol w:w="1369"/>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50"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张紧</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冼永辉</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梁云凤</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刘越</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晏晓京</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许志鹏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张燕祥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周生雷</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84"/>
        <w:jc w:val="left"/>
      </w:pPr>
      <w:r>
        <w:rPr/>
        <w:t>公司董事、高级管理人员报告期内被授予的股权激励情况</w:t>
      </w:r>
    </w:p>
    <w:p>
      <w:pPr>
        <w:pStyle w:val="BodyText"/>
        <w:spacing w:line="240" w:lineRule="auto" w:before="115"/>
        <w:ind w:right="84"/>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4"/>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235</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235</w:t>
            </w:r>
          </w:p>
        </w:tc>
      </w:tr>
    </w:tbl>
    <w:p>
      <w:pPr>
        <w:spacing w:line="240" w:lineRule="auto" w:before="3"/>
        <w:rPr>
          <w:rFonts w:ascii="宋体" w:hAnsi="宋体" w:cs="宋体" w:eastAsia="宋体" w:hint="default"/>
          <w:b/>
          <w:bCs/>
          <w:sz w:val="19"/>
          <w:szCs w:val="19"/>
        </w:rPr>
      </w:pPr>
    </w:p>
    <w:p>
      <w:pPr>
        <w:pStyle w:val="Heading3"/>
        <w:spacing w:line="240" w:lineRule="auto" w:before="36"/>
        <w:ind w:right="8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4" w:firstLine="360"/>
        <w:jc w:val="left"/>
      </w:pPr>
      <w:r>
        <w:rPr>
          <w:spacing w:val="-2"/>
        </w:rPr>
        <w:t>公司在遵守国家相关法律法规的基础上，根据公司战略方向、经营目标，基于公平、公正和市场化原则，建立了具备市</w:t>
      </w:r>
      <w:r>
        <w:rPr/>
        <w:t> 场竞争力的薪酬体系，同时公司还建立了全面的福利保障体系，包括社会保险、住房公积金、工会福利等。</w:t>
      </w:r>
    </w:p>
    <w:p>
      <w:pPr>
        <w:spacing w:line="240" w:lineRule="auto" w:before="8"/>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t>公司自上市以来，逐步建立健全了科学化、规范化、系统化的培训管理体系。报告期内，围绕公司人才战略发展要求， </w:t>
      </w:r>
      <w:r>
        <w:rPr>
          <w:spacing w:val="-2"/>
        </w:rPr>
        <w:t>持续加强员工岗前培训和团队建设培训。公司的培训主要分为新员工入职培训、技术培训、管理人员培训和董监高培训等类</w:t>
      </w:r>
      <w:r>
        <w:rPr>
          <w:spacing w:val="-63"/>
        </w:rPr>
        <w:t> </w:t>
      </w:r>
      <w:r>
        <w:rPr>
          <w:spacing w:val="-63"/>
        </w:rPr>
      </w:r>
      <w:r>
        <w:rPr>
          <w:spacing w:val="-2"/>
        </w:rPr>
        <w:t>别，并根据业务的需求情况，定期不定期组织各类其他培训活动。公司积极培养复合型人才，形成合理的人才梯队，不断加</w:t>
      </w:r>
      <w:r>
        <w:rPr>
          <w:spacing w:val="-67"/>
        </w:rPr>
        <w:t> </w:t>
      </w:r>
      <w:r>
        <w:rPr>
          <w:spacing w:val="-67"/>
        </w:rPr>
      </w:r>
      <w:r>
        <w:rPr>
          <w:spacing w:val="-2"/>
        </w:rPr>
        <w:t>强团队凝聚力，全面提高员工的工作热情，并逐渐培养了一批具有领军精神的人才，带领团队勇于钻研、敢于创新、吃苦耐</w:t>
      </w:r>
      <w:r>
        <w:rPr>
          <w:spacing w:val="-67"/>
        </w:rPr>
        <w:t> </w:t>
      </w:r>
      <w:r>
        <w:rPr>
          <w:spacing w:val="-67"/>
        </w:rPr>
      </w:r>
      <w:r>
        <w:rPr>
          <w:spacing w:val="-2"/>
        </w:rPr>
        <w:t>劳，为公司进一步的发展提供了有效的支持。未来，公司将在现有基础上，不断完善培训管理体系，为员工提供更好的培训</w:t>
      </w:r>
      <w:r>
        <w:rPr>
          <w:spacing w:val="-67"/>
        </w:rPr>
        <w:t> </w:t>
      </w:r>
      <w:r>
        <w:rPr>
          <w:spacing w:val="-67"/>
        </w:rPr>
      </w:r>
      <w:r>
        <w:rPr/>
        <w:t>发展平台，为企业经营水平和员工整体素质的提高提供支持和保障。</w:t>
      </w:r>
    </w:p>
    <w:p>
      <w:pPr>
        <w:spacing w:line="240" w:lineRule="auto" w:before="11"/>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spacing w:val="-4"/>
        </w:rPr>
        <w:t>报告期内，公司严格按照《公司法》、《证券法》、《上市公司治理准则》、《深圳证券交易所创业板股票上市规则》、</w:t>
      </w:r>
    </w:p>
    <w:p>
      <w:pPr>
        <w:pStyle w:val="BodyText"/>
        <w:spacing w:line="316" w:lineRule="auto" w:before="76"/>
        <w:ind w:right="190"/>
        <w:jc w:val="both"/>
      </w:pPr>
      <w:r>
        <w:rPr>
          <w:spacing w:val="-2"/>
        </w:rPr>
        <w:t>《深圳证券交易所创业板上市公司规范运作指引》等有关法律、法规的要求，不断完善法人治理结构，建立健全公司内部控</w:t>
      </w:r>
      <w:r>
        <w:rPr>
          <w:spacing w:val="-63"/>
        </w:rPr>
        <w:t> </w:t>
      </w:r>
      <w:r>
        <w:rPr>
          <w:spacing w:val="-63"/>
        </w:rPr>
      </w:r>
      <w:r>
        <w:rPr>
          <w:spacing w:val="-2"/>
        </w:rPr>
        <w:t>制制度，充分发挥董事会各专门委员会的职能和作用，更好的提升董事会专业化程度，进一步促进公司规范运作，提高公司</w:t>
      </w:r>
      <w:r>
        <w:rPr>
          <w:spacing w:val="-65"/>
        </w:rPr>
        <w:t> </w:t>
      </w:r>
      <w:r>
        <w:rPr>
          <w:spacing w:val="-65"/>
        </w:rPr>
      </w:r>
      <w:r>
        <w:rPr/>
        <w:t>整体治理水平。</w:t>
      </w:r>
    </w:p>
    <w:p>
      <w:pPr>
        <w:pStyle w:val="BodyText"/>
        <w:spacing w:line="314" w:lineRule="auto" w:before="19"/>
        <w:ind w:right="94" w:firstLine="360"/>
        <w:jc w:val="left"/>
      </w:pPr>
      <w:r>
        <w:rPr>
          <w:spacing w:val="-2"/>
        </w:rPr>
        <w:t>公司董事会对报告期内公司财务报告、信息披露、关联交易、对外担保等事务相关的内部控制制度的建立和实施情况进</w:t>
      </w:r>
      <w:r>
        <w:rPr/>
        <w:t> </w:t>
      </w:r>
      <w:r>
        <w:rPr>
          <w:spacing w:val="-2"/>
        </w:rPr>
        <w:t>行了审查，出具了北京君正集成电路股份有限公司《</w:t>
      </w:r>
      <w:r>
        <w:rPr>
          <w:rFonts w:ascii="Times New Roman" w:hAnsi="Times New Roman" w:cs="Times New Roman" w:eastAsia="Times New Roman" w:hint="default"/>
          <w:spacing w:val="-2"/>
        </w:rPr>
        <w:t>2017</w:t>
      </w:r>
      <w:r>
        <w:rPr>
          <w:spacing w:val="-2"/>
        </w:rPr>
        <w:t>年度内部控制自我评价报告》，并提交公司第三届董事会第二十一</w:t>
      </w:r>
      <w:r>
        <w:rPr>
          <w:spacing w:val="-60"/>
        </w:rPr>
        <w:t> </w:t>
      </w:r>
      <w:r>
        <w:rPr>
          <w:spacing w:val="-60"/>
        </w:rPr>
      </w:r>
      <w:r>
        <w:rPr>
          <w:spacing w:val="-2"/>
        </w:rPr>
        <w:t>次会议审议通过，公司独立董事、监事及会计师事务所对该报告发表了意见。公司董事会认为，根据公司财务报告内部控制</w:t>
      </w:r>
      <w:r>
        <w:rPr>
          <w:spacing w:val="-63"/>
        </w:rPr>
        <w:t> </w:t>
      </w:r>
      <w:r>
        <w:rPr>
          <w:spacing w:val="-63"/>
        </w:rPr>
      </w:r>
      <w:r>
        <w:rPr>
          <w:spacing w:val="-2"/>
        </w:rPr>
        <w:t>重大缺陷的认定情况，于内部控制自我评价报告基准日，不存在财务报告内部控制重大缺陷，公司已按照企业内部控制规范</w:t>
      </w:r>
      <w:r>
        <w:rPr>
          <w:spacing w:val="-64"/>
        </w:rPr>
        <w:t> </w:t>
      </w:r>
      <w:r>
        <w:rPr>
          <w:spacing w:val="-64"/>
        </w:rPr>
      </w:r>
      <w:r>
        <w:rPr/>
        <w:t>体系和相关规定的要求在所有重大方面保持了有效的财务报告内部控制；根据公司非财务报告内部控制重大缺陷认定情况，</w:t>
      </w:r>
      <w:r>
        <w:rPr/>
        <w:t> </w:t>
      </w:r>
      <w:r>
        <w:rPr>
          <w:spacing w:val="-2"/>
        </w:rPr>
        <w:t>于内部控制自我评价报告基准日，公司未发现非财务报告内部控制重大缺陷。自内部控制自我评价报告基准日至内部控制自</w:t>
      </w:r>
      <w:r>
        <w:rPr>
          <w:spacing w:val="-63"/>
        </w:rPr>
        <w:t> </w:t>
      </w:r>
      <w:r>
        <w:rPr>
          <w:spacing w:val="-63"/>
        </w:rPr>
      </w:r>
      <w:r>
        <w:rPr/>
        <w:t>我评价报告发出日之间未发生影响内部控制有效性评价结论的因素。</w:t>
      </w:r>
    </w:p>
    <w:p>
      <w:pPr>
        <w:pStyle w:val="BodyText"/>
        <w:spacing w:line="316" w:lineRule="auto" w:before="20"/>
        <w:ind w:left="513" w:right="84"/>
        <w:jc w:val="left"/>
      </w:pPr>
      <w:r>
        <w:rPr/>
        <w:t>（一）关于股东与股东大会 </w:t>
      </w:r>
      <w:r>
        <w:rPr>
          <w:spacing w:val="-4"/>
        </w:rPr>
        <w:t>公司严格按照《上市公司股东大会规则》、《公司章程》、《股东大会议事规则》等规定和要求，召集、召开股东大会，</w:t>
      </w:r>
    </w:p>
    <w:p>
      <w:pPr>
        <w:pStyle w:val="BodyText"/>
        <w:spacing w:line="316" w:lineRule="auto" w:before="19"/>
        <w:ind w:right="190"/>
        <w:jc w:val="both"/>
      </w:pPr>
      <w:r>
        <w:rPr>
          <w:spacing w:val="-2"/>
        </w:rPr>
        <w:t>平等对待所有股东，并尽可能为股东能够参加股东大会提供便利，使其充分行使股东权利；通过聘请律师出席见证保证了会</w:t>
      </w:r>
      <w:r>
        <w:rPr>
          <w:spacing w:val="-63"/>
        </w:rPr>
        <w:t> </w:t>
      </w:r>
      <w:r>
        <w:rPr>
          <w:spacing w:val="-63"/>
        </w:rPr>
      </w:r>
      <w:r>
        <w:rPr/>
        <w:t>议的召集、召开和表决程序的合法性。</w:t>
      </w:r>
    </w:p>
    <w:p>
      <w:pPr>
        <w:pStyle w:val="BodyText"/>
        <w:spacing w:line="316" w:lineRule="auto" w:before="19"/>
        <w:ind w:left="513" w:right="84"/>
        <w:jc w:val="left"/>
      </w:pPr>
      <w:r>
        <w:rPr/>
        <w:t>（二）关于公司与控股股东 </w:t>
      </w:r>
      <w:r>
        <w:rPr>
          <w:spacing w:val="-2"/>
        </w:rPr>
        <w:t>公司控股股东严格规范自己的行为，依法行使权力和承担义务，没有超越股东大会直接或间接干预公司的决策和经营活</w:t>
      </w:r>
    </w:p>
    <w:p>
      <w:pPr>
        <w:pStyle w:val="BodyText"/>
        <w:spacing w:line="316" w:lineRule="auto" w:before="19"/>
        <w:ind w:right="196"/>
        <w:jc w:val="both"/>
      </w:pPr>
      <w:r>
        <w:rPr>
          <w:spacing w:val="-2"/>
        </w:rPr>
        <w:t>动。公司拥有独立完整的业务和自主经营能力，在资产、人员、机构、财务上均独立于控股股东，公司董事会、监事会和内</w:t>
      </w:r>
      <w:r>
        <w:rPr>
          <w:spacing w:val="-73"/>
        </w:rPr>
        <w:t> </w:t>
      </w:r>
      <w:r>
        <w:rPr>
          <w:spacing w:val="-73"/>
        </w:rPr>
      </w:r>
      <w:r>
        <w:rPr/>
        <w:t>部机构独立运作。</w:t>
      </w:r>
    </w:p>
    <w:p>
      <w:pPr>
        <w:pStyle w:val="BodyText"/>
        <w:spacing w:line="316" w:lineRule="auto" w:before="19"/>
        <w:ind w:left="513" w:right="84"/>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名，董事会的人数及人员构成符合法律、法规和《公司章程》的要求。各位董事</w:t>
      </w:r>
    </w:p>
    <w:p>
      <w:pPr>
        <w:pStyle w:val="BodyText"/>
        <w:spacing w:line="316" w:lineRule="auto"/>
        <w:ind w:right="195"/>
        <w:jc w:val="both"/>
      </w:pPr>
      <w:r>
        <w:rPr>
          <w:spacing w:val="-2"/>
        </w:rPr>
        <w:t>能够依据《董事会议事规则》、《独立董事工作制度》、《深圳证券交易所创业板上市公司规范运作指引》等开展工作，出</w:t>
      </w:r>
      <w:r>
        <w:rPr>
          <w:spacing w:val="-70"/>
        </w:rPr>
        <w:t> </w:t>
      </w:r>
      <w:r>
        <w:rPr>
          <w:spacing w:val="-70"/>
        </w:rPr>
      </w:r>
      <w:r>
        <w:rPr/>
        <w:t>席董事会和股东大会，勤勉尽责地履行职责和义务，同时积极参加相关培训，学习相关法律法规。</w:t>
      </w:r>
    </w:p>
    <w:p>
      <w:pPr>
        <w:pStyle w:val="BodyText"/>
        <w:spacing w:line="316" w:lineRule="auto" w:before="19"/>
        <w:ind w:left="513" w:right="84"/>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名，监事会的人数和构成符合法律、法规的要求。各位监事能够按照《监事会议</w:t>
      </w:r>
    </w:p>
    <w:p>
      <w:pPr>
        <w:pStyle w:val="BodyText"/>
        <w:spacing w:line="316" w:lineRule="auto"/>
        <w:ind w:right="104"/>
        <w:jc w:val="both"/>
      </w:pPr>
      <w:r>
        <w:rPr>
          <w:spacing w:val="-4"/>
        </w:rPr>
        <w:t>事规则》的要求，认真履行自己的职责，对公司重大事项、关联交易、财务状况以及董事、高级管理人员履行职责的合法性、</w:t>
      </w:r>
      <w:r>
        <w:rPr>
          <w:spacing w:val="-44"/>
        </w:rPr>
        <w:t> </w:t>
      </w:r>
      <w:r>
        <w:rPr>
          <w:spacing w:val="-44"/>
        </w:rPr>
      </w:r>
      <w:r>
        <w:rPr/>
        <w:t>合规性进行监督。</w:t>
      </w:r>
    </w:p>
    <w:p>
      <w:pPr>
        <w:pStyle w:val="BodyText"/>
        <w:spacing w:line="319" w:lineRule="auto" w:before="19"/>
        <w:ind w:left="513" w:right="84"/>
        <w:jc w:val="left"/>
      </w:pPr>
      <w:r>
        <w:rPr/>
        <w:t>（五）关于绩效评价与激励约束机制 </w:t>
      </w:r>
      <w:r>
        <w:rPr>
          <w:spacing w:val="-2"/>
        </w:rPr>
        <w:t>公司逐步建立和完善企业绩效评价激励体系，高级管理人员的聘任公开、透明，符合法律、法规的规定。报告期内，本</w:t>
      </w:r>
    </w:p>
    <w:p>
      <w:pPr>
        <w:pStyle w:val="BodyText"/>
        <w:spacing w:line="240" w:lineRule="auto" w:before="17"/>
        <w:ind w:right="0"/>
        <w:jc w:val="both"/>
      </w:pPr>
      <w:r>
        <w:rPr/>
        <w:t>公司高级管理人员经考核，均认真履行了工作职责。</w:t>
      </w:r>
    </w:p>
    <w:p>
      <w:pPr>
        <w:pStyle w:val="BodyText"/>
        <w:spacing w:line="316" w:lineRule="auto" w:before="76"/>
        <w:ind w:left="513" w:right="84"/>
        <w:jc w:val="left"/>
      </w:pPr>
      <w:r>
        <w:rPr/>
        <w:t>（六）关于信息披露与透明度 </w:t>
      </w:r>
      <w:r>
        <w:rPr>
          <w:spacing w:val="-2"/>
        </w:rPr>
        <w:t>公司严格按照有关法律法规以及《信息披露事务管理制度》等公司制度的要求，真实、准确、及时、公平、完整地披露</w:t>
      </w:r>
    </w:p>
    <w:p>
      <w:pPr>
        <w:pStyle w:val="BodyText"/>
        <w:spacing w:line="300" w:lineRule="auto" w:before="19"/>
        <w:ind w:right="194"/>
        <w:jc w:val="both"/>
      </w:pPr>
      <w:r>
        <w:rPr/>
        <w:t>有关信息，并指定《证券时报》和巨潮资讯网（</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）为公司信息披露的指定报纸和网站，确保了所有 股东在获得公司信息方面享有的平等机会。</w:t>
      </w:r>
    </w:p>
    <w:p>
      <w:pPr>
        <w:pStyle w:val="BodyText"/>
        <w:spacing w:line="316" w:lineRule="auto" w:before="31"/>
        <w:ind w:left="513" w:right="84"/>
        <w:jc w:val="left"/>
      </w:pPr>
      <w:r>
        <w:rPr/>
        <w:t>（七）关于投资者关系管理 </w:t>
      </w:r>
      <w:r>
        <w:rPr>
          <w:spacing w:val="-2"/>
        </w:rPr>
        <w:t>公司上市以来，不断摸索、改进和充分的开展投资者关系管理工作，指定专人负责与投资者进行沟通和交流，协调公司</w:t>
      </w:r>
    </w:p>
    <w:p>
      <w:pPr>
        <w:pStyle w:val="BodyText"/>
        <w:spacing w:line="316" w:lineRule="auto" w:before="18"/>
        <w:ind w:right="111"/>
        <w:jc w:val="both"/>
      </w:pPr>
      <w:r>
        <w:rPr/>
        <w:t>与投资者的关系。同时，公司通过电话、邮箱、投资者互动平台等多种渠道，积极、全面的与投资者建立良好的互动关系， 保障了全体股东的合法权益。</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left="513" w:right="84"/>
        <w:jc w:val="left"/>
      </w:pPr>
      <w:r>
        <w:rPr/>
        <w:t>（八）关于相关利益者 </w:t>
      </w:r>
      <w:r>
        <w:rPr>
          <w:spacing w:val="-2"/>
        </w:rPr>
        <w:t>公司充分尊重和维护相关利益者的合法权益，实现股东、员工、社会等各方利益的协调平衡，共同推动公司持续、健康</w:t>
      </w:r>
    </w:p>
    <w:p>
      <w:pPr>
        <w:pStyle w:val="BodyText"/>
        <w:spacing w:line="222" w:lineRule="exact"/>
        <w:ind w:right="84"/>
        <w:jc w:val="left"/>
      </w:pPr>
      <w:r>
        <w:rPr/>
        <w:t>的发展。</w:t>
      </w:r>
    </w:p>
    <w:p>
      <w:pPr>
        <w:pStyle w:val="BodyText"/>
        <w:spacing w:line="240" w:lineRule="auto" w:before="115"/>
        <w:ind w:right="84"/>
        <w:jc w:val="left"/>
      </w:pPr>
      <w:r>
        <w:rPr/>
        <w:t>公司治理的实际状况与中国证监会发布的有关上市公司治理的规范性文件是否存在重大差异</w:t>
      </w:r>
    </w:p>
    <w:p>
      <w:pPr>
        <w:pStyle w:val="BodyText"/>
        <w:spacing w:line="340" w:lineRule="auto" w:before="117"/>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8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4" w:firstLine="360"/>
        <w:jc w:val="left"/>
      </w:pPr>
      <w:r>
        <w:rPr>
          <w:spacing w:val="-4"/>
        </w:rPr>
        <w:t>公司严格按照《公司法》、《证券法》等有关法律法规和《公司章程》的要求规范运作，公司资产完整，在业务、人员、</w:t>
      </w:r>
      <w:r>
        <w:rPr/>
        <w:t> 财务及机构等方面独立于控股股东和实际控制人，具有完整的业务体系及面向市场独立经营的能力。</w:t>
      </w:r>
    </w:p>
    <w:p>
      <w:pPr>
        <w:spacing w:line="240" w:lineRule="auto" w:before="12"/>
        <w:rPr>
          <w:rFonts w:ascii="宋体" w:hAnsi="宋体" w:cs="宋体" w:eastAsia="宋体" w:hint="default"/>
          <w:sz w:val="20"/>
          <w:szCs w:val="20"/>
        </w:rPr>
      </w:pPr>
    </w:p>
    <w:p>
      <w:pPr>
        <w:pStyle w:val="Heading2"/>
        <w:spacing w:line="240" w:lineRule="auto"/>
        <w:ind w:right="8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before="44"/>
        <w:ind w:left="0" w:right="282"/>
        <w:jc w:val="right"/>
      </w:pPr>
      <w:r>
        <w:rPr/>
        <w:pict>
          <v:shape style="position:absolute;margin-left:56.400002pt;margin-top:-20.768293pt;width:475.8pt;height:56.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205"/>
                    <w:gridCol w:w="1488"/>
                    <w:gridCol w:w="1136"/>
                    <w:gridCol w:w="1133"/>
                    <w:gridCol w:w="2696"/>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年年度股东大会决议公告</w:t>
                        </w:r>
                      </w:p>
                    </w:tc>
                  </w:tr>
                </w:tbl>
                <w:p>
                  <w:pPr/>
                </w:p>
              </w:txbxContent>
            </v:textbox>
            <w10:wrap type="none"/>
          </v:shape>
        </w:pict>
      </w:r>
      <w:r>
        <w:rPr/>
        <w:t>）</w:t>
      </w:r>
    </w:p>
    <w:p>
      <w:pPr>
        <w:pStyle w:val="BodyText"/>
        <w:spacing w:line="240" w:lineRule="auto" w:before="76"/>
        <w:ind w:left="0" w:right="268"/>
        <w:jc w:val="right"/>
      </w:pPr>
      <w:r>
        <w:rPr/>
        <w:t>》</w:t>
      </w:r>
    </w:p>
    <w:p>
      <w:pPr>
        <w:spacing w:line="240" w:lineRule="auto" w:before="4"/>
        <w:rPr>
          <w:rFonts w:ascii="宋体" w:hAnsi="宋体" w:cs="宋体" w:eastAsia="宋体" w:hint="default"/>
          <w:sz w:val="28"/>
          <w:szCs w:val="28"/>
        </w:rPr>
      </w:pPr>
    </w:p>
    <w:p>
      <w:pPr>
        <w:pStyle w:val="Heading3"/>
        <w:spacing w:line="240" w:lineRule="auto" w:before="36"/>
        <w:ind w:right="8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李明高</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蔡华波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梁云凤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7114"/>
        <w:jc w:val="left"/>
      </w:pPr>
      <w:r>
        <w:rPr/>
        <w:t>连续两次未亲自出席董事会的说明 无</w:t>
      </w:r>
    </w:p>
    <w:p>
      <w:pPr>
        <w:spacing w:after="0" w:line="36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0" w:lineRule="auto" w:before="40"/>
        <w:ind w:right="19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日第三届董事会第十四次会议，独立董事对关于公司向关联方租赁闲置办公用房发表了独立意见并被公</w:t>
      </w:r>
      <w:r>
        <w:rPr/>
        <w:t> 司采纳。</w:t>
      </w:r>
    </w:p>
    <w:p>
      <w:pPr>
        <w:pStyle w:val="BodyText"/>
        <w:spacing w:line="304" w:lineRule="auto" w:before="72"/>
        <w:ind w:right="91"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日第三届董事会第十五次会议，独立董事对公司</w:t>
      </w:r>
      <w:r>
        <w:rPr>
          <w:rFonts w:ascii="Times New Roman" w:hAnsi="Times New Roman" w:cs="Times New Roman" w:eastAsia="Times New Roman" w:hint="default"/>
          <w:spacing w:val="-2"/>
        </w:rPr>
        <w:t>2016</w:t>
      </w:r>
      <w:r>
        <w:rPr>
          <w:spacing w:val="-2"/>
        </w:rPr>
        <w:t>年度关联交易事项、公司</w:t>
      </w:r>
      <w:r>
        <w:rPr>
          <w:rFonts w:ascii="Times New Roman" w:hAnsi="Times New Roman" w:cs="Times New Roman" w:eastAsia="Times New Roman" w:hint="default"/>
          <w:spacing w:val="-2"/>
        </w:rPr>
        <w:t>2016</w:t>
      </w:r>
      <w:r>
        <w:rPr>
          <w:spacing w:val="-2"/>
        </w:rPr>
        <w:t>年度控股股东及其他</w:t>
      </w:r>
      <w:r>
        <w:rPr/>
        <w:t> </w:t>
      </w:r>
      <w:r>
        <w:rPr>
          <w:spacing w:val="-3"/>
        </w:rPr>
        <w:t>关联方资金占用和对外担保情况、公司《</w:t>
      </w:r>
      <w:r>
        <w:rPr>
          <w:rFonts w:ascii="Times New Roman" w:hAnsi="Times New Roman" w:cs="Times New Roman" w:eastAsia="Times New Roman" w:hint="default"/>
          <w:spacing w:val="-3"/>
        </w:rPr>
        <w:t>2016</w:t>
      </w:r>
      <w:r>
        <w:rPr>
          <w:spacing w:val="-3"/>
        </w:rPr>
        <w:t>年度内部控制及其有效性认定的自我评价报告》、公司</w:t>
      </w:r>
      <w:r>
        <w:rPr>
          <w:rFonts w:ascii="Times New Roman" w:hAnsi="Times New Roman" w:cs="Times New Roman" w:eastAsia="Times New Roman" w:hint="default"/>
          <w:spacing w:val="-3"/>
        </w:rPr>
        <w:t>2016</w:t>
      </w:r>
      <w:r>
        <w:rPr>
          <w:spacing w:val="-3"/>
        </w:rPr>
        <w:t>年度利润分配预案、</w:t>
      </w:r>
      <w:r>
        <w:rPr/>
        <w:t> </w:t>
      </w:r>
      <w:r>
        <w:rPr>
          <w:spacing w:val="-2"/>
        </w:rPr>
        <w:t>公司续聘</w:t>
      </w:r>
      <w:r>
        <w:rPr>
          <w:rFonts w:ascii="Times New Roman" w:hAnsi="Times New Roman" w:cs="Times New Roman" w:eastAsia="Times New Roman" w:hint="default"/>
          <w:spacing w:val="-2"/>
        </w:rPr>
        <w:t>2017</w:t>
      </w:r>
      <w:r>
        <w:rPr>
          <w:spacing w:val="-2"/>
        </w:rPr>
        <w:t>年度审计机构、公司《</w:t>
      </w:r>
      <w:r>
        <w:rPr>
          <w:rFonts w:ascii="Times New Roman" w:hAnsi="Times New Roman" w:cs="Times New Roman" w:eastAsia="Times New Roman" w:hint="default"/>
          <w:spacing w:val="-2"/>
        </w:rPr>
        <w:t>2016</w:t>
      </w:r>
      <w:r>
        <w:rPr>
          <w:spacing w:val="-2"/>
        </w:rPr>
        <w:t>年度募集资金存放与使用情况的专项报告》、公司计提资产减值准备及核销资产事</w:t>
      </w:r>
      <w:r>
        <w:rPr>
          <w:spacing w:val="-58"/>
        </w:rPr>
        <w:t> </w:t>
      </w:r>
      <w:r>
        <w:rPr>
          <w:spacing w:val="-58"/>
        </w:rPr>
      </w:r>
      <w:r>
        <w:rPr>
          <w:spacing w:val="-2"/>
        </w:rPr>
        <w:t>项、关于募集资金投资项目延期事项、关于调整股票期权激励计划授予数量和授予对象人数并拟注销部分股票期权事项、关</w:t>
      </w:r>
      <w:r>
        <w:rPr>
          <w:spacing w:val="-63"/>
        </w:rPr>
        <w:t> </w:t>
      </w:r>
      <w:r>
        <w:rPr>
          <w:spacing w:val="-63"/>
        </w:rPr>
      </w:r>
      <w:r>
        <w:rPr/>
        <w:t>于公司股票期权激励计划首次授予股票期权第一个行权期可行权相关事项发表了独立意见并被公司采纳。</w:t>
      </w:r>
    </w:p>
    <w:p>
      <w:pPr>
        <w:pStyle w:val="BodyText"/>
        <w:spacing w:line="300" w:lineRule="auto" w:before="68"/>
        <w:ind w:right="19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日第三届董事会第十六次会议，独立董事对终止重大资产重组事项发表了事前认可意见和独立意见并被</w:t>
      </w:r>
      <w:r>
        <w:rPr/>
        <w:t> 公司采纳。</w:t>
      </w:r>
    </w:p>
    <w:p>
      <w:pPr>
        <w:pStyle w:val="BodyText"/>
        <w:spacing w:line="300" w:lineRule="auto" w:before="70"/>
        <w:ind w:right="192"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日第三届董事会第十七次会议，独立董事对关于推举梁云凤女士为公司第三届董事会独立董事候选人事</w:t>
      </w:r>
      <w:r>
        <w:rPr/>
        <w:t> 项发表了独立意见并被公司采纳。</w:t>
      </w:r>
    </w:p>
    <w:p>
      <w:pPr>
        <w:pStyle w:val="BodyText"/>
        <w:spacing w:line="300" w:lineRule="auto" w:before="72"/>
        <w:ind w:right="192"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日第三届董事会第十八次会议，独立董事对关于公司</w:t>
      </w:r>
      <w:r>
        <w:rPr>
          <w:rFonts w:ascii="Times New Roman" w:hAnsi="Times New Roman" w:cs="Times New Roman" w:eastAsia="Times New Roman" w:hint="default"/>
        </w:rPr>
        <w:t>2017</w:t>
      </w:r>
      <w:r>
        <w:rPr/>
        <w:t>年半年度关联交易事项、公司</w:t>
      </w:r>
      <w:r>
        <w:rPr>
          <w:rFonts w:ascii="Times New Roman" w:hAnsi="Times New Roman" w:cs="Times New Roman" w:eastAsia="Times New Roman" w:hint="default"/>
        </w:rPr>
        <w:t>2017</w:t>
      </w:r>
      <w:r>
        <w:rPr/>
        <w:t>年半年度控 </w:t>
      </w:r>
      <w:r>
        <w:rPr>
          <w:spacing w:val="-2"/>
        </w:rPr>
        <w:t>股股东暨其他关联方资金占用和对外担保情况、公司《</w:t>
      </w:r>
      <w:r>
        <w:rPr>
          <w:rFonts w:ascii="Times New Roman" w:hAnsi="Times New Roman" w:cs="Times New Roman" w:eastAsia="Times New Roman" w:hint="default"/>
          <w:spacing w:val="-2"/>
        </w:rPr>
        <w:t>2017</w:t>
      </w:r>
      <w:r>
        <w:rPr>
          <w:spacing w:val="-2"/>
        </w:rPr>
        <w:t>年半年度募集资金存放于使用情况的专项报告》、公司继续使用</w:t>
      </w:r>
      <w:r>
        <w:rPr>
          <w:spacing w:val="-62"/>
        </w:rPr>
        <w:t> </w:t>
      </w:r>
      <w:r>
        <w:rPr>
          <w:spacing w:val="-62"/>
        </w:rPr>
      </w:r>
      <w:r>
        <w:rPr/>
        <w:t>闲置自有资金购买低风险理财产品、会计政策变更事项发表了独立意见并被公司采纳。</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1" w:firstLine="360"/>
        <w:jc w:val="both"/>
      </w:pPr>
      <w:r>
        <w:rPr>
          <w:spacing w:val="-2"/>
        </w:rPr>
        <w:t>公司董事会下设三个专门委员会，分别为：审计委员会、提名与薪酬委员会、战略委员会。</w:t>
      </w:r>
      <w:r>
        <w:rPr>
          <w:rFonts w:ascii="Times New Roman" w:hAnsi="Times New Roman" w:cs="Times New Roman" w:eastAsia="Times New Roman" w:hint="default"/>
          <w:spacing w:val="-2"/>
        </w:rPr>
        <w:t>2017</w:t>
      </w:r>
      <w:r>
        <w:rPr>
          <w:spacing w:val="-2"/>
        </w:rPr>
        <w:t>年度，各专门委员会本</w:t>
      </w:r>
      <w:r>
        <w:rPr/>
        <w:t> </w:t>
      </w:r>
      <w:r>
        <w:rPr>
          <w:spacing w:val="-2"/>
        </w:rPr>
        <w:t>着勤勉尽责的原则，按照有关法律、法规、规范性文件及公司各专门委员会工作细则的规定开展相关工作。报告期内，各专</w:t>
      </w:r>
      <w:r>
        <w:rPr>
          <w:spacing w:val="-67"/>
        </w:rPr>
        <w:t> </w:t>
      </w:r>
      <w:r>
        <w:rPr>
          <w:spacing w:val="-67"/>
        </w:rPr>
      </w:r>
      <w:r>
        <w:rPr/>
        <w:t>门委员会履职情况如下：</w:t>
      </w:r>
    </w:p>
    <w:p>
      <w:pPr>
        <w:pStyle w:val="BodyText"/>
        <w:spacing w:line="340" w:lineRule="auto" w:before="62"/>
        <w:ind w:left="513" w:right="84"/>
        <w:jc w:val="left"/>
      </w:pPr>
      <w:r>
        <w:rPr>
          <w:rFonts w:ascii="Times New Roman" w:hAnsi="Times New Roman" w:cs="Times New Roman" w:eastAsia="Times New Roman" w:hint="default"/>
        </w:rPr>
        <w:t>1</w:t>
      </w:r>
      <w:r>
        <w:rPr/>
        <w:t>、审计委员会 </w:t>
      </w:r>
      <w:r>
        <w:rPr>
          <w:spacing w:val="-2"/>
        </w:rPr>
        <w:t>报告期内审计委员会严格按照相关法律法规及《公司章程》、《董事会审计委员会工作细则》的相关规定，认真履行职</w:t>
      </w:r>
    </w:p>
    <w:p>
      <w:pPr>
        <w:pStyle w:val="BodyText"/>
        <w:spacing w:line="309" w:lineRule="auto" w:before="1"/>
        <w:ind w:right="189"/>
        <w:jc w:val="both"/>
      </w:pPr>
      <w:r>
        <w:rPr>
          <w:spacing w:val="-2"/>
        </w:rPr>
        <w:t>责；</w:t>
      </w:r>
      <w:r>
        <w:rPr>
          <w:rFonts w:ascii="Times New Roman" w:hAnsi="Times New Roman" w:cs="Times New Roman" w:eastAsia="Times New Roman" w:hint="default"/>
          <w:spacing w:val="-2"/>
        </w:rPr>
        <w:t>2017</w:t>
      </w:r>
      <w:r>
        <w:rPr>
          <w:spacing w:val="-2"/>
        </w:rPr>
        <w:t>年度，审计委员会共召开四次会议，重点对公司定期财务报告、利润分配、内部控制、募集资金存放与使用等事项</w:t>
      </w:r>
      <w:r>
        <w:rPr>
          <w:spacing w:val="-64"/>
        </w:rPr>
        <w:t> </w:t>
      </w:r>
      <w:r>
        <w:rPr>
          <w:spacing w:val="-64"/>
        </w:rPr>
      </w:r>
      <w:r>
        <w:rPr>
          <w:spacing w:val="-2"/>
        </w:rPr>
        <w:t>进行审议，并对会计师事务所的年度审计工作进行了总结评价。审计委员会强化了公司董事会决策功能，确保董事会对高级</w:t>
      </w:r>
      <w:r>
        <w:rPr>
          <w:spacing w:val="-62"/>
        </w:rPr>
        <w:t> </w:t>
      </w:r>
      <w:r>
        <w:rPr>
          <w:spacing w:val="-62"/>
        </w:rPr>
      </w:r>
      <w:r>
        <w:rPr/>
        <w:t>管理人员的有效监督，进一步完善了公司的治理结构。</w:t>
      </w:r>
    </w:p>
    <w:p>
      <w:pPr>
        <w:pStyle w:val="BodyText"/>
        <w:spacing w:line="338" w:lineRule="auto" w:before="65"/>
        <w:ind w:left="513" w:right="84"/>
        <w:jc w:val="left"/>
      </w:pPr>
      <w:r>
        <w:rPr>
          <w:rFonts w:ascii="Times New Roman" w:hAnsi="Times New Roman" w:cs="Times New Roman" w:eastAsia="Times New Roman" w:hint="default"/>
        </w:rPr>
        <w:t>2</w:t>
      </w:r>
      <w:r>
        <w:rPr/>
        <w:t>、提名与薪酬委员会 </w:t>
      </w:r>
      <w:r>
        <w:rPr>
          <w:spacing w:val="-4"/>
        </w:rPr>
        <w:t>报告期内提名与薪酬委员会严格按照相关法律法规及《公司章程》、《董事会提名与薪酬委员会工作细则》的相关规定，</w:t>
      </w:r>
    </w:p>
    <w:p>
      <w:pPr>
        <w:pStyle w:val="BodyText"/>
        <w:spacing w:line="309" w:lineRule="auto" w:before="2"/>
        <w:ind w:right="193"/>
        <w:jc w:val="both"/>
      </w:pPr>
      <w:r>
        <w:rPr>
          <w:spacing w:val="-2"/>
        </w:rPr>
        <w:t>认真履行职责，</w:t>
      </w:r>
      <w:r>
        <w:rPr>
          <w:rFonts w:ascii="Times New Roman" w:hAnsi="Times New Roman" w:cs="Times New Roman" w:eastAsia="Times New Roman" w:hint="default"/>
          <w:spacing w:val="-2"/>
        </w:rPr>
        <w:t>2017</w:t>
      </w:r>
      <w:r>
        <w:rPr>
          <w:spacing w:val="-2"/>
        </w:rPr>
        <w:t>年度，提名与薪酬委员会共召开两次会议，对年度董事和高级管理人员的绩效考核、基薪方案、股票期</w:t>
      </w:r>
      <w:r>
        <w:rPr>
          <w:spacing w:val="-65"/>
        </w:rPr>
        <w:t> </w:t>
      </w:r>
      <w:r>
        <w:rPr>
          <w:spacing w:val="-65"/>
        </w:rPr>
      </w:r>
      <w:r>
        <w:rPr>
          <w:spacing w:val="-2"/>
        </w:rPr>
        <w:t>权激励计划首次授予股票期权第一个行权期激励对象绩效、推举梁云凤女士担任第三届董事会独立董事候选人进行审查并通</w:t>
      </w:r>
      <w:r>
        <w:rPr>
          <w:spacing w:val="-64"/>
        </w:rPr>
        <w:t> </w:t>
      </w:r>
      <w:r>
        <w:rPr>
          <w:spacing w:val="-64"/>
        </w:rPr>
      </w:r>
      <w:r>
        <w:rPr/>
        <w:t>过。</w:t>
      </w:r>
    </w:p>
    <w:p>
      <w:pPr>
        <w:pStyle w:val="BodyText"/>
        <w:spacing w:line="340" w:lineRule="auto" w:before="65"/>
        <w:ind w:left="513" w:right="84"/>
        <w:jc w:val="left"/>
      </w:pPr>
      <w:r>
        <w:rPr>
          <w:rFonts w:ascii="Times New Roman" w:hAnsi="Times New Roman" w:cs="Times New Roman" w:eastAsia="Times New Roman" w:hint="default"/>
        </w:rPr>
        <w:t>3</w:t>
      </w:r>
      <w:r>
        <w:rPr/>
        <w:t>、战略委员会 </w:t>
      </w:r>
      <w:r>
        <w:rPr>
          <w:spacing w:val="-2"/>
        </w:rPr>
        <w:t>报告期内战略委员会严格按照相关法律法规及《公司章程》、《董事会战略委员会工作细则》的相关规定，认真履行职</w:t>
      </w:r>
    </w:p>
    <w:p>
      <w:pPr>
        <w:spacing w:after="0" w:line="3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84"/>
        <w:jc w:val="left"/>
      </w:pPr>
      <w:r>
        <w:rPr>
          <w:spacing w:val="-4"/>
        </w:rPr>
        <w:t>责，</w:t>
      </w:r>
      <w:r>
        <w:rPr>
          <w:rFonts w:ascii="Times New Roman" w:hAnsi="Times New Roman" w:cs="Times New Roman" w:eastAsia="Times New Roman" w:hint="default"/>
          <w:spacing w:val="-4"/>
        </w:rPr>
        <w:t>2017</w:t>
      </w:r>
      <w:r>
        <w:rPr>
          <w:spacing w:val="-4"/>
        </w:rPr>
        <w:t>年度，战略委员会共召开一次会议，对公司</w:t>
      </w:r>
      <w:r>
        <w:rPr>
          <w:rFonts w:ascii="Times New Roman" w:hAnsi="Times New Roman" w:cs="Times New Roman" w:eastAsia="Times New Roman" w:hint="default"/>
          <w:spacing w:val="-4"/>
        </w:rPr>
        <w:t>2017</w:t>
      </w:r>
      <w:r>
        <w:rPr>
          <w:spacing w:val="-4"/>
        </w:rPr>
        <w:t>年发展战略进行整体规划，对公司所处行业和市场进行了规划研究，</w:t>
      </w:r>
      <w:r>
        <w:rPr>
          <w:spacing w:val="-33"/>
        </w:rPr>
        <w:t> </w:t>
      </w:r>
      <w:r>
        <w:rPr>
          <w:spacing w:val="-33"/>
        </w:rPr>
      </w:r>
      <w:r>
        <w:rPr/>
        <w:t>并结合公司的实际运营情况，提出合理性建议。</w:t>
      </w:r>
    </w:p>
    <w:p>
      <w:pPr>
        <w:spacing w:line="240" w:lineRule="auto" w:before="11"/>
        <w:rPr>
          <w:rFonts w:ascii="宋体" w:hAnsi="宋体" w:cs="宋体" w:eastAsia="宋体" w:hint="default"/>
          <w:sz w:val="21"/>
          <w:szCs w:val="21"/>
        </w:rPr>
      </w:pPr>
    </w:p>
    <w:p>
      <w:pPr>
        <w:pStyle w:val="Heading2"/>
        <w:spacing w:line="240" w:lineRule="auto"/>
        <w:ind w:right="8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4"/>
        <w:jc w:val="left"/>
      </w:pPr>
      <w:r>
        <w:rPr/>
        <w:t>监事会在报告期内的监督活动中发现公司是否存在风险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84"/>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90" w:firstLine="360"/>
        <w:jc w:val="both"/>
      </w:pPr>
      <w:r>
        <w:rPr>
          <w:spacing w:val="-2"/>
        </w:rPr>
        <w:t>公司高级管理人员薪酬根据公司《董事、监事、高级管理人员薪酬及绩效考核管理制度》确定，以公司经济效益及工作</w:t>
      </w:r>
      <w:r>
        <w:rPr/>
        <w:t> </w:t>
      </w:r>
      <w:r>
        <w:rPr>
          <w:spacing w:val="-2"/>
        </w:rPr>
        <w:t>目标为出发点，根据公司年度经营计划和人员分工职责，由董事会提名与薪酬委员会组织并考核。公司董事会提名与薪酬委</w:t>
      </w:r>
      <w:r>
        <w:rPr>
          <w:spacing w:val="-63"/>
        </w:rPr>
        <w:t> </w:t>
      </w:r>
      <w:r>
        <w:rPr>
          <w:spacing w:val="-63"/>
        </w:rPr>
      </w:r>
      <w:r>
        <w:rPr>
          <w:spacing w:val="-2"/>
        </w:rPr>
        <w:t>员会根据实际情况对公司高级管理人员进行考核后，一致认为：</w:t>
      </w:r>
      <w:r>
        <w:rPr>
          <w:rFonts w:ascii="Times New Roman" w:hAnsi="Times New Roman" w:cs="Times New Roman" w:eastAsia="Times New Roman" w:hint="default"/>
          <w:spacing w:val="-2"/>
        </w:rPr>
        <w:t>2017</w:t>
      </w:r>
      <w:r>
        <w:rPr>
          <w:spacing w:val="-2"/>
        </w:rPr>
        <w:t>年度公司高级管理人员薪酬方案严格执行了公司薪酬管</w:t>
      </w:r>
      <w:r>
        <w:rPr>
          <w:spacing w:val="-61"/>
        </w:rPr>
        <w:t> </w:t>
      </w:r>
      <w:r>
        <w:rPr>
          <w:spacing w:val="-61"/>
        </w:rPr>
      </w:r>
      <w:r>
        <w:rPr/>
        <w:t>理制度。</w:t>
      </w:r>
    </w:p>
    <w:p>
      <w:pPr>
        <w:spacing w:line="240" w:lineRule="auto" w:before="2"/>
        <w:rPr>
          <w:rFonts w:ascii="宋体" w:hAnsi="宋体" w:cs="宋体" w:eastAsia="宋体" w:hint="default"/>
          <w:sz w:val="21"/>
          <w:szCs w:val="21"/>
        </w:rPr>
      </w:pPr>
    </w:p>
    <w:p>
      <w:pPr>
        <w:pStyle w:val="Heading2"/>
        <w:spacing w:line="240" w:lineRule="auto"/>
        <w:ind w:right="8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before="44"/>
        <w:ind w:left="0" w:right="198"/>
        <w:jc w:val="right"/>
      </w:pPr>
      <w:r>
        <w:rPr/>
        <w:pict>
          <v:shape style="position:absolute;margin-left:56.400002pt;margin-top:-168.158295pt;width:479.3pt;height:310.8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9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7" w:lineRule="auto" w:before="49"/>
                          <w:ind w:left="29"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、重大缺陷：是指一个或多个控制缺陷的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组合，可能导致企业严重偏离控制目标。 </w:t>
                        </w:r>
                        <w:r>
                          <w:rPr>
                            <w:rFonts w:ascii="宋体" w:hAnsi="宋体" w:cs="宋体" w:eastAsia="宋体" w:hint="default"/>
                            <w:spacing w:val="-4"/>
                            <w:sz w:val="18"/>
                            <w:szCs w:val="18"/>
                          </w:rPr>
                          <w:t>具备以下特征，认定为重大缺陷：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报告内部控制环境无效；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事、高级管理人员存在舞弊行为；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会计师发现的却未被公司内部控制识别的 </w:t>
                        </w:r>
                        <w:r>
                          <w:rPr>
                            <w:rFonts w:ascii="宋体" w:hAnsi="宋体" w:cs="宋体" w:eastAsia="宋体" w:hint="default"/>
                            <w:spacing w:val="-4"/>
                            <w:sz w:val="18"/>
                            <w:szCs w:val="18"/>
                          </w:rPr>
                          <w:t>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会和内部审计机构对公司的对外财务报告 </w:t>
                        </w:r>
                        <w:r>
                          <w:rPr>
                            <w:rFonts w:ascii="宋体" w:hAnsi="宋体" w:cs="宋体" w:eastAsia="宋体" w:hint="default"/>
                            <w:spacing w:val="-4"/>
                            <w:sz w:val="18"/>
                            <w:szCs w:val="18"/>
                          </w:rPr>
                          <w:t>和财务报告内部控制监督无效。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陷：是指一个或多个控制缺陷的组合，其</w:t>
                        </w:r>
                      </w:p>
                    </w:tc>
                    <w:tc>
                      <w:tcPr>
                        <w:tcW w:w="3053" w:type="dxa"/>
                        <w:vMerge w:val="restart"/>
                        <w:tcBorders>
                          <w:top w:val="single" w:sz="4" w:space="0" w:color="000000"/>
                          <w:left w:val="single" w:sz="4" w:space="0" w:color="000000"/>
                          <w:right w:val="single" w:sz="4" w:space="0" w:color="000000"/>
                        </w:tcBorders>
                      </w:tcPr>
                      <w:p>
                        <w:pPr>
                          <w:pStyle w:val="TableParagraph"/>
                          <w:spacing w:line="307"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、出现以下情形的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通常应认定为重大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）公司经营活动违反国家法律</w:t>
                        </w:r>
                        <w:r>
                          <w:rPr>
                            <w:rFonts w:ascii="宋体" w:hAnsi="宋体" w:cs="宋体" w:eastAsia="宋体" w:hint="default"/>
                            <w:sz w:val="18"/>
                            <w:szCs w:val="18"/>
                          </w:rPr>
                          <w:t> </w:t>
                        </w:r>
                        <w:r>
                          <w:rPr>
                            <w:rFonts w:ascii="宋体" w:hAnsi="宋体" w:cs="宋体" w:eastAsia="宋体" w:hint="default"/>
                            <w:spacing w:val="-4"/>
                            <w:sz w:val="18"/>
                            <w:szCs w:val="18"/>
                          </w:rPr>
                          <w:t>法规，规导致相关部门的调查并吊销营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业执照或受到重大处罚；</w:t>
                        </w:r>
                        <w:r>
                          <w:rPr>
                            <w:rFonts w:ascii="Times New Roman" w:hAnsi="Times New Roman" w:cs="Times New Roman" w:eastAsia="Times New Roman" w:hint="default"/>
                            <w:sz w:val="18"/>
                            <w:szCs w:val="18"/>
                          </w:rPr>
                          <w:t>2</w:t>
                        </w:r>
                        <w:r>
                          <w:rPr>
                            <w:rFonts w:ascii="宋体" w:hAnsi="宋体" w:cs="宋体" w:eastAsia="宋体" w:hint="default"/>
                            <w:sz w:val="18"/>
                            <w:szCs w:val="18"/>
                          </w:rPr>
                          <w:t>）因公司重 要决策失误导致公司遭受的损失；</w:t>
                        </w:r>
                        <w:r>
                          <w:rPr>
                            <w:rFonts w:ascii="Times New Roman" w:hAnsi="Times New Roman" w:cs="Times New Roman" w:eastAsia="Times New Roman" w:hint="default"/>
                            <w:sz w:val="18"/>
                            <w:szCs w:val="18"/>
                          </w:rPr>
                          <w:t>3</w:t>
                        </w:r>
                        <w:r>
                          <w:rPr>
                            <w:rFonts w:ascii="宋体" w:hAnsi="宋体" w:cs="宋体" w:eastAsia="宋体" w:hint="default"/>
                            <w:sz w:val="18"/>
                            <w:szCs w:val="18"/>
                          </w:rPr>
                          <w:t>） 重要岗位管理人员或核心人员流失严 重影响公司生产、经营的；</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 务缺乏制度控制或制度系统失效；</w:t>
                        </w:r>
                        <w:r>
                          <w:rPr>
                            <w:rFonts w:ascii="Times New Roman" w:hAnsi="Times New Roman" w:cs="Times New Roman" w:eastAsia="Times New Roman" w:hint="default"/>
                            <w:sz w:val="18"/>
                            <w:szCs w:val="18"/>
                          </w:rPr>
                          <w:t>5</w:t>
                        </w:r>
                        <w:r>
                          <w:rPr>
                            <w:rFonts w:ascii="宋体" w:hAnsi="宋体" w:cs="宋体" w:eastAsia="宋体" w:hint="default"/>
                            <w:sz w:val="18"/>
                            <w:szCs w:val="18"/>
                          </w:rPr>
                          <w:t>） 内部控制评价的结果是重大缺陷但未 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）公司遭受证监会处罚或</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39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2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严重程度和经济后果低于重大缺陷但仍有</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受到深交所公开谴责。</w:t>
            </w:r>
            <w:r>
              <w:rPr>
                <w:rFonts w:ascii="Times New Roman" w:hAnsi="Times New Roman" w:cs="Times New Roman" w:eastAsia="Times New Roman" w:hint="default"/>
                <w:sz w:val="18"/>
                <w:szCs w:val="18"/>
              </w:rPr>
              <w:t>2</w:t>
            </w:r>
            <w:r>
              <w:rPr>
                <w:rFonts w:ascii="宋体" w:hAnsi="宋体" w:cs="宋体" w:eastAsia="宋体" w:hint="default"/>
                <w:sz w:val="18"/>
                <w:szCs w:val="18"/>
              </w:rPr>
              <w:t>、不构成重大</w:t>
            </w: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可能导致企业偏离控制目标。具有以下特</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缺陷的非财务报告内部控制缺陷认定</w:t>
            </w: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征的缺陷或情形</w:t>
            </w:r>
            <w:r>
              <w:rPr>
                <w:rFonts w:ascii="Times New Roman" w:hAnsi="Times New Roman" w:cs="Times New Roman" w:eastAsia="Times New Roman" w:hint="default"/>
                <w:sz w:val="18"/>
                <w:szCs w:val="18"/>
              </w:rPr>
              <w:t>,</w:t>
            </w:r>
            <w:r>
              <w:rPr>
                <w:rFonts w:ascii="宋体" w:hAnsi="宋体" w:cs="宋体" w:eastAsia="宋体" w:hint="default"/>
                <w:sz w:val="18"/>
                <w:szCs w:val="18"/>
              </w:rPr>
              <w:t>通常应认定为重要缺</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为非重大缺陷或一般缺陷。</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陷</w:t>
            </w:r>
            <w:r>
              <w:rPr>
                <w:rFonts w:ascii="Times New Roman" w:hAnsi="Times New Roman" w:cs="Times New Roman" w:eastAsia="Times New Roman" w:hint="default"/>
                <w:sz w:val="18"/>
                <w:szCs w:val="18"/>
              </w:rPr>
              <w:t>:1</w:t>
            </w:r>
            <w:r>
              <w:rPr>
                <w:rFonts w:ascii="宋体" w:hAnsi="宋体" w:cs="宋体" w:eastAsia="宋体" w:hint="default"/>
                <w:sz w:val="18"/>
                <w:szCs w:val="18"/>
              </w:rPr>
              <w:t>）未按照公认的会计准则选择和应用</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没有建立相应的控制机制或没有实施且没</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告过程的控制存在一项或多项缺陷且不能</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合理保证编制的财务报表达到真实、完整</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、除上述重大缺陷和重要缺陷之</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外的控制缺陷被认定为一般缺陷。</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w:t>
            </w:r>
          </w:p>
        </w:tc>
        <w:tc>
          <w:tcPr>
            <w:tcW w:w="305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。重要缺陷：资产</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重大缺陷：资产总额的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以上。重要</w:t>
            </w:r>
          </w:p>
        </w:tc>
      </w:tr>
      <w:tr>
        <w:trPr>
          <w:trHeight w:val="62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96"/>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 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错报金额＜营业收入的</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6" w:right="19"/>
              <w:jc w:val="left"/>
              <w:rPr>
                <w:rFonts w:ascii="宋体" w:hAnsi="宋体" w:cs="宋体" w:eastAsia="宋体" w:hint="default"/>
                <w:sz w:val="18"/>
                <w:szCs w:val="18"/>
              </w:rPr>
            </w:pPr>
            <w:r>
              <w:rPr>
                <w:rFonts w:ascii="宋体" w:hAnsi="宋体" w:cs="宋体" w:eastAsia="宋体" w:hint="default"/>
                <w:spacing w:val="-12"/>
                <w:sz w:val="18"/>
                <w:szCs w:val="18"/>
              </w:rPr>
              <w:t>缺陷：资产总额的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直接财产损失＜</w:t>
            </w:r>
            <w:r>
              <w:rPr>
                <w:rFonts w:ascii="宋体" w:hAnsi="宋体" w:cs="宋体" w:eastAsia="宋体" w:hint="default"/>
                <w:spacing w:val="-87"/>
                <w:w w:val="100"/>
                <w:sz w:val="18"/>
                <w:szCs w:val="18"/>
              </w:rPr>
              <w: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。一般缺陷：直接财产</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。一般缺陷：错报金额＜资产总额的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损失＜资产总额的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3"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或错报金额＜营业收入的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6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 大方面保持了与财务报表相关的有效的内部控制。</w:t>
            </w:r>
          </w:p>
          <w:p>
            <w:pPr>
              <w:pStyle w:val="TableParagraph"/>
              <w:spacing w:line="240" w:lineRule="auto" w:before="72"/>
              <w:ind w:left="384"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3"/>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5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2"/>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京会兴审字第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01000005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傅映红、时彦禄</w:t>
            </w:r>
          </w:p>
        </w:tc>
      </w:tr>
    </w:tbl>
    <w:p>
      <w:pPr>
        <w:pStyle w:val="BodyText"/>
        <w:spacing w:line="240" w:lineRule="auto" w:before="49"/>
        <w:ind w:left="2421" w:right="2421"/>
        <w:jc w:val="center"/>
      </w:pPr>
      <w:r>
        <w:rPr/>
        <w:t>审计报告正文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4"/>
        <w:spacing w:line="360" w:lineRule="auto"/>
        <w:ind w:right="0"/>
        <w:jc w:val="left"/>
        <w:rPr>
          <w:b w:val="0"/>
          <w:bCs w:val="0"/>
        </w:rPr>
      </w:pPr>
      <w:r>
        <w:rPr>
          <w:w w:val="95"/>
        </w:rPr>
        <w:t>北京君正集成电路股份有限公司全体股东：</w:t>
      </w:r>
      <w:r>
        <w:rPr>
          <w:spacing w:val="84"/>
          <w:w w:val="95"/>
        </w:rPr>
        <w:t> </w:t>
      </w:r>
      <w:r>
        <w:rPr>
          <w:spacing w:val="84"/>
          <w:w w:val="95"/>
        </w:rPr>
      </w:r>
      <w:r>
        <w:rPr/>
        <w:t>一、审计意见</w:t>
      </w:r>
      <w:r>
        <w:rPr>
          <w:b w:val="0"/>
          <w:bCs w:val="0"/>
        </w:rPr>
      </w:r>
    </w:p>
    <w:p>
      <w:pPr>
        <w:spacing w:line="240" w:lineRule="auto" w:before="10"/>
        <w:rPr>
          <w:rFonts w:ascii="宋体" w:hAnsi="宋体" w:cs="宋体" w:eastAsia="宋体" w:hint="default"/>
          <w:b/>
          <w:bCs/>
          <w:sz w:val="15"/>
          <w:szCs w:val="15"/>
        </w:rPr>
      </w:pPr>
      <w:r>
        <w:rPr/>
        <w:br w:type="column"/>
      </w:r>
      <w:r>
        <w:rPr>
          <w:rFonts w:ascii="宋体"/>
          <w:b/>
          <w:sz w:val="15"/>
        </w:rPr>
      </w:r>
    </w:p>
    <w:p>
      <w:pPr>
        <w:pStyle w:val="Heading4"/>
        <w:spacing w:line="240" w:lineRule="auto"/>
        <w:ind w:right="0"/>
        <w:jc w:val="left"/>
        <w:rPr>
          <w:b w:val="0"/>
          <w:bCs w:val="0"/>
        </w:rPr>
      </w:pPr>
      <w:r>
        <w:rPr/>
        <w:t>（</w:t>
      </w:r>
      <w:r>
        <w:rPr>
          <w:rFonts w:ascii="Times New Roman" w:hAnsi="Times New Roman" w:cs="Times New Roman" w:eastAsia="Times New Roman" w:hint="default"/>
        </w:rPr>
        <w:t>2018</w:t>
      </w:r>
      <w:r>
        <w:rPr/>
        <w:t>）京会兴审字第</w:t>
      </w:r>
      <w:r>
        <w:rPr>
          <w:spacing w:val="-48"/>
        </w:rPr>
        <w:t> </w:t>
      </w:r>
      <w:r>
        <w:rPr>
          <w:rFonts w:ascii="Times New Roman" w:hAnsi="Times New Roman" w:cs="Times New Roman" w:eastAsia="Times New Roman" w:hint="default"/>
        </w:rPr>
        <w:t>01000005</w:t>
      </w:r>
      <w:r>
        <w:rPr>
          <w:rFonts w:ascii="Times New Roman" w:hAnsi="Times New Roman" w:cs="Times New Roman" w:eastAsia="Times New Roman" w:hint="default"/>
          <w:spacing w:val="-5"/>
        </w:rPr>
        <w:t> </w:t>
      </w:r>
      <w:r>
        <w:rPr/>
        <w:t>号</w:t>
      </w:r>
      <w:r>
        <w:rPr>
          <w:b w:val="0"/>
          <w:bCs w:val="0"/>
        </w:rPr>
      </w:r>
    </w:p>
    <w:p>
      <w:pPr>
        <w:spacing w:after="0" w:line="240" w:lineRule="auto"/>
        <w:jc w:val="left"/>
        <w:sectPr>
          <w:type w:val="continuous"/>
          <w:pgSz w:w="11910" w:h="16840"/>
          <w:pgMar w:top="1060" w:bottom="1160" w:left="980" w:right="980"/>
          <w:cols w:num="2" w:equalWidth="0">
            <w:col w:w="3947" w:space="1197"/>
            <w:col w:w="4806"/>
          </w:cols>
        </w:sectPr>
      </w:pPr>
    </w:p>
    <w:p>
      <w:pPr>
        <w:pStyle w:val="BodyText"/>
        <w:spacing w:line="309" w:lineRule="auto" w:before="27"/>
        <w:ind w:right="149" w:firstLine="360"/>
        <w:jc w:val="both"/>
      </w:pPr>
      <w:r>
        <w:rPr>
          <w:spacing w:val="-6"/>
        </w:rPr>
        <w:t>我们审计了北京君正集成电路股份有限公司（以下简称“北京君正”）合并及母公司财务报表（以下简称财务报表），包</w:t>
      </w:r>
      <w:r>
        <w:rPr/>
        <w:t> 括</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年度的合并及母公司利润表、合并及母公司现金流量表、合并及母 公司所有者权益变动表以及相关财务报表附注。</w:t>
      </w:r>
    </w:p>
    <w:p>
      <w:pPr>
        <w:pStyle w:val="BodyText"/>
        <w:spacing w:line="240" w:lineRule="auto" w:before="62"/>
        <w:ind w:left="513" w:right="0"/>
        <w:jc w:val="left"/>
      </w:pPr>
      <w:r>
        <w:rPr/>
        <w:t>我们认为，后附的财务报表在所有重大方面按照企业会计准则的规定编制，公允反映了北京君正</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p>
    <w:p>
      <w:pPr>
        <w:spacing w:line="340" w:lineRule="auto" w:before="63"/>
        <w:ind w:left="513" w:right="3745" w:hanging="361"/>
        <w:jc w:val="left"/>
        <w:rPr>
          <w:rFonts w:ascii="宋体" w:hAnsi="宋体" w:cs="宋体" w:eastAsia="宋体" w:hint="default"/>
          <w:sz w:val="18"/>
          <w:szCs w:val="18"/>
        </w:rPr>
      </w:pPr>
      <w:r>
        <w:rPr>
          <w:rFonts w:ascii="宋体" w:hAnsi="宋体" w:cs="宋体" w:eastAsia="宋体" w:hint="default"/>
          <w:sz w:val="18"/>
          <w:szCs w:val="18"/>
        </w:rPr>
        <w:t>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6" w:lineRule="auto" w:before="41"/>
        <w:ind w:right="150"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步阐述了我们在这些准则下的责任。按照中国注册会计师职业道德守则，我们独立于北京君正，并履行了职业道德方面的其</w:t>
      </w:r>
      <w:r>
        <w:rPr>
          <w:spacing w:val="-63"/>
        </w:rPr>
        <w:t> </w:t>
      </w:r>
      <w:r>
        <w:rPr>
          <w:spacing w:val="-63"/>
        </w:rPr>
      </w:r>
      <w:r>
        <w:rPr/>
        <w:t>他责任。我们相信，我们获取的审计证据是充分、适当的，为发表审计意见提供了基础。</w:t>
      </w:r>
    </w:p>
    <w:p>
      <w:pPr>
        <w:pStyle w:val="BodyText"/>
        <w:spacing w:line="360" w:lineRule="auto" w:before="57"/>
        <w:ind w:left="513"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2" w:lineRule="exact"/>
        <w:ind w:right="153"/>
        <w:jc w:val="left"/>
      </w:pPr>
      <w:r>
        <w:rPr/>
        <w:t>审计并形成审计意见为背景，我们不对这些事项单独发表意见。</w:t>
      </w:r>
    </w:p>
    <w:p>
      <w:pPr>
        <w:pStyle w:val="BodyText"/>
        <w:spacing w:line="240" w:lineRule="auto" w:before="117"/>
        <w:ind w:left="513" w:right="153"/>
        <w:jc w:val="left"/>
      </w:pPr>
      <w:r>
        <w:rPr/>
        <w:t>我们在本期财务报表审计中识别出的关键审计事项如下：</w:t>
      </w:r>
    </w:p>
    <w:p>
      <w:pPr>
        <w:spacing w:line="240" w:lineRule="auto" w:before="2"/>
        <w:rPr>
          <w:rFonts w:ascii="宋体" w:hAnsi="宋体" w:cs="宋体" w:eastAsia="宋体" w:hint="default"/>
          <w:sz w:val="8"/>
          <w:szCs w:val="8"/>
        </w:rPr>
      </w:pPr>
    </w:p>
    <w:tbl>
      <w:tblPr>
        <w:tblW w:w="0" w:type="auto"/>
        <w:jc w:val="left"/>
        <w:tblInd w:w="707" w:type="dxa"/>
        <w:tblLayout w:type="fixed"/>
        <w:tblCellMar>
          <w:top w:w="0" w:type="dxa"/>
          <w:left w:w="0" w:type="dxa"/>
          <w:bottom w:w="0" w:type="dxa"/>
          <w:right w:w="0" w:type="dxa"/>
        </w:tblCellMar>
        <w:tblLook w:val="01E0"/>
      </w:tblPr>
      <w:tblGrid>
        <w:gridCol w:w="3553"/>
        <w:gridCol w:w="4969"/>
      </w:tblGrid>
      <w:tr>
        <w:trPr>
          <w:trHeight w:val="578" w:hRule="exact"/>
        </w:trPr>
        <w:tc>
          <w:tcPr>
            <w:tcW w:w="8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、收入确认</w:t>
            </w:r>
          </w:p>
        </w:tc>
      </w:tr>
      <w:tr>
        <w:trPr>
          <w:trHeight w:val="577" w:hRule="exact"/>
        </w:trPr>
        <w:tc>
          <w:tcPr>
            <w:tcW w:w="8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参阅财务报表附注六、（二十七）所述。</w:t>
            </w:r>
          </w:p>
        </w:tc>
      </w:tr>
      <w:tr>
        <w:trPr>
          <w:trHeight w:val="578"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19" w:hRule="exact"/>
        </w:trPr>
        <w:tc>
          <w:tcPr>
            <w:tcW w:w="35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北京君</w:t>
            </w:r>
            <w:r>
              <w:rPr>
                <w:rFonts w:ascii="宋体" w:hAnsi="宋体" w:cs="宋体" w:eastAsia="宋体" w:hint="default"/>
                <w:spacing w:val="-1"/>
                <w:sz w:val="18"/>
                <w:szCs w:val="18"/>
              </w:rPr>
              <w:t>正</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年营业收入</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主</w:t>
            </w:r>
          </w:p>
        </w:tc>
        <w:tc>
          <w:tcPr>
            <w:tcW w:w="4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对于收入的确认，我们执行的主要审计程序包括：</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要系芯片销售收入</w:t>
            </w:r>
            <w:r>
              <w:rPr>
                <w:rFonts w:ascii="宋体" w:hAnsi="宋体" w:cs="宋体" w:eastAsia="宋体" w:hint="default"/>
                <w:spacing w:val="-85"/>
                <w:sz w:val="18"/>
                <w:szCs w:val="18"/>
              </w:rPr>
              <w:t>。</w:t>
            </w:r>
            <w:r>
              <w:rPr>
                <w:rFonts w:ascii="宋体" w:hAnsi="宋体" w:cs="宋体" w:eastAsia="宋体" w:hint="default"/>
                <w:sz w:val="18"/>
                <w:szCs w:val="18"/>
              </w:rPr>
              <w:t>北京君正对于国内销售</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pacing w:val="4"/>
                <w:sz w:val="18"/>
                <w:szCs w:val="18"/>
              </w:rPr>
              <w:t>了解和评价管理层与收入确认的关键内部控制的设计和</w:t>
            </w:r>
            <w:r>
              <w:rPr>
                <w:rFonts w:ascii="宋体" w:hAnsi="宋体" w:cs="宋体" w:eastAsia="宋体" w:hint="default"/>
                <w:sz w:val="18"/>
                <w:szCs w:val="18"/>
              </w:rPr>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的芯片产生的收入是在商品所有权上的风</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运行有效性；</w:t>
            </w:r>
          </w:p>
        </w:tc>
      </w:tr>
      <w:tr>
        <w:trPr>
          <w:trHeight w:val="31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险和报酬已转移至客户时确认的</w:t>
            </w:r>
            <w:r>
              <w:rPr>
                <w:rFonts w:ascii="宋体" w:hAnsi="宋体" w:cs="宋体" w:eastAsia="宋体" w:hint="default"/>
                <w:spacing w:val="-85"/>
                <w:sz w:val="18"/>
                <w:szCs w:val="18"/>
              </w:rPr>
              <w:t>，</w:t>
            </w:r>
            <w:r>
              <w:rPr>
                <w:rFonts w:ascii="宋体" w:hAnsi="宋体" w:cs="宋体" w:eastAsia="宋体" w:hint="default"/>
                <w:sz w:val="18"/>
                <w:szCs w:val="18"/>
              </w:rPr>
              <w:t>根据销售</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选取样本检查销售合同，识别与商品所有权上的风险和报</w:t>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合同约定，通常以芯片发出后取得客户签</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酬转移相关的合同条款与条件；</w:t>
            </w:r>
          </w:p>
        </w:tc>
      </w:tr>
      <w:tr>
        <w:trPr>
          <w:trHeight w:val="319" w:hRule="exact"/>
        </w:trPr>
        <w:tc>
          <w:tcPr>
            <w:tcW w:w="3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收、验收资料时确认收入。由于收入是北京</w:t>
            </w:r>
          </w:p>
        </w:tc>
        <w:tc>
          <w:tcPr>
            <w:tcW w:w="4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对本年记录的收入交易选取样本</w:t>
            </w:r>
            <w:r>
              <w:rPr>
                <w:rFonts w:ascii="宋体" w:hAnsi="宋体" w:cs="宋体" w:eastAsia="宋体" w:hint="default"/>
                <w:spacing w:val="-77"/>
                <w:sz w:val="18"/>
                <w:szCs w:val="18"/>
              </w:rPr>
              <w:t>，</w:t>
            </w:r>
            <w:r>
              <w:rPr>
                <w:rFonts w:ascii="宋体" w:hAnsi="宋体" w:cs="宋体" w:eastAsia="宋体" w:hint="default"/>
                <w:sz w:val="18"/>
                <w:szCs w:val="18"/>
              </w:rPr>
              <w:t>核对销售合同</w:t>
            </w:r>
            <w:r>
              <w:rPr>
                <w:rFonts w:ascii="宋体" w:hAnsi="宋体" w:cs="宋体" w:eastAsia="宋体" w:hint="default"/>
                <w:spacing w:val="-77"/>
                <w:sz w:val="18"/>
                <w:szCs w:val="18"/>
              </w:rPr>
              <w:t>、</w:t>
            </w:r>
            <w:r>
              <w:rPr>
                <w:rFonts w:ascii="宋体" w:hAnsi="宋体" w:cs="宋体" w:eastAsia="宋体" w:hint="default"/>
                <w:sz w:val="18"/>
                <w:szCs w:val="18"/>
              </w:rPr>
              <w:t>出库单、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707" w:type="dxa"/>
        <w:tblLayout w:type="fixed"/>
        <w:tblCellMar>
          <w:top w:w="0" w:type="dxa"/>
          <w:left w:w="0" w:type="dxa"/>
          <w:bottom w:w="0" w:type="dxa"/>
          <w:right w:w="0" w:type="dxa"/>
        </w:tblCellMar>
        <w:tblLook w:val="01E0"/>
      </w:tblPr>
      <w:tblGrid>
        <w:gridCol w:w="3553"/>
        <w:gridCol w:w="4969"/>
      </w:tblGrid>
      <w:tr>
        <w:trPr>
          <w:trHeight w:val="315" w:hRule="exact"/>
        </w:trPr>
        <w:tc>
          <w:tcPr>
            <w:tcW w:w="35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君正的关键业绩指标之一</w:t>
            </w:r>
            <w:r>
              <w:rPr>
                <w:rFonts w:ascii="宋体" w:hAnsi="宋体" w:cs="宋体" w:eastAsia="宋体" w:hint="default"/>
                <w:spacing w:val="-85"/>
                <w:sz w:val="18"/>
                <w:szCs w:val="18"/>
              </w:rPr>
              <w:t>，</w:t>
            </w:r>
            <w:r>
              <w:rPr>
                <w:rFonts w:ascii="宋体" w:hAnsi="宋体" w:cs="宋体" w:eastAsia="宋体" w:hint="default"/>
                <w:sz w:val="18"/>
                <w:szCs w:val="18"/>
              </w:rPr>
              <w:t>且对利润影响重</w:t>
            </w:r>
          </w:p>
        </w:tc>
        <w:tc>
          <w:tcPr>
            <w:tcW w:w="4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发票、客户签收单等；</w:t>
            </w:r>
          </w:p>
        </w:tc>
      </w:tr>
      <w:tr>
        <w:trPr>
          <w:trHeight w:val="31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85"/>
                <w:sz w:val="18"/>
                <w:szCs w:val="18"/>
              </w:rPr>
              <w:t>，</w:t>
            </w:r>
            <w:r>
              <w:rPr>
                <w:rFonts w:ascii="宋体" w:hAnsi="宋体" w:cs="宋体" w:eastAsia="宋体" w:hint="default"/>
                <w:sz w:val="18"/>
                <w:szCs w:val="18"/>
              </w:rPr>
              <w:t>从而存在管理层为达到特定目标或期望</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pacing w:val="-3"/>
                <w:sz w:val="18"/>
                <w:szCs w:val="18"/>
              </w:rPr>
              <w:t>对资产负债表日前后记录的收入交易，选取样本，核对出</w:t>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而操纵收入确认时点的固有风险</w:t>
            </w:r>
            <w:r>
              <w:rPr>
                <w:rFonts w:ascii="宋体" w:hAnsi="宋体" w:cs="宋体" w:eastAsia="宋体" w:hint="default"/>
                <w:spacing w:val="-85"/>
                <w:sz w:val="18"/>
                <w:szCs w:val="18"/>
              </w:rPr>
              <w:t>，</w:t>
            </w:r>
            <w:r>
              <w:rPr>
                <w:rFonts w:ascii="宋体" w:hAnsi="宋体" w:cs="宋体" w:eastAsia="宋体" w:hint="default"/>
                <w:sz w:val="18"/>
                <w:szCs w:val="18"/>
              </w:rPr>
              <w:t>因此我们</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库单、发票、客户签收单等支持性文件；</w:t>
            </w:r>
          </w:p>
        </w:tc>
      </w:tr>
      <w:tr>
        <w:trPr>
          <w:trHeight w:val="31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sz w:val="18"/>
                <w:szCs w:val="18"/>
              </w:rPr>
              <w:t>将北京君正收入确认作为关键审计事项。</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将各类别收入本期毛利率与上期进行比较，分析变动是否</w:t>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异常；</w:t>
            </w:r>
          </w:p>
        </w:tc>
      </w:tr>
      <w:tr>
        <w:trPr>
          <w:trHeight w:val="317" w:hRule="exact"/>
        </w:trPr>
        <w:tc>
          <w:tcPr>
            <w:tcW w:w="3553" w:type="dxa"/>
            <w:tcBorders>
              <w:top w:val="nil" w:sz="6" w:space="0" w:color="auto"/>
              <w:left w:val="single" w:sz="4" w:space="0" w:color="000000"/>
              <w:bottom w:val="nil" w:sz="6" w:space="0" w:color="auto"/>
              <w:right w:val="single" w:sz="4" w:space="0" w:color="000000"/>
            </w:tcBorders>
          </w:tcPr>
          <w:p>
            <w:pP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将本期的营业收入与上期的营业收入进行比较，分析产品</w:t>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销售的结构和价格变动是否异常；</w:t>
            </w:r>
          </w:p>
        </w:tc>
      </w:tr>
      <w:tr>
        <w:trPr>
          <w:trHeight w:val="317" w:hRule="exact"/>
        </w:trPr>
        <w:tc>
          <w:tcPr>
            <w:tcW w:w="3553" w:type="dxa"/>
            <w:tcBorders>
              <w:top w:val="nil" w:sz="6" w:space="0" w:color="auto"/>
              <w:left w:val="single" w:sz="4" w:space="0" w:color="000000"/>
              <w:bottom w:val="nil" w:sz="6" w:space="0" w:color="auto"/>
              <w:right w:val="single" w:sz="4" w:space="0" w:color="000000"/>
            </w:tcBorders>
          </w:tcPr>
          <w:p>
            <w:pP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对本期主要客户交易进行函证；</w:t>
            </w:r>
          </w:p>
        </w:tc>
      </w:tr>
      <w:tr>
        <w:trPr>
          <w:trHeight w:val="314" w:hRule="exact"/>
        </w:trPr>
        <w:tc>
          <w:tcPr>
            <w:tcW w:w="3553" w:type="dxa"/>
            <w:tcBorders>
              <w:top w:val="nil" w:sz="6" w:space="0" w:color="auto"/>
              <w:left w:val="single" w:sz="4" w:space="0" w:color="000000"/>
              <w:bottom w:val="single" w:sz="4" w:space="0" w:color="000000"/>
              <w:right w:val="single" w:sz="4" w:space="0" w:color="000000"/>
            </w:tcBorders>
          </w:tcPr>
          <w:p>
            <w:pPr/>
          </w:p>
        </w:tc>
        <w:tc>
          <w:tcPr>
            <w:tcW w:w="4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结合应收账款的审计，检查收入对应应收账款的收回。</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tbl>
      <w:tblPr>
        <w:tblW w:w="0" w:type="auto"/>
        <w:jc w:val="left"/>
        <w:tblInd w:w="707" w:type="dxa"/>
        <w:tblLayout w:type="fixed"/>
        <w:tblCellMar>
          <w:top w:w="0" w:type="dxa"/>
          <w:left w:w="0" w:type="dxa"/>
          <w:bottom w:w="0" w:type="dxa"/>
          <w:right w:w="0" w:type="dxa"/>
        </w:tblCellMar>
        <w:tblLook w:val="01E0"/>
      </w:tblPr>
      <w:tblGrid>
        <w:gridCol w:w="3553"/>
        <w:gridCol w:w="4969"/>
      </w:tblGrid>
      <w:tr>
        <w:trPr>
          <w:trHeight w:val="577" w:hRule="exact"/>
        </w:trPr>
        <w:tc>
          <w:tcPr>
            <w:tcW w:w="8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、存货跌价准备计提的合理性</w:t>
            </w:r>
          </w:p>
        </w:tc>
      </w:tr>
      <w:tr>
        <w:trPr>
          <w:trHeight w:val="578" w:hRule="exact"/>
        </w:trPr>
        <w:tc>
          <w:tcPr>
            <w:tcW w:w="8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参阅财务报表附注六、（五）所述。</w:t>
            </w:r>
          </w:p>
        </w:tc>
      </w:tr>
      <w:tr>
        <w:trPr>
          <w:trHeight w:val="576"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审计中的应对</w:t>
            </w:r>
          </w:p>
        </w:tc>
      </w:tr>
      <w:tr>
        <w:trPr>
          <w:trHeight w:val="319" w:hRule="exact"/>
        </w:trPr>
        <w:tc>
          <w:tcPr>
            <w:tcW w:w="35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年</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月</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合并财</w:t>
            </w:r>
            <w:r>
              <w:rPr>
                <w:rFonts w:ascii="宋体" w:hAnsi="宋体" w:cs="宋体" w:eastAsia="宋体" w:hint="default"/>
                <w:spacing w:val="-3"/>
                <w:sz w:val="18"/>
                <w:szCs w:val="18"/>
              </w:rPr>
              <w:t>务</w:t>
            </w:r>
            <w:r>
              <w:rPr>
                <w:rFonts w:ascii="宋体" w:hAnsi="宋体" w:cs="宋体" w:eastAsia="宋体" w:hint="default"/>
                <w:sz w:val="18"/>
                <w:szCs w:val="18"/>
              </w:rPr>
              <w:t>报表中存货</w:t>
            </w:r>
          </w:p>
        </w:tc>
        <w:tc>
          <w:tcPr>
            <w:tcW w:w="49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对于存货跌价准备计提的合理性，我们执行的主要审计程序</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pacing w:val="-1"/>
                <w:sz w:val="18"/>
                <w:szCs w:val="18"/>
              </w:rPr>
              <w:t>为</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存</w:t>
            </w:r>
            <w:r>
              <w:rPr>
                <w:rFonts w:ascii="宋体" w:hAnsi="宋体" w:cs="宋体" w:eastAsia="宋体" w:hint="default"/>
                <w:spacing w:val="-3"/>
                <w:sz w:val="18"/>
                <w:szCs w:val="18"/>
              </w:rPr>
              <w:t>货</w:t>
            </w:r>
            <w:r>
              <w:rPr>
                <w:rFonts w:ascii="宋体" w:hAnsi="宋体" w:cs="宋体" w:eastAsia="宋体" w:hint="default"/>
                <w:sz w:val="18"/>
                <w:szCs w:val="18"/>
              </w:rPr>
              <w:t>跌价准备余</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包括：</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Times New Roman" w:hAnsi="Times New Roman" w:cs="Times New Roman" w:eastAsia="Times New Roman" w:hint="default"/>
                <w:sz w:val="18"/>
                <w:szCs w:val="18"/>
              </w:rPr>
              <w:t>1,474.17</w:t>
            </w:r>
            <w:r>
              <w:rPr>
                <w:rFonts w:ascii="宋体" w:hAnsi="宋体" w:cs="宋体" w:eastAsia="宋体" w:hint="default"/>
                <w:sz w:val="18"/>
                <w:szCs w:val="18"/>
              </w:rPr>
              <w:t>万元。于资产负债表日，存货</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、了解、评价并测试计提存货跌价准备相关内部控制的设计</w:t>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按照成本与可变现净值孰低计量</w:t>
            </w:r>
            <w:r>
              <w:rPr>
                <w:rFonts w:ascii="宋体" w:hAnsi="宋体" w:cs="宋体" w:eastAsia="宋体" w:hint="default"/>
                <w:spacing w:val="-85"/>
                <w:sz w:val="18"/>
                <w:szCs w:val="18"/>
              </w:rPr>
              <w:t>，</w:t>
            </w:r>
            <w:r>
              <w:rPr>
                <w:rFonts w:ascii="宋体" w:hAnsi="宋体" w:cs="宋体" w:eastAsia="宋体" w:hint="default"/>
                <w:sz w:val="18"/>
                <w:szCs w:val="18"/>
              </w:rPr>
              <w:t>确定存货</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与执行的有效性；</w:t>
            </w:r>
          </w:p>
        </w:tc>
      </w:tr>
      <w:tr>
        <w:trPr>
          <w:trHeight w:val="31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跌价准备需要管理层在取得确凿证据的基</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、获取期末时点全部存货明细并与账面核对；</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5"/>
                <w:sz w:val="18"/>
                <w:szCs w:val="18"/>
              </w:rPr>
              <w:t>础上，考虑持有存货的目的、资产负债表日</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、对存货盘点进行监盘并关注残次的存货是否被识别；</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后事项的影响等因素作出判断和估计</w:t>
            </w:r>
            <w:r>
              <w:rPr>
                <w:rFonts w:ascii="宋体" w:hAnsi="宋体" w:cs="宋体" w:eastAsia="宋体" w:hint="default"/>
                <w:spacing w:val="-85"/>
                <w:sz w:val="18"/>
                <w:szCs w:val="18"/>
              </w:rPr>
              <w:t>，</w:t>
            </w:r>
            <w:r>
              <w:rPr>
                <w:rFonts w:ascii="宋体" w:hAnsi="宋体" w:cs="宋体" w:eastAsia="宋体" w:hint="default"/>
                <w:sz w:val="18"/>
                <w:szCs w:val="18"/>
              </w:rPr>
              <w:t>实际</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、复核存货的库龄及周转情况；</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的结果与原先估计的差异将在估计被改变</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、复核管理层计提存货跌价准备的方法；</w:t>
            </w:r>
          </w:p>
        </w:tc>
      </w:tr>
      <w:tr>
        <w:trPr>
          <w:trHeight w:val="312"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的期间影响存货的账面价值</w:t>
            </w:r>
            <w:r>
              <w:rPr>
                <w:rFonts w:ascii="宋体" w:hAnsi="宋体" w:cs="宋体" w:eastAsia="宋体" w:hint="default"/>
                <w:spacing w:val="-85"/>
                <w:sz w:val="18"/>
                <w:szCs w:val="18"/>
              </w:rPr>
              <w:t>，</w:t>
            </w:r>
            <w:r>
              <w:rPr>
                <w:rFonts w:ascii="宋体" w:hAnsi="宋体" w:cs="宋体" w:eastAsia="宋体" w:hint="default"/>
                <w:sz w:val="18"/>
                <w:szCs w:val="18"/>
              </w:rPr>
              <w:t>因此我们将北</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、核验销售价格扣除估计的销售费用及税金等后的可变现净</w:t>
            </w:r>
          </w:p>
        </w:tc>
      </w:tr>
      <w:tr>
        <w:trPr>
          <w:trHeight w:val="307" w:hRule="exact"/>
        </w:trPr>
        <w:tc>
          <w:tcPr>
            <w:tcW w:w="35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京君正存货跌价准备计提的合理性作为关</w:t>
            </w:r>
          </w:p>
        </w:tc>
        <w:tc>
          <w:tcPr>
            <w:tcW w:w="49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值与账面成本孰高；</w:t>
            </w:r>
          </w:p>
        </w:tc>
      </w:tr>
      <w:tr>
        <w:trPr>
          <w:trHeight w:val="321" w:hRule="exact"/>
        </w:trPr>
        <w:tc>
          <w:tcPr>
            <w:tcW w:w="3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键审计事项。</w:t>
            </w:r>
          </w:p>
        </w:tc>
        <w:tc>
          <w:tcPr>
            <w:tcW w:w="4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、检查管理层对于存货跌价准备的计算。</w:t>
            </w:r>
          </w:p>
        </w:tc>
      </w:tr>
    </w:tbl>
    <w:p>
      <w:pPr>
        <w:spacing w:line="240" w:lineRule="auto" w:before="2"/>
        <w:rPr>
          <w:rFonts w:ascii="宋体" w:hAnsi="宋体" w:cs="宋体" w:eastAsia="宋体" w:hint="default"/>
          <w:sz w:val="27"/>
          <w:szCs w:val="27"/>
        </w:rPr>
      </w:pPr>
    </w:p>
    <w:p>
      <w:pPr>
        <w:pStyle w:val="Heading4"/>
        <w:spacing w:line="240" w:lineRule="auto" w:before="44"/>
        <w:ind w:right="153"/>
        <w:jc w:val="left"/>
        <w:rPr>
          <w:b w:val="0"/>
          <w:bCs w:val="0"/>
        </w:rPr>
      </w:pPr>
      <w:r>
        <w:rPr/>
        <w:t>四、其他信息</w:t>
      </w:r>
      <w:r>
        <w:rPr>
          <w:b w:val="0"/>
          <w:bCs w:val="0"/>
        </w:rPr>
      </w:r>
    </w:p>
    <w:p>
      <w:pPr>
        <w:pStyle w:val="BodyText"/>
        <w:spacing w:line="300" w:lineRule="auto" w:before="117"/>
        <w:ind w:right="139" w:firstLine="360"/>
        <w:jc w:val="left"/>
      </w:pPr>
      <w:r>
        <w:rPr/>
        <w:t>北京君正管理层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对其他信息负责。其他信息包括北京君正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年年度报告中涵盖的信息，但不 包括财务报表和我们的审计报告。</w:t>
      </w:r>
    </w:p>
    <w:p>
      <w:pPr>
        <w:pStyle w:val="BodyText"/>
        <w:spacing w:line="360" w:lineRule="auto" w:before="70"/>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3" w:lineRule="exact"/>
        <w:ind w:right="153"/>
        <w:jc w:val="left"/>
      </w:pPr>
      <w:r>
        <w:rPr/>
        <w:t>程中了解到的情况存在重大不一致或者似乎存在重大错报。</w:t>
      </w:r>
    </w:p>
    <w:p>
      <w:pPr>
        <w:pStyle w:val="BodyText"/>
        <w:spacing w:line="316" w:lineRule="auto" w:before="117"/>
        <w:ind w:right="0" w:firstLine="360"/>
        <w:jc w:val="left"/>
      </w:pPr>
      <w:r>
        <w:rPr>
          <w:spacing w:val="-2"/>
        </w:rPr>
        <w:t>基于我们已执行的工作，如果我们确定其他信息存在重大错报，我们应当报告该事实。在这方面，我们无任何事项需要</w:t>
      </w:r>
      <w:r>
        <w:rPr/>
        <w:t> 报告。</w:t>
      </w:r>
    </w:p>
    <w:p>
      <w:pPr>
        <w:spacing w:line="360" w:lineRule="auto" w:before="5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2" w:lineRule="exact"/>
        <w:ind w:right="153"/>
        <w:jc w:val="left"/>
      </w:pPr>
      <w:r>
        <w:rPr/>
        <w:t>务报表不存在由于舞弊或错误导致的重大错报。</w:t>
      </w:r>
    </w:p>
    <w:p>
      <w:pPr>
        <w:pStyle w:val="BodyText"/>
        <w:spacing w:line="316" w:lineRule="auto" w:before="117"/>
        <w:ind w:right="0" w:firstLine="360"/>
        <w:jc w:val="left"/>
      </w:pPr>
      <w:r>
        <w:rPr>
          <w:spacing w:val="-2"/>
        </w:rPr>
        <w:t>在编制财务报表时，管理层负责评估北京君正的持续经营能力，披露与持续经营相关的事项（如适用），并运用持续经</w:t>
      </w:r>
      <w:r>
        <w:rPr/>
        <w:t> 营假设，除非管理层计划清算北京君正、终止运营或别无其他现实的选择。</w:t>
      </w:r>
    </w:p>
    <w:p>
      <w:pPr>
        <w:pStyle w:val="BodyText"/>
        <w:spacing w:line="240" w:lineRule="auto" w:before="57"/>
        <w:ind w:left="513" w:right="153"/>
        <w:jc w:val="left"/>
      </w:pPr>
      <w:r>
        <w:rPr/>
        <w:t>治理层负责监督北京君正的财务报告过程。</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60" w:lineRule="auto" w:before="44"/>
        <w:ind w:left="513" w:right="84"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22" w:lineRule="exact"/>
        <w:ind w:right="0"/>
        <w:jc w:val="left"/>
      </w:pPr>
      <w:r>
        <w:rPr/>
        <w:t>告。合理保证是高水平的保证，但并不能保证按照审计准则执行的审计在某一重大错报存在时总能发现。错报可能由于舞弊</w:t>
      </w:r>
    </w:p>
    <w:p>
      <w:pPr>
        <w:pStyle w:val="BodyText"/>
        <w:spacing w:line="316" w:lineRule="auto" w:before="76"/>
        <w:ind w:right="84"/>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7"/>
        <w:ind w:left="513" w:right="84"/>
        <w:jc w:val="left"/>
      </w:pPr>
      <w:r>
        <w:rPr/>
        <w:t>在按照审计准则执行审计工作的过程中，我们运用职业判断，并保持职业怀疑。同时，我们也执行以下工作：</w:t>
      </w:r>
    </w:p>
    <w:p>
      <w:pPr>
        <w:pStyle w:val="BodyText"/>
        <w:spacing w:line="309" w:lineRule="auto" w:before="117"/>
        <w:ind w:right="193"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65"/>
        <w:ind w:left="513" w:right="84"/>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1"/>
        <w:ind w:left="513" w:right="84"/>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4"/>
        <w:ind w:right="190"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、对管理层使用持续经营假设的恰当性得出结论。同时，根据获取的审计证据，就可能导致对北京君正持续经营能力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截至审计报告日可获得的信息。然而，未来的事项或情况可能导致北京君正不能持续经营。</w:t>
      </w:r>
    </w:p>
    <w:p>
      <w:pPr>
        <w:pStyle w:val="BodyText"/>
        <w:spacing w:line="240" w:lineRule="auto" w:before="63"/>
        <w:ind w:left="513" w:right="84"/>
        <w:jc w:val="left"/>
      </w:pPr>
      <w:r>
        <w:rPr>
          <w:rFonts w:ascii="Times New Roman" w:hAnsi="Times New Roman" w:cs="Times New Roman" w:eastAsia="Times New Roman" w:hint="default"/>
          <w:spacing w:val="1"/>
        </w:rPr>
        <w:t>5</w:t>
      </w:r>
      <w:r>
        <w:rPr/>
        <w:t>、评价财务报表的总体列报、结构和内容（包括披露</w:t>
      </w:r>
      <w:r>
        <w:rPr>
          <w:spacing w:val="-92"/>
        </w:rPr>
        <w:t>）</w:t>
      </w:r>
      <w:r>
        <w:rPr/>
        <w:t>，并</w:t>
      </w:r>
      <w:r>
        <w:rPr>
          <w:spacing w:val="2"/>
        </w:rPr>
        <w:t>评</w:t>
      </w:r>
      <w:r>
        <w:rPr/>
        <w:t>价财务报表是否公允反映相关交易和事项。</w:t>
      </w:r>
    </w:p>
    <w:p>
      <w:pPr>
        <w:pStyle w:val="BodyText"/>
        <w:spacing w:line="300" w:lineRule="auto" w:before="101"/>
        <w:ind w:right="102" w:firstLine="360"/>
        <w:jc w:val="both"/>
      </w:pPr>
      <w:r>
        <w:rPr>
          <w:rFonts w:ascii="Times New Roman" w:hAnsi="Times New Roman" w:cs="Times New Roman" w:eastAsia="Times New Roman" w:hint="default"/>
          <w:spacing w:val="-2"/>
        </w:rPr>
        <w:t>6</w:t>
      </w:r>
      <w:r>
        <w:rPr>
          <w:spacing w:val="-2"/>
        </w:rPr>
        <w:t>、就北京君正中实体或业务活动的财务信息获取充分、适当的审计证据，以对财务报表发表审计意见。我们负责指导、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72"/>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9"/>
        <w:ind w:right="19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6" w:lineRule="auto" w:before="57"/>
        <w:ind w:right="18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tabs>
          <w:tab w:pos="5016" w:val="left" w:leader="none"/>
        </w:tabs>
        <w:spacing w:line="240" w:lineRule="auto"/>
        <w:ind w:right="84"/>
        <w:jc w:val="left"/>
      </w:pPr>
      <w:r>
        <w:rPr/>
        <w:t>北京兴华</w:t>
        <w:tab/>
        <w:t>中国注册会计师：傅映红</w:t>
      </w:r>
    </w:p>
    <w:p>
      <w:pPr>
        <w:pStyle w:val="BodyText"/>
        <w:tabs>
          <w:tab w:pos="5287" w:val="left" w:leader="none"/>
        </w:tabs>
        <w:spacing w:line="240" w:lineRule="auto" w:before="115"/>
        <w:ind w:right="84"/>
        <w:jc w:val="left"/>
      </w:pPr>
      <w:r>
        <w:rPr/>
        <w:t>会计师事务所（特殊普通合伙）</w:t>
        <w:tab/>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tabs>
          <w:tab w:pos="4924" w:val="left" w:leader="none"/>
        </w:tabs>
        <w:spacing w:line="240" w:lineRule="auto"/>
        <w:ind w:right="84"/>
        <w:jc w:val="left"/>
      </w:pPr>
      <w:r>
        <w:rPr/>
        <w:t>中国</w:t>
      </w:r>
      <w:r>
        <w:rPr>
          <w:rFonts w:ascii="宋体" w:hAnsi="宋体" w:cs="宋体" w:eastAsia="宋体" w:hint="default"/>
          <w:b/>
          <w:bCs/>
        </w:rPr>
        <w:t>·</w:t>
      </w:r>
      <w:r>
        <w:rPr/>
        <w:t>北京</w:t>
        <w:tab/>
        <w:t>中国注册会计师：时彦禄</w:t>
      </w:r>
    </w:p>
    <w:p>
      <w:pPr>
        <w:pStyle w:val="BodyText"/>
        <w:spacing w:line="240" w:lineRule="auto" w:before="117"/>
        <w:ind w:right="84"/>
        <w:jc w:val="left"/>
      </w:pPr>
      <w:r>
        <w:rPr/>
        <w:t>二○一八年三月二十九日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2"/>
        <w:spacing w:line="240" w:lineRule="auto"/>
        <w:ind w:right="8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84"/>
        <w:jc w:val="left"/>
      </w:pPr>
      <w:r>
        <w:rPr/>
        <w:t>编制单位：北京君正集成电路股份有限公司</w:t>
      </w:r>
    </w:p>
    <w:p>
      <w:pPr>
        <w:pStyle w:val="BodyText"/>
        <w:spacing w:line="240" w:lineRule="auto" w:before="115"/>
        <w:ind w:left="3429" w:right="3467"/>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after="0" w:line="240" w:lineRule="auto"/>
        <w:jc w:val="cente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40,799,054.96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206,146,388.15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13,241,437.38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15,763,891.02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6,244,342.97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10,635,528.06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4,446,453.78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1,165,383.17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105,303,452.92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84,530,791.63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683,843,594.79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551,017,779.87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853,878,336.80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869,259,761.90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162,407,377.60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145,040,507.02</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1,984,595.85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2,164,489.33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32,206,147.58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32,947,813.25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36,188,182.09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39,165,240.88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24,961,130.24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1,922,518.92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33,657,149.39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34,183,719.85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1,504,606.84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2,248,105.96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2,683,477.05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3,526,550.20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7,288,949.22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4,369,800.33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302,881,615.86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265,568,745.74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1,156,759,952.66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1,134,828,507.64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3,400,967.97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6,521,278.47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3,046,005.41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3,491,514.96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5,325,313.74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6,186,338.38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365,555.95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785,987.13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5,066,791.87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3,477,868.15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17,204,634.94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20,462,987.09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14,727,691.76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16,771,843.84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14,727,691.76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16,771,843.84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31,932,326.70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37,234,830.93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167,046,173.00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166,400,000.00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759,538,575.28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739,400,078.85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-865,045.62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-813,227.62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33,491,703.38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32,065,231.58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165,616,219.92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160,541,593.90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1,124,827,625.96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1,097,593,676.71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1,124,827,625.96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1,097,593,676.71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1,156,759,952.66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1,134,828,507.64</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8" w:val="left" w:leader="none"/>
        </w:tabs>
        <w:spacing w:line="240" w:lineRule="auto" w:before="44"/>
        <w:ind w:right="153"/>
        <w:jc w:val="left"/>
      </w:pPr>
      <w:r>
        <w:rPr/>
        <w:t>法定代表人：刘强</w:t>
        <w:tab/>
      </w:r>
      <w:r>
        <w:rPr>
          <w:spacing w:val="-1"/>
        </w:rPr>
        <w:t>主管会计工作负责人：叶飞</w:t>
        <w:tab/>
      </w:r>
      <w:r>
        <w:rPr/>
        <w:t>会计机构负责人：李莉</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27,767,727.42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150,940,807.63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3,537,214.04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28,997,916.73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4,810,962.87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7,587,831.17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3,513,401.17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971,850.09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51,842,201.26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51,834,385.81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674,745,445.82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499,400,000.00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766,216,952.58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739,732,791.43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162,407,377.60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145,040,507.02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180,685,467.26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180,865,360.74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32,206,147.58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32,947,813.25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35,102,772.27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38,085,649.14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29,039,837.15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29,470,712.05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1,454,656.84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2,248,105.96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2,633,190.82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3,279,394.27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443,529,449.52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431,937,542.43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1,209,746,402.10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1,171,670,333.86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1,781,024.83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7,877,183.40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1,614,753.39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1,616,483.15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2,958,315.90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3,845,848.83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127,875.07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726,659.90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35,443,567.22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18,188,528.23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41,925,536.41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32,254,703.51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2,627,691.76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9,271,843.84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2,627,691.76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9,271,843.84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44,553,228.17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41,526,547.35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167,046,173.00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166,400,000.00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765,229,169.29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745,090,672.86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33,491,703.38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32,065,231.58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199,426,128.26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186,587,882.07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1,165,193,173.93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1,130,143,786.51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1,209,746,402.10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1,171,670,333.86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184,467,019.32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111,685,840.09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184,467,019.32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111,685,840.09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215,167,093.78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145,930,113.61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116,200,278.32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59,903,529.01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4,709,252.54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2,045,955.26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96.289978pt;width:193.15pt;height:19.6pt;mso-position-horizontal-relative:page;mso-position-vertical-relative:page;z-index:-102613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260.065979pt;width:160pt;height:19.6pt;mso-position-horizontal-relative:page;mso-position-vertical-relative:page;z-index:-1026112" coordorigin="4220,5201" coordsize="3200,392">
            <v:group style="position:absolute;left:7398;top:5201;width:22;height:392" coordorigin="7398,5201" coordsize="22,392">
              <v:shape style="position:absolute;left:7398;top:5201;width:22;height:392" coordorigin="7398,5201" coordsize="22,392" path="m7398,5593l7420,5593,7420,5201,7398,5201,7398,5593xe" filled="true" fillcolor="#ffffff" stroked="false">
                <v:path arrowok="t"/>
                <v:fill type="solid"/>
              </v:shape>
            </v:group>
            <v:group style="position:absolute;left:4220;top:5201;width:22;height:392" coordorigin="4220,5201" coordsize="22,392">
              <v:shape style="position:absolute;left:4220;top:5201;width:22;height:392" coordorigin="4220,5201" coordsize="22,392" path="m4220,5593l4242,5593,4242,5201,4220,5201,4220,5593xe" filled="true" fillcolor="#ffffff" stroked="false">
                <v:path arrowok="t"/>
                <v:fill type="solid"/>
              </v:shape>
            </v:group>
            <v:group style="position:absolute;left:4242;top:5201;width:3157;height:392" coordorigin="4242,5201" coordsize="3157,392">
              <v:shape style="position:absolute;left:4242;top:5201;width:3157;height:392" coordorigin="4242,5201" coordsize="3157,392" path="m4242,5593l7398,5593,7398,5201,4242,5201,4242,559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7,339,752.88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1,927,160.91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83,795,173.16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77,399,046.03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-247,405.86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-1,206,708.08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3,370,042.74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5,861,130.48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24,143,141.42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28,504,732.58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-179,893.48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159,919.79</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13,277,611.63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6,720,678.59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-5,739,540.94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391,617.31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17,037,303.54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273,114.31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108,140.93</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2"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6,839,181.59</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11,189,621.67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338,083.77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4,137,532.02</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6,501,097.82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7,052,089.65</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6,501,097.82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7,052,089.65</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6,501,097.82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7,052,089.65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74,879.78</w:t>
            </w: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74,879.78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-51,818.00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74,879.78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-51,818.00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74,879.78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6,449,279.82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7,126,969.43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6,449,279.82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7,126,969.43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0.0424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0.0424</w:t>
            </w:r>
          </w:p>
        </w:tc>
      </w:tr>
    </w:tbl>
    <w:p>
      <w:pPr>
        <w:pStyle w:val="BodyText"/>
        <w:tabs>
          <w:tab w:pos="3514" w:val="left" w:leader="none"/>
          <w:tab w:pos="7746" w:val="left" w:leader="none"/>
        </w:tabs>
        <w:spacing w:line="240" w:lineRule="auto" w:before="49"/>
        <w:ind w:left="0" w:right="245"/>
        <w:jc w:val="right"/>
      </w:pPr>
      <w:r>
        <w:rPr/>
        <w:t>法定代表人：刘强</w:t>
        <w:tab/>
      </w:r>
      <w:r>
        <w:rPr>
          <w:spacing w:val="-1"/>
        </w:rPr>
        <w:t>主管会计工作负责人：叶飞</w:t>
        <w:tab/>
      </w:r>
      <w:r>
        <w:rPr/>
        <w:t>会计机构负责人：李莉</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102,410,739.48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87,392,113.88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60,055,552.47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43,171,709.72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4,037,483.12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1,712,794.63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1,278,993.57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1,437,945.07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55,357,907.73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61,255,592.33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-490,454.40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-900,463.42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3,209,115.19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-11,111,737.15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23,407,288.82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25,724,288.73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-179,893.48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159,919.79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12,081,941.15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14,451,371.77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17,550,561.43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14,389,805.12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19,240.93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14,405,932.06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31,921,125.62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141,214.07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6,807,936.57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14,264,717.99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25,113,189.05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14,264,717.99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25,113,189.05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14,264,717.99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25,113,189.05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207,305,054.88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118,292,351.12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12,370,135.79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4,303,862.71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17,777,154.64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14,836,594.26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237,452,345.31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137,432,808.09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176,628,378.95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110,036,050.87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52,502,309.45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50,737,035.10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14,662,318.37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15,944,367.54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24,353,376.23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26,438,685.11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268,146,383.00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203,156,138.62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-30,694,037.69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-65,723,330.53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3,088,209,829.42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3,576,442,560.98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26,082,791.89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28,900,849.06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3,115,342,621.31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3,605,344,810.04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28,080,257.82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13,758,735.44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3,233,773,700.00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3,358,205,043.71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61,261.82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3,261,915,219.64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3,373,013,779.15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-146,572,598.33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232,331,030.89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13,242,863.39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13,242,863.39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4,998,884.37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4,998,884.37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13,242,863.39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-4,998,884.37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-273,560.56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87,166.02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-164,297,333.19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161,695,982.01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205,096,388.15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43,400,406.14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40,799,054.96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205,096,388.15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141,618,670.58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76,658,755.67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4,388,610.22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2,903,006.19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88,779,688.98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72,301,499.46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234,786,969.78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151,863,261.32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81,103,511.89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57,520,747.40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31,458,374.11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31,746,206.96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12,271,729.64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14,272,175.12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80,411,115.24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65,817,315.59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205,244,730.88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169,356,445.07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29,542,238.90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-17,493,183.75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3,008,209,829.42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3,104,442,560.98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25,299,969.98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26,056,081.92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3,034,559,799.40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3,130,500,042.90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624,636.00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3,462,520.00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3,198,773,700.00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2,986,205,043.71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61,261.82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3,199,459,597.82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2,990,717,563.71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-164,899,798.42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139,782,479.19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13,242,863.39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13,242,863.39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4,998,884.37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4,998,884.37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13,242,863.39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-4,998,884.37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1,414.53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-122,123,080.21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117,291,825.60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149,890,807.63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32,598,982.03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27,767,727.42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149,890,807.63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4"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739,400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-813,22</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32,065,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160,541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,593.90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93,676.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739,400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-813,22</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32,065,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160,541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,593.90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93,676.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646,17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-51,818.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5,074,6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26.02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27,233,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949.25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-51,818.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97.82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6,449,2</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79.82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646,17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20,784,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669.43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646,17</w:t>
            </w:r>
          </w:p>
          <w:p>
            <w:pPr>
              <w:pStyle w:val="TableParagraph"/>
              <w:spacing w:line="240" w:lineRule="auto" w:before="103"/>
              <w:ind w:left="195"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3"/>
              <w:ind w:left="136" w:right="0"/>
              <w:jc w:val="left"/>
              <w:rPr>
                <w:rFonts w:ascii="Times New Roman" w:hAnsi="Times New Roman" w:cs="Times New Roman" w:eastAsia="Times New Roman" w:hint="default"/>
                <w:sz w:val="18"/>
                <w:szCs w:val="18"/>
              </w:rPr>
            </w:pPr>
            <w:r>
              <w:rPr>
                <w:rFonts w:ascii="Times New Roman"/>
                <w:sz w:val="18"/>
              </w:rPr>
              <w:t>496.43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20,784,</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669.43</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167,04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759,538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,575.28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-865,04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165,616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,219.92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733,417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-888,10</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29,553,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912.67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160,992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,823.14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733,417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-888,10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912.67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160,992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,823.14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5,982,9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74,879.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2,511,3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18.91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-451,22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9.24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8,117,8</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69.45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74,879.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7,052,0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89.65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7,126,9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69.43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5,982,9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5,982,9</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5,982,9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5,982,9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2,511,3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18.91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-7,503,3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18.89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-4,991,9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99.98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2,511,3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18.91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-2,511,3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18.91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-4,991,9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99.98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-4,991,9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99.98</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739,400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-813,22</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32,065,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160,541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,593.90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93,676.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13"/>
        <w:rPr>
          <w:rFonts w:ascii="宋体" w:hAnsi="宋体" w:cs="宋体" w:eastAsia="宋体" w:hint="default"/>
          <w:sz w:val="7"/>
          <w:szCs w:val="7"/>
        </w:rPr>
      </w:pPr>
    </w:p>
    <w:p>
      <w:pPr>
        <w:spacing w:line="41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15pt;height:21pt;mso-position-horizontal-relative:char;mso-position-vertical-relative:line" coordorigin="0,0" coordsize="9583,420">
            <v:group style="position:absolute;left:1419;top:14;width:24;height:392" coordorigin="1419,14" coordsize="24,392">
              <v:shape style="position:absolute;left:1419;top:14;width:24;height:392" coordorigin="1419,14" coordsize="24,392" path="m1419,406l1443,406,1443,14,1419,14,1419,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1386;height:392" coordorigin="34,14" coordsize="1386,392">
              <v:shape style="position:absolute;left:34;top:14;width:1386;height:392" coordorigin="34,14" coordsize="1386,392" path="m34,406l1419,406,1419,14,34,14,34,406xe" filled="true" fillcolor="#d2d2d2" stroked="false">
                <v:path arrowok="t"/>
                <v:fill type="solid"/>
              </v:shape>
            </v:group>
            <v:group style="position:absolute;left:1452;top:14;width:24;height:392" coordorigin="1452,14" coordsize="24,392">
              <v:shape style="position:absolute;left:1452;top:14;width:24;height:392" coordorigin="1452,14" coordsize="24,392" path="m1452,406l1476,406,1476,14,1452,14,1452,406xe" filled="true" fillcolor="#d2d2d2" stroked="false">
                <v:path arrowok="t"/>
                <v:fill type="solid"/>
              </v:shape>
            </v:group>
            <v:group style="position:absolute;left:9551;top:14;width:22;height:392" coordorigin="9551,14" coordsize="22,392">
              <v:shape style="position:absolute;left:9551;top:14;width:22;height:392" coordorigin="9551,14" coordsize="22,392" path="m9551,406l9573,406,9573,14,9551,14,9551,406xe" filled="true" fillcolor="#d2d2d2" stroked="false">
                <v:path arrowok="t"/>
                <v:fill type="solid"/>
              </v:shape>
            </v:group>
            <v:group style="position:absolute;left:1476;top:14;width:8075;height:392" coordorigin="1476,14" coordsize="8075,392">
              <v:shape style="position:absolute;left:1476;top:14;width:8075;height:392" coordorigin="1476,14" coordsize="8075,392" path="m1476,406l9551,406,9551,14,1476,14,1476,406xe" filled="true" fillcolor="#d2d2d2" stroked="false">
                <v:path arrowok="t"/>
                <v:fill type="solid"/>
              </v:shape>
            </v:group>
            <v:group style="position:absolute;left:10;top:10;width:1431;height:2" coordorigin="10,10" coordsize="1431,2">
              <v:shape style="position:absolute;left:10;top:10;width:1431;height:2" coordorigin="10,10" coordsize="1431,0" path="m10,10l1440,10e" filled="false" stroked="true" strokeweight=".47998pt" strokecolor="#000000">
                <v:path arrowok="t"/>
              </v:shape>
            </v:group>
            <v:group style="position:absolute;left:1450;top:10;width:8123;height:2" coordorigin="1450,10" coordsize="8123,2">
              <v:shape style="position:absolute;left:1450;top:10;width:8123;height:2" coordorigin="1450,10" coordsize="8123,0" path="m1450,10l9573,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1431;height:2" coordorigin="10,410" coordsize="1431,2">
              <v:shape style="position:absolute;left:10;top:410;width:1431;height:2" coordorigin="10,410" coordsize="1431,0" path="m10,410l1440,410e" filled="false" stroked="true" strokeweight=".47998pt" strokecolor="#000000">
                <v:path arrowok="t"/>
              </v:shape>
            </v:group>
            <v:group style="position:absolute;left:1445;top:5;width:2;height:411" coordorigin="1445,5" coordsize="2,411">
              <v:shape style="position:absolute;left:1445;top:5;width:2;height:411" coordorigin="1445,5" coordsize="0,411" path="m1445,5l1445,415e" filled="false" stroked="true" strokeweight=".48001pt" strokecolor="#000000">
                <v:path arrowok="t"/>
              </v:shape>
            </v:group>
            <v:group style="position:absolute;left:1450;top:410;width:8123;height:2" coordorigin="1450,410" coordsize="8123,2">
              <v:shape style="position:absolute;left:1450;top:410;width:8123;height:2" coordorigin="1450,410" coordsize="8123,0" path="m1450,410l9573,410e" filled="false" stroked="true" strokeweight=".47998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7998pt" strokecolor="#000000">
                <v:path arrowok="t"/>
              </v:shape>
              <v:shape style="position:absolute;left:6;top:10;width:144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34;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19"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745,090,6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32,065,23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186,587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1,130,143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,786.51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745,090,6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32,065,23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186,587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1,130,143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,786.51</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646,173.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20,138,49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1,426,471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12,838,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246.19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35,049,38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7.42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717.99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14,264,71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7.99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646,173.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20,138,49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20,784,66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9.43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646,173.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20,138,49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20,784,66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9.43</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71.80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1,426,471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-1,426,4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71.80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167,046,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173.00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765,229,1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33,491,70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199,426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1,165,193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,173.93</w:t>
            </w:r>
          </w:p>
        </w:tc>
      </w:tr>
    </w:tbl>
    <w:p>
      <w:pPr>
        <w:pStyle w:val="BodyText"/>
        <w:spacing w:line="240" w:lineRule="auto" w:before="49"/>
        <w:ind w:right="153"/>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739,107,7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29,553,91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168,978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,011.91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1,104,039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,697.44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739,107,7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29,553,91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168,978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,011.91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1,104,039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,697.44</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5,982,900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2,511,318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17,609,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870.16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26,104,08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9.07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25,113,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189.05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25,113,18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9.05</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5,982,900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5,982,900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5,982,900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5,982,900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2,511,318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-7,503,3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18.89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-4,991,99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9.98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2,511,318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-2,511,3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18.91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-4,991,9</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99.98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-4,991,99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9.98</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166,400,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745,090,6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32,065,23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186,587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1,130,143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,786.51</w:t>
            </w:r>
          </w:p>
        </w:tc>
      </w:tr>
    </w:tbl>
    <w:p>
      <w:pPr>
        <w:spacing w:line="240" w:lineRule="auto" w:before="1"/>
        <w:rPr>
          <w:rFonts w:ascii="宋体" w:hAnsi="宋体" w:cs="宋体" w:eastAsia="宋体" w:hint="default"/>
          <w:sz w:val="18"/>
          <w:szCs w:val="18"/>
        </w:rPr>
      </w:pPr>
    </w:p>
    <w:p>
      <w:pPr>
        <w:pStyle w:val="Heading2"/>
        <w:spacing w:line="240" w:lineRule="auto" w:before="26"/>
        <w:ind w:right="2094"/>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 w:firstLine="360"/>
        <w:jc w:val="left"/>
      </w:pPr>
      <w:r>
        <w:rPr/>
        <w:t>北京君正集成电路股份有限公司（以下简称为</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）系由北京君正集成电路有限公司整体变更设立的股份 </w:t>
      </w:r>
      <w:r>
        <w:rPr>
          <w:spacing w:val="-2"/>
        </w:rPr>
        <w:t>有限公司。公司于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日领取了北京市工商行政管理局颁发的</w:t>
      </w:r>
      <w:r>
        <w:rPr>
          <w:rFonts w:ascii="Times New Roman" w:hAnsi="Times New Roman" w:cs="Times New Roman" w:eastAsia="Times New Roman" w:hint="default"/>
          <w:spacing w:val="-2"/>
        </w:rPr>
        <w:t>110108008639445</w:t>
      </w:r>
      <w:r>
        <w:rPr>
          <w:spacing w:val="-2"/>
        </w:rPr>
        <w:t>号营业执照，注册资本为</w:t>
      </w:r>
      <w:r>
        <w:rPr>
          <w:rFonts w:ascii="Times New Roman" w:hAnsi="Times New Roman" w:cs="Times New Roman" w:eastAsia="Times New Roman" w:hint="default"/>
          <w:spacing w:val="-2"/>
        </w:rPr>
        <w:t>6,000</w:t>
      </w:r>
      <w:r>
        <w:rPr>
          <w:spacing w:val="-2"/>
        </w:rPr>
        <w:t>万元，</w:t>
      </w:r>
      <w:r>
        <w:rPr>
          <w:spacing w:val="-87"/>
        </w:rPr>
        <w:t> </w:t>
      </w:r>
      <w:r>
        <w:rPr/>
        <w:t>公司法定代表人为刘强。</w:t>
      </w:r>
    </w:p>
    <w:p>
      <w:pPr>
        <w:pStyle w:val="BodyText"/>
        <w:spacing w:line="300" w:lineRule="auto" w:before="72"/>
        <w:ind w:right="212" w:firstLine="360"/>
        <w:jc w:val="both"/>
      </w:pPr>
      <w:r>
        <w:rPr/>
        <w:t>公司</w:t>
      </w:r>
      <w:r>
        <w:rPr>
          <w:rFonts w:ascii="Times New Roman" w:hAnsi="Times New Roman" w:cs="Times New Roman" w:eastAsia="Times New Roman" w:hint="default"/>
        </w:rPr>
        <w:t>2010</w:t>
      </w:r>
      <w:r>
        <w:rPr/>
        <w:t>年度股东大会决议，并经中国证券监督管理委员会证监许可</w:t>
      </w:r>
      <w:r>
        <w:rPr>
          <w:rFonts w:ascii="Times New Roman" w:hAnsi="Times New Roman" w:cs="Times New Roman" w:eastAsia="Times New Roman" w:hint="default"/>
        </w:rPr>
        <w:t>[2011]691</w:t>
      </w:r>
      <w:r>
        <w:rPr/>
        <w:t>号文《关于核准北京君正集成电路股份 有限公司首次公开发行股票并在创业板上市的批复》核准，公司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2,000</w:t>
      </w:r>
      <w:r>
        <w:rPr/>
        <w:t>万股并</w:t>
      </w:r>
      <w:r>
        <w:rPr>
          <w:spacing w:val="-84"/>
        </w:rPr>
        <w:t> </w:t>
      </w:r>
      <w:r>
        <w:rPr>
          <w:spacing w:val="-84"/>
        </w:rPr>
      </w:r>
      <w:r>
        <w:rPr/>
        <w:t>在深圳创业板上市交易。公司注册资本变更为</w:t>
      </w:r>
      <w:r>
        <w:rPr>
          <w:rFonts w:ascii="Times New Roman" w:hAnsi="Times New Roman" w:cs="Times New Roman" w:eastAsia="Times New Roman" w:hint="default"/>
        </w:rPr>
        <w:t>8,000</w:t>
      </w:r>
      <w:r>
        <w:rPr/>
        <w:t>万元。</w:t>
      </w:r>
    </w:p>
    <w:p>
      <w:pPr>
        <w:pStyle w:val="BodyText"/>
        <w:spacing w:line="300" w:lineRule="auto" w:before="53"/>
        <w:ind w:right="209" w:firstLine="360"/>
        <w:jc w:val="both"/>
      </w:pPr>
      <w:r>
        <w:rPr>
          <w:spacing w:val="-1"/>
        </w:rPr>
        <w:t>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2011</w:t>
      </w:r>
      <w:r>
        <w:rPr>
          <w:spacing w:val="-1"/>
        </w:rPr>
        <w:t>年年度股东大会会议决议，本公司申请增加注册资本人民币</w:t>
      </w:r>
      <w:r>
        <w:rPr>
          <w:rFonts w:ascii="Times New Roman" w:hAnsi="Times New Roman" w:cs="Times New Roman" w:eastAsia="Times New Roman" w:hint="default"/>
          <w:spacing w:val="-1"/>
        </w:rPr>
        <w:t>2,400</w:t>
      </w:r>
      <w:r>
        <w:rPr>
          <w:spacing w:val="-1"/>
        </w:rPr>
        <w:t>万元，由资本公积转增</w:t>
      </w:r>
      <w:r>
        <w:rPr/>
        <w:t> </w:t>
      </w:r>
      <w:r>
        <w:rPr>
          <w:spacing w:val="-1"/>
        </w:rPr>
        <w:t>股本，转增基准日期为</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日，变更后的股本为人民币</w:t>
      </w:r>
      <w:r>
        <w:rPr>
          <w:rFonts w:ascii="Times New Roman" w:hAnsi="Times New Roman" w:cs="Times New Roman" w:eastAsia="Times New Roman" w:hint="default"/>
          <w:spacing w:val="-1"/>
        </w:rPr>
        <w:t>10,400</w:t>
      </w:r>
      <w:r>
        <w:rPr>
          <w:spacing w:val="-1"/>
        </w:rPr>
        <w:t>万元。上述出资经北京兴华会计师事务所有限责任公</w:t>
      </w:r>
      <w:r>
        <w:rPr>
          <w:spacing w:val="-78"/>
        </w:rPr>
        <w:t> </w:t>
      </w:r>
      <w:r>
        <w:rPr>
          <w:spacing w:val="-78"/>
        </w:rPr>
      </w:r>
      <w:r>
        <w:rPr/>
        <w:t>司出具的</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01010117</w:t>
      </w:r>
      <w:r>
        <w:rPr/>
        <w:t>号验资报告</w:t>
      </w:r>
      <w:r>
        <w:rPr>
          <w:rFonts w:ascii="Times New Roman" w:hAnsi="Times New Roman" w:cs="Times New Roman" w:eastAsia="Times New Roman" w:hint="default"/>
        </w:rPr>
        <w:t>”</w:t>
      </w:r>
      <w:r>
        <w:rPr/>
        <w:t>验证。</w:t>
      </w:r>
    </w:p>
    <w:p>
      <w:pPr>
        <w:pStyle w:val="BodyText"/>
        <w:spacing w:line="240" w:lineRule="auto" w:before="51"/>
        <w:ind w:left="513" w:right="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w:t>
      </w:r>
      <w:r>
        <w:rPr>
          <w:rFonts w:ascii="Times New Roman" w:hAnsi="Times New Roman" w:cs="Times New Roman" w:eastAsia="Times New Roman" w:hint="default"/>
        </w:rPr>
        <w:t>2014</w:t>
      </w:r>
      <w:r>
        <w:rPr/>
        <w:t>年年度股东大会决议，公司以资本公积金向公司全体股东每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股，合计转增股本</w:t>
      </w:r>
    </w:p>
    <w:p>
      <w:pPr>
        <w:pStyle w:val="BodyText"/>
        <w:spacing w:line="340" w:lineRule="auto" w:before="63"/>
        <w:ind w:left="513" w:right="203" w:hanging="361"/>
        <w:jc w:val="left"/>
      </w:pPr>
      <w:r>
        <w:rPr>
          <w:rFonts w:ascii="Times New Roman" w:hAnsi="Times New Roman" w:cs="Times New Roman" w:eastAsia="Times New Roman" w:hint="default"/>
        </w:rPr>
        <w:t>6,240</w:t>
      </w:r>
      <w:r>
        <w:rPr/>
        <w:t>万股，转增后的公司注册资本为</w:t>
      </w:r>
      <w:r>
        <w:rPr>
          <w:rFonts w:ascii="Times New Roman" w:hAnsi="Times New Roman" w:cs="Times New Roman" w:eastAsia="Times New Roman" w:hint="default"/>
        </w:rPr>
        <w:t>16,640</w:t>
      </w:r>
      <w:r>
        <w:rPr/>
        <w:t>万元。 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2016</w:t>
      </w:r>
      <w:r>
        <w:rPr/>
        <w:t>年第一次临时股东大会决议，审议通过了《北京君正集成电路股份有限公司股票期权</w:t>
      </w:r>
    </w:p>
    <w:p>
      <w:pPr>
        <w:pStyle w:val="BodyText"/>
        <w:spacing w:line="228" w:lineRule="exact"/>
        <w:ind w:right="113"/>
        <w:jc w:val="left"/>
      </w:pPr>
      <w:r>
        <w:rPr/>
        <w:t>激励计划（草案）》及其摘要的议案。截至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日，北京君正集成电路有限公司员工共行权</w:t>
      </w:r>
      <w:r>
        <w:rPr>
          <w:rFonts w:ascii="Times New Roman" w:hAnsi="Times New Roman" w:cs="Times New Roman" w:eastAsia="Times New Roman" w:hint="default"/>
        </w:rPr>
        <w:t>646,173</w:t>
      </w:r>
      <w:r>
        <w:rPr/>
        <w:t>股，总股本由</w:t>
      </w:r>
    </w:p>
    <w:p>
      <w:pPr>
        <w:pStyle w:val="BodyText"/>
        <w:spacing w:line="240" w:lineRule="auto" w:before="63"/>
        <w:ind w:right="2094"/>
        <w:jc w:val="left"/>
      </w:pPr>
      <w:r>
        <w:rPr>
          <w:rFonts w:ascii="Times New Roman" w:hAnsi="Times New Roman" w:cs="Times New Roman" w:eastAsia="Times New Roman" w:hint="default"/>
        </w:rPr>
        <w:t>16,640</w:t>
      </w:r>
      <w:r>
        <w:rPr/>
        <w:t>万股变更为</w:t>
      </w:r>
      <w:r>
        <w:rPr>
          <w:rFonts w:ascii="Times New Roman" w:hAnsi="Times New Roman" w:cs="Times New Roman" w:eastAsia="Times New Roman" w:hint="default"/>
        </w:rPr>
        <w:t>167,046,173</w:t>
      </w:r>
      <w:r>
        <w:rPr/>
        <w:t>股。</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left="513" w:right="84"/>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0"/>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18"/>
        </w:rPr>
        <w:t>月，公司</w:t>
      </w:r>
      <w:r>
        <w:rPr>
          <w:spacing w:val="-66"/>
        </w:rPr>
        <w:t> </w:t>
      </w:r>
      <w:r>
        <w:rPr/>
        <w:t>向</w:t>
      </w:r>
      <w:r>
        <w:rPr>
          <w:spacing w:val="-67"/>
        </w:rPr>
        <w:t> </w:t>
      </w:r>
      <w:r>
        <w:rPr/>
        <w:t>北</w:t>
      </w:r>
      <w:r>
        <w:rPr>
          <w:spacing w:val="-64"/>
        </w:rPr>
        <w:t> </w:t>
      </w:r>
      <w:r>
        <w:rPr/>
        <w:t>京</w:t>
      </w:r>
      <w:r>
        <w:rPr>
          <w:spacing w:val="-67"/>
        </w:rPr>
        <w:t> </w:t>
      </w:r>
      <w:r>
        <w:rPr/>
        <w:t>市</w:t>
      </w:r>
      <w:r>
        <w:rPr>
          <w:spacing w:val="-64"/>
        </w:rPr>
        <w:t> </w:t>
      </w:r>
      <w:r>
        <w:rPr/>
        <w:t>工</w:t>
      </w:r>
      <w:r>
        <w:rPr>
          <w:spacing w:val="-67"/>
        </w:rPr>
        <w:t> </w:t>
      </w:r>
      <w:r>
        <w:rPr/>
        <w:t>商</w:t>
      </w:r>
      <w:r>
        <w:rPr>
          <w:spacing w:val="-67"/>
        </w:rPr>
        <w:t> </w:t>
      </w:r>
      <w:r>
        <w:rPr/>
        <w:t>行</w:t>
      </w:r>
      <w:r>
        <w:rPr>
          <w:spacing w:val="-67"/>
        </w:rPr>
        <w:t> </w:t>
      </w:r>
      <w:r>
        <w:rPr/>
        <w:t>政</w:t>
      </w:r>
      <w:r>
        <w:rPr>
          <w:spacing w:val="-64"/>
        </w:rPr>
        <w:t> </w:t>
      </w:r>
      <w:r>
        <w:rPr/>
        <w:t>管</w:t>
      </w:r>
      <w:r>
        <w:rPr>
          <w:spacing w:val="-67"/>
        </w:rPr>
        <w:t> </w:t>
      </w:r>
      <w:r>
        <w:rPr/>
        <w:t>理</w:t>
      </w:r>
      <w:r>
        <w:rPr>
          <w:spacing w:val="-67"/>
        </w:rPr>
        <w:t> </w:t>
      </w:r>
      <w:r>
        <w:rPr/>
        <w:t>局</w:t>
      </w:r>
      <w:r>
        <w:rPr>
          <w:spacing w:val="-67"/>
        </w:rPr>
        <w:t> </w:t>
      </w:r>
      <w:r>
        <w:rPr/>
        <w:t>申</w:t>
      </w:r>
      <w:r>
        <w:rPr>
          <w:spacing w:val="-64"/>
        </w:rPr>
        <w:t> </w:t>
      </w:r>
      <w:r>
        <w:rPr/>
        <w:t>请</w:t>
      </w:r>
      <w:r>
        <w:rPr>
          <w:spacing w:val="-67"/>
        </w:rPr>
        <w:t> </w:t>
      </w:r>
      <w:r>
        <w:rPr/>
        <w:t>并</w:t>
      </w:r>
      <w:r>
        <w:rPr>
          <w:spacing w:val="-67"/>
        </w:rPr>
        <w:t> </w:t>
      </w:r>
      <w:r>
        <w:rPr/>
        <w:t>换</w:t>
      </w:r>
      <w:r>
        <w:rPr>
          <w:spacing w:val="-64"/>
        </w:rPr>
        <w:t> </w:t>
      </w:r>
      <w:r>
        <w:rPr/>
        <w:t>发</w:t>
      </w:r>
      <w:r>
        <w:rPr>
          <w:spacing w:val="-67"/>
        </w:rPr>
        <w:t> </w:t>
      </w:r>
      <w:r>
        <w:rPr/>
        <w:t>了</w:t>
      </w:r>
      <w:r>
        <w:rPr>
          <w:spacing w:val="-67"/>
        </w:rPr>
        <w:t> </w:t>
      </w:r>
      <w:r>
        <w:rPr/>
        <w:t>新</w:t>
      </w:r>
      <w:r>
        <w:rPr>
          <w:spacing w:val="-67"/>
        </w:rPr>
        <w:t> </w:t>
      </w:r>
      <w:r>
        <w:rPr/>
        <w:t>的</w:t>
      </w:r>
      <w:r>
        <w:rPr>
          <w:spacing w:val="-64"/>
        </w:rPr>
        <w:t> </w:t>
      </w:r>
      <w:r>
        <w:rPr/>
        <w:t>营</w:t>
      </w:r>
      <w:r>
        <w:rPr>
          <w:spacing w:val="-67"/>
        </w:rPr>
        <w:t> </w:t>
      </w:r>
      <w:r>
        <w:rPr/>
        <w:t>业</w:t>
      </w:r>
      <w:r>
        <w:rPr>
          <w:spacing w:val="-67"/>
        </w:rPr>
        <w:t> </w:t>
      </w:r>
      <w:r>
        <w:rPr/>
        <w:t>执</w:t>
      </w:r>
      <w:r>
        <w:rPr>
          <w:spacing w:val="-67"/>
        </w:rPr>
        <w:t> </w:t>
      </w:r>
      <w:r>
        <w:rPr/>
        <w:t>照</w:t>
      </w:r>
      <w:r>
        <w:rPr>
          <w:spacing w:val="-64"/>
        </w:rPr>
        <w:t> </w:t>
      </w:r>
      <w:r>
        <w:rPr/>
        <w:t>，</w:t>
      </w:r>
      <w:r>
        <w:rPr>
          <w:spacing w:val="-67"/>
        </w:rPr>
        <w:t> </w:t>
      </w:r>
      <w:r>
        <w:rPr/>
        <w:t>营</w:t>
      </w:r>
      <w:r>
        <w:rPr>
          <w:spacing w:val="-67"/>
        </w:rPr>
        <w:t> </w:t>
      </w:r>
      <w:r>
        <w:rPr/>
        <w:t>业</w:t>
      </w:r>
      <w:r>
        <w:rPr>
          <w:spacing w:val="-64"/>
        </w:rPr>
        <w:t> </w:t>
      </w:r>
      <w:r>
        <w:rPr/>
        <w:t>执</w:t>
      </w:r>
      <w:r>
        <w:rPr>
          <w:spacing w:val="-67"/>
        </w:rPr>
        <w:t> </w:t>
      </w:r>
      <w:r>
        <w:rPr/>
        <w:t>照</w:t>
      </w:r>
      <w:r>
        <w:rPr>
          <w:spacing w:val="-67"/>
        </w:rPr>
        <w:t> </w:t>
      </w:r>
      <w:r>
        <w:rPr/>
        <w:t>统</w:t>
      </w:r>
      <w:r>
        <w:rPr>
          <w:spacing w:val="-67"/>
        </w:rPr>
        <w:t> </w:t>
      </w:r>
      <w:r>
        <w:rPr/>
        <w:t>一</w:t>
      </w:r>
      <w:r>
        <w:rPr>
          <w:spacing w:val="-64"/>
        </w:rPr>
        <w:t> </w:t>
      </w:r>
      <w:r>
        <w:rPr/>
        <w:t>社</w:t>
      </w:r>
      <w:r>
        <w:rPr>
          <w:spacing w:val="-67"/>
        </w:rPr>
        <w:t> </w:t>
      </w:r>
      <w:r>
        <w:rPr/>
        <w:t>会</w:t>
      </w:r>
      <w:r>
        <w:rPr>
          <w:spacing w:val="-67"/>
        </w:rPr>
        <w:t> </w:t>
      </w:r>
      <w:r>
        <w:rPr/>
        <w:t>信</w:t>
      </w:r>
      <w:r>
        <w:rPr>
          <w:spacing w:val="-67"/>
        </w:rPr>
        <w:t> </w:t>
      </w:r>
      <w:r>
        <w:rPr/>
        <w:t>用</w:t>
      </w:r>
      <w:r>
        <w:rPr>
          <w:spacing w:val="-64"/>
        </w:rPr>
        <w:t> </w:t>
      </w:r>
      <w:r>
        <w:rPr/>
        <w:t>代</w:t>
      </w:r>
      <w:r>
        <w:rPr>
          <w:spacing w:val="-67"/>
        </w:rPr>
        <w:t> </w:t>
      </w:r>
      <w:r>
        <w:rPr/>
        <w:t>码</w:t>
      </w:r>
      <w:r>
        <w:rPr>
          <w:spacing w:val="-67"/>
        </w:rPr>
        <w:t> </w:t>
      </w:r>
      <w:r>
        <w:rPr/>
        <w:t>为</w:t>
      </w:r>
      <w:r>
        <w:rPr>
          <w:spacing w:val="-67"/>
        </w:rPr>
        <w:t> </w:t>
      </w:r>
      <w:r>
        <w:rPr/>
        <w:t>：</w:t>
      </w:r>
    </w:p>
    <w:p>
      <w:pPr>
        <w:pStyle w:val="BodyText"/>
        <w:spacing w:line="240" w:lineRule="auto" w:before="63"/>
        <w:ind w:right="84"/>
        <w:jc w:val="left"/>
      </w:pPr>
      <w:r>
        <w:rPr>
          <w:rFonts w:ascii="Times New Roman" w:hAnsi="Times New Roman" w:cs="Times New Roman" w:eastAsia="Times New Roman" w:hint="default"/>
        </w:rPr>
        <w:t>911100007776681570</w:t>
      </w:r>
      <w:r>
        <w:rPr/>
        <w:t>。</w:t>
      </w:r>
    </w:p>
    <w:p>
      <w:pPr>
        <w:pStyle w:val="BodyText"/>
        <w:spacing w:line="300" w:lineRule="auto" w:before="103"/>
        <w:ind w:right="84" w:firstLine="360"/>
        <w:jc w:val="left"/>
      </w:pPr>
      <w:r>
        <w:rPr>
          <w:spacing w:val="-2"/>
        </w:rPr>
        <w:t>经公司第三届董事会第十一次会议和</w:t>
      </w:r>
      <w:r>
        <w:rPr>
          <w:rFonts w:ascii="Times New Roman" w:hAnsi="Times New Roman" w:cs="Times New Roman" w:eastAsia="Times New Roman" w:hint="default"/>
          <w:spacing w:val="-2"/>
        </w:rPr>
        <w:t>2016</w:t>
      </w:r>
      <w:r>
        <w:rPr>
          <w:spacing w:val="-2"/>
        </w:rPr>
        <w:t>年第三次临时股东大会审议通过，公司对《北京君正集成电路股份有限公司章</w:t>
      </w:r>
      <w:r>
        <w:rPr/>
        <w:t> 程》进行了修订，并于</w:t>
      </w:r>
      <w:r>
        <w:rPr>
          <w:rFonts w:ascii="Times New Roman" w:hAnsi="Times New Roman" w:cs="Times New Roman" w:eastAsia="Times New Roman" w:hint="default"/>
        </w:rPr>
        <w:t>2017</w:t>
      </w:r>
      <w:r>
        <w:rPr/>
        <w:t>年完成了工商变更登记手续。</w:t>
      </w:r>
    </w:p>
    <w:p>
      <w:pPr>
        <w:pStyle w:val="BodyText"/>
        <w:spacing w:line="316" w:lineRule="auto" w:before="51"/>
        <w:ind w:right="94" w:firstLine="360"/>
        <w:jc w:val="left"/>
      </w:pPr>
      <w:r>
        <w:rPr>
          <w:spacing w:val="-2"/>
        </w:rPr>
        <w:t>公司经营范围：研发、设计、委托加工、销售半导体集成电路芯片；计算机软硬件及计算机网络软硬件产品的设计、开</w:t>
      </w:r>
      <w:r>
        <w:rPr/>
        <w:t> 发；销售计算机软、硬件及其辅助设备、电子元器件、通讯设备；技术开发、技术转让、技术咨询、技术服务、技术培训； 技术检测；货物进出口、技术进出口、代理进出口；出租办公用房、商业用房。</w:t>
      </w:r>
    </w:p>
    <w:p>
      <w:pPr>
        <w:pStyle w:val="BodyText"/>
        <w:spacing w:line="340" w:lineRule="auto" w:before="59"/>
        <w:ind w:left="513" w:right="493"/>
        <w:jc w:val="left"/>
      </w:pPr>
      <w:r>
        <w:rPr/>
        <w:t>本财务报告的批准报出日为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 本期纳入合并范围的子公司包括三家，具体见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7"/>
          <w:szCs w:val="17"/>
        </w:rPr>
      </w:pPr>
    </w:p>
    <w:p>
      <w:pPr>
        <w:pStyle w:val="Heading2"/>
        <w:spacing w:line="240" w:lineRule="auto"/>
        <w:ind w:right="8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2" w:firstLine="360"/>
        <w:jc w:val="both"/>
      </w:pPr>
      <w:r>
        <w:rPr>
          <w:spacing w:val="-2"/>
        </w:rPr>
        <w:t>公司以持续经营为基础，根据实际发生的交易和事项，按照财政部发布的《企业会计准则—基本准则》及</w:t>
      </w:r>
      <w:r>
        <w:rPr>
          <w:rFonts w:ascii="宋体" w:hAnsi="宋体" w:cs="宋体" w:eastAsia="宋体" w:hint="default"/>
          <w:spacing w:val="-2"/>
        </w:rPr>
        <w:t>42</w:t>
      </w:r>
      <w:r>
        <w:rPr>
          <w:spacing w:val="-2"/>
        </w:rPr>
        <w:t>项具体会计</w:t>
      </w:r>
      <w:r>
        <w:rPr/>
        <w:t> </w:t>
      </w:r>
      <w:r>
        <w:rPr>
          <w:spacing w:val="-2"/>
        </w:rPr>
        <w:t>准则、企业会计准则应用指南、企业会计准则解释及其他相关规定（以下简称“企业会计准则”），以及中国证券监督管理</w:t>
      </w:r>
      <w:r>
        <w:rPr>
          <w:spacing w:val="-70"/>
        </w:rPr>
        <w:t> </w:t>
      </w:r>
      <w:r>
        <w:rPr>
          <w:spacing w:val="-70"/>
        </w:rPr>
      </w:r>
      <w:r>
        <w:rPr>
          <w:spacing w:val="-4"/>
        </w:rPr>
        <w:t>委员会《公开发行证券的公司信息披露编报规则第</w:t>
      </w:r>
      <w:r>
        <w:rPr>
          <w:rFonts w:ascii="宋体" w:hAnsi="宋体" w:cs="宋体" w:eastAsia="宋体" w:hint="default"/>
          <w:spacing w:val="-4"/>
        </w:rPr>
        <w:t>15</w:t>
      </w:r>
      <w:r>
        <w:rPr>
          <w:spacing w:val="-4"/>
        </w:rPr>
        <w:t>号——财务报告的一般规定》（</w:t>
      </w:r>
      <w:r>
        <w:rPr>
          <w:rFonts w:ascii="宋体" w:hAnsi="宋体" w:cs="宋体" w:eastAsia="宋体" w:hint="default"/>
          <w:spacing w:val="-4"/>
        </w:rPr>
        <w:t>2014</w:t>
      </w:r>
      <w:r>
        <w:rPr>
          <w:spacing w:val="-4"/>
        </w:rPr>
        <w:t>年修订）的披露规定编制财务报表。</w:t>
      </w:r>
    </w:p>
    <w:p>
      <w:pPr>
        <w:spacing w:line="240" w:lineRule="auto" w:before="8"/>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84"/>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3"/>
        <w:rPr>
          <w:rFonts w:ascii="宋体" w:hAnsi="宋体" w:cs="宋体" w:eastAsia="宋体" w:hint="default"/>
          <w:sz w:val="24"/>
          <w:szCs w:val="24"/>
        </w:rPr>
      </w:pPr>
    </w:p>
    <w:p>
      <w:pPr>
        <w:pStyle w:val="Heading2"/>
        <w:spacing w:line="240" w:lineRule="auto"/>
        <w:ind w:right="84"/>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60" w:lineRule="auto" w:before="29"/>
        <w:ind w:right="814"/>
        <w:jc w:val="left"/>
      </w:pPr>
      <w:r>
        <w:rPr/>
        <w:t>具体会计政策和会计估计提示： 本公司下列重要会计政策、会计估计根据企业会计准则制定。未提及的业务按企业会计准则中相关会计政策执行。</w:t>
      </w:r>
    </w:p>
    <w:p>
      <w:pPr>
        <w:spacing w:line="240" w:lineRule="auto" w:before="2"/>
        <w:rPr>
          <w:rFonts w:ascii="宋体" w:hAnsi="宋体" w:cs="宋体" w:eastAsia="宋体" w:hint="default"/>
          <w:sz w:val="20"/>
          <w:szCs w:val="20"/>
        </w:rPr>
      </w:pPr>
    </w:p>
    <w:p>
      <w:pPr>
        <w:pStyle w:val="Heading3"/>
        <w:spacing w:line="240" w:lineRule="auto"/>
        <w:ind w:right="8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4"/>
        <w:jc w:val="left"/>
      </w:pPr>
      <w:r>
        <w:rPr>
          <w:spacing w:val="-4"/>
        </w:rPr>
        <w:t>本公司所编制的财务报表符合企业会计准则的要求，真实、完整地反映了企业的财务状况、经营成果和现金流量等有关信息。</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41" w:right="84"/>
        <w:jc w:val="left"/>
      </w:pPr>
      <w:r>
        <w:rPr/>
        <w:t>本公司以公历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84"/>
        <w:jc w:val="left"/>
      </w:pPr>
      <w:r>
        <w:rPr/>
        <w:t>本公司以</w:t>
      </w:r>
      <w:r>
        <w:rPr>
          <w:rFonts w:ascii="Times New Roman" w:hAnsi="Times New Roman" w:cs="Times New Roman" w:eastAsia="Times New Roman" w:hint="default"/>
        </w:rPr>
        <w:t>12</w:t>
      </w:r>
      <w:r>
        <w:rPr/>
        <w:t>个月为一个正常的营业周期，并以营业周期作为资产和负债的流动性划分标准。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t>本公司以人民币为记账本位币，本公司控股子公司北京君正集成电路（香港）集团有限公司以美元为记账本位币。</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8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84"/>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360" w:lineRule="auto" w:before="2"/>
        <w:ind w:left="513" w:right="84" w:hanging="361"/>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222" w:lineRule="exact"/>
        <w:ind w:right="84"/>
        <w:jc w:val="left"/>
      </w:pPr>
      <w:r>
        <w:rPr/>
        <w:t>的会计政策与本公司不一致的，在合并日按照本公司会计政策进行调整，在此基础上按照调整后的账面价值确认。</w:t>
      </w:r>
    </w:p>
    <w:p>
      <w:pPr>
        <w:pStyle w:val="BodyText"/>
        <w:spacing w:line="316" w:lineRule="auto" w:before="117"/>
        <w:ind w:right="192"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57"/>
        <w:ind w:right="193"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360" w:lineRule="auto" w:before="60"/>
        <w:ind w:left="513" w:right="93"/>
        <w:jc w:val="left"/>
      </w:pPr>
      <w:r>
        <w:rPr/>
        <w:t>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12" w:lineRule="exact"/>
        <w:ind w:right="84"/>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pStyle w:val="BodyText"/>
        <w:spacing w:line="300" w:lineRule="auto" w:before="101"/>
        <w:ind w:right="193" w:firstLine="36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72"/>
        <w:ind w:right="191"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14" w:lineRule="auto" w:before="65"/>
        <w:ind w:right="190"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4"/>
        </w:rPr>
        <w:t> </w:t>
      </w:r>
      <w:r>
        <w:rPr>
          <w:spacing w:val="-64"/>
        </w:rPr>
      </w:r>
      <w:r>
        <w:rPr>
          <w:spacing w:val="-2"/>
        </w:rPr>
        <w:t>置该项投资时转入当期损益。其中，处置后的剩余股权采用成本法或权益法核算的，其他综合收益和其他所有者权益应按比</w:t>
      </w:r>
      <w:r>
        <w:rPr>
          <w:spacing w:val="-63"/>
        </w:rPr>
        <w:t> </w:t>
      </w:r>
      <w:r>
        <w:rPr>
          <w:spacing w:val="-63"/>
        </w:rPr>
      </w:r>
      <w:r>
        <w:rPr/>
        <w:t>例结转，处置后的剩余股权改按金融工具确认和计量准则进行会计处理的，其他综合收益和其他所有者权益应全部结转。</w:t>
      </w:r>
    </w:p>
    <w:p>
      <w:pPr>
        <w:pStyle w:val="BodyText"/>
        <w:spacing w:line="340" w:lineRule="auto" w:before="59"/>
        <w:ind w:left="513" w:right="1893"/>
        <w:jc w:val="left"/>
      </w:pPr>
      <w:r>
        <w:rPr/>
        <w:t>（</w:t>
      </w:r>
      <w:r>
        <w:rPr>
          <w:rFonts w:ascii="Times New Roman" w:hAnsi="Times New Roman" w:cs="Times New Roman" w:eastAsia="Times New Roman" w:hint="default"/>
        </w:rPr>
        <w:t>4</w:t>
      </w:r>
      <w:r>
        <w:rPr/>
        <w:t>）在合并财务报表中的会计处理见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、非同一控制下企业合并 参与合并的各方在合并前后不受同一方或相同的多方最终控制的，为非同一控制下的企业合并。</w:t>
      </w:r>
    </w:p>
    <w:p>
      <w:pPr>
        <w:pStyle w:val="BodyText"/>
        <w:spacing w:line="316" w:lineRule="auto" w:before="39"/>
        <w:ind w:right="102" w:firstLine="360"/>
        <w:jc w:val="both"/>
      </w:pPr>
      <w:r>
        <w:rPr>
          <w:spacing w:val="-4"/>
        </w:rPr>
        <w:t>购买方在购买日对作为企业合并对价付出的资产、发生或承担的负债按照公允价值计量。公允价值与其账面价值的差额，</w:t>
      </w:r>
      <w:r>
        <w:rPr/>
        <w:t> 计入当期损益。</w:t>
      </w:r>
    </w:p>
    <w:p>
      <w:pPr>
        <w:pStyle w:val="BodyText"/>
        <w:spacing w:line="360" w:lineRule="auto" w:before="59"/>
        <w:ind w:left="513" w:right="84"/>
        <w:jc w:val="left"/>
      </w:pPr>
      <w:r>
        <w:rPr/>
        <w:t>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222" w:lineRule="exact"/>
        <w:ind w:right="84"/>
        <w:jc w:val="left"/>
      </w:pPr>
      <w:r>
        <w:rPr/>
        <w:t>得的被购买方可辨认净资产公允价值份额的差额，经复核后，计入当期损益。</w:t>
      </w:r>
    </w:p>
    <w:p>
      <w:pPr>
        <w:pStyle w:val="BodyText"/>
        <w:spacing w:line="319" w:lineRule="auto" w:before="115"/>
        <w:ind w:right="193" w:firstLine="360"/>
        <w:jc w:val="both"/>
      </w:pPr>
      <w:r>
        <w:rPr>
          <w:spacing w:val="-2"/>
        </w:rPr>
        <w:t>购买方为企业合并发生的审计、法律服务、评估咨询等中介费用以及其他相关管理费用，于发生时计入当期损益；购买</w:t>
      </w:r>
      <w:r>
        <w:rPr/>
        <w:t> 方作为合并对价发行的权益性证券或债务性证券的交易费用，计入权益性证券或债务性证券的初始确认金额。</w:t>
      </w:r>
    </w:p>
    <w:p>
      <w:pPr>
        <w:pStyle w:val="BodyText"/>
        <w:spacing w:line="300" w:lineRule="auto" w:before="58"/>
        <w:ind w:right="191" w:firstLine="360"/>
        <w:jc w:val="both"/>
      </w:pP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r>
        <w:rPr/>
        <w:t> 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的，区别个别财务报表和合并财务报表进行相关会计处理；</w:t>
      </w:r>
    </w:p>
    <w:p>
      <w:pPr>
        <w:pStyle w:val="BodyText"/>
        <w:spacing w:line="316" w:lineRule="auto" w:before="51"/>
        <w:ind w:right="190" w:firstLine="360"/>
        <w:jc w:val="both"/>
      </w:pPr>
      <w:r>
        <w:rPr>
          <w:spacing w:val="-2"/>
        </w:rPr>
        <w:t>在个别财务报表中，以购买日之前所持被购买方的股权投资的账面价值与购买日新增投资成本之和，作为改按成本法核</w:t>
      </w:r>
      <w:r>
        <w:rPr/>
        <w:t> </w:t>
      </w:r>
      <w:r>
        <w:rPr>
          <w:spacing w:val="-2"/>
        </w:rPr>
        <w:t>算的初始投资成本；购买日之前持有的被购买方的股权投资因采用权益法核算而确认的其他综合收益，在处置该项投资时采</w:t>
      </w:r>
      <w:r>
        <w:rPr>
          <w:spacing w:val="-64"/>
        </w:rPr>
        <w:t> </w:t>
      </w:r>
      <w:r>
        <w:rPr>
          <w:spacing w:val="-64"/>
        </w:rPr>
      </w:r>
      <w:r>
        <w:rPr>
          <w:spacing w:val="-2"/>
        </w:rPr>
        <w:t>用与被投资单位直接处置相关资产或负债相同的基础进行会计处理，因被投资方除净损益、其他综合收益和利润分配以外的</w:t>
      </w:r>
      <w:r>
        <w:rPr>
          <w:spacing w:val="-64"/>
        </w:rPr>
        <w:t> </w:t>
      </w:r>
      <w:r>
        <w:rPr>
          <w:spacing w:val="-64"/>
        </w:rPr>
      </w:r>
      <w:r>
        <w:rPr>
          <w:spacing w:val="-2"/>
        </w:rPr>
        <w:t>其他所有者权益变动而确认的所有者权益，在处置该项投资时转入处置期间的当期损益。其中，处置后的剩余股权根据长期</w:t>
      </w:r>
      <w:r>
        <w:rPr>
          <w:spacing w:val="-63"/>
        </w:rPr>
        <w:t> </w:t>
      </w:r>
      <w:r>
        <w:rPr>
          <w:spacing w:val="-63"/>
        </w:rPr>
      </w:r>
      <w:r>
        <w:rPr>
          <w:spacing w:val="-2"/>
        </w:rPr>
        <w:t>股权投资准则采用成本法或权益法核算的，其他综合收益和其他所有者权益应按比例结转，处置后的剩余股权改按金融工具</w:t>
      </w:r>
      <w:r>
        <w:rPr>
          <w:spacing w:val="-64"/>
        </w:rPr>
        <w:t> </w:t>
      </w:r>
      <w:r>
        <w:rPr>
          <w:spacing w:val="-64"/>
        </w:rPr>
      </w:r>
      <w:r>
        <w:rPr>
          <w:spacing w:val="-2"/>
        </w:rPr>
        <w:t>确认和计量准则进行会计处理的，其他综合收益和其他所有者权益应全部结转。购买日之前持有的股权投资，采用金融工具</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t>确认和计量准则进行会计处理的，将该股权投资的公允价值加上新增投资成本之和，作为改按成本法核算的初始投资成本， 原持有股权的公允价值与账面价值的差额与原计入其他综合收益的累计公允价值变动全部转入改按成本法核算的当期投资</w:t>
      </w:r>
      <w:r>
        <w:rPr>
          <w:spacing w:val="-1"/>
        </w:rPr>
        <w:t> </w:t>
      </w:r>
      <w:r>
        <w:rPr>
          <w:spacing w:val="-1"/>
        </w:rPr>
      </w:r>
      <w:r>
        <w:rPr/>
        <w:t>损益。</w:t>
      </w:r>
    </w:p>
    <w:p>
      <w:pPr>
        <w:pStyle w:val="BodyText"/>
        <w:spacing w:line="338" w:lineRule="auto" w:before="58"/>
        <w:ind w:left="513" w:right="4343"/>
        <w:jc w:val="left"/>
      </w:pPr>
      <w:r>
        <w:rPr/>
        <w:t>在合并财务报表中的会计处理见</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、将多次交易事项判断为一揽子交易的判断标准 本公司将多次交易事项判断为一揽子交易的判断标准如下：</w:t>
      </w:r>
    </w:p>
    <w:p>
      <w:pPr>
        <w:pStyle w:val="BodyText"/>
        <w:spacing w:line="240" w:lineRule="auto" w:before="43"/>
        <w:ind w:left="513" w:right="84"/>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13" w:right="84"/>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8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3"/>
        <w:ind w:left="513" w:right="84"/>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0"/>
        <w:rPr>
          <w:rFonts w:ascii="宋体" w:hAnsi="宋体" w:cs="宋体" w:eastAsia="宋体" w:hint="default"/>
          <w:sz w:val="26"/>
          <w:szCs w:val="26"/>
        </w:rPr>
      </w:pPr>
    </w:p>
    <w:p>
      <w:pPr>
        <w:pStyle w:val="Heading3"/>
        <w:spacing w:line="240" w:lineRule="auto"/>
        <w:ind w:right="8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6" w:lineRule="auto" w:before="59"/>
        <w:ind w:right="189"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7"/>
        </w:rPr>
        <w:t> </w:t>
      </w:r>
      <w:r>
        <w:rPr>
          <w:spacing w:val="-67"/>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2"/>
        </w:rPr>
        <w:t> </w:t>
      </w:r>
      <w:r>
        <w:rPr>
          <w:spacing w:val="-62"/>
        </w:rPr>
      </w:r>
      <w:r>
        <w:rPr/>
        <w:t>部交易表明相关资产发生减值损失的，全额确认该部分损失；站在企业集团角度对特殊交易事项予以调整。</w:t>
      </w:r>
    </w:p>
    <w:p>
      <w:pPr>
        <w:pStyle w:val="BodyText"/>
        <w:spacing w:line="300" w:lineRule="auto" w:before="59"/>
        <w:ind w:right="193" w:firstLine="36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w:t>
      </w:r>
    </w:p>
    <w:p>
      <w:pPr>
        <w:pStyle w:val="BodyText"/>
        <w:spacing w:line="300" w:lineRule="auto" w:before="51"/>
        <w:ind w:right="131" w:firstLine="360"/>
        <w:jc w:val="both"/>
      </w:pP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w:t>
      </w:r>
      <w:r>
        <w:rPr/>
        <w:t> 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项目列示。</w:t>
      </w:r>
    </w:p>
    <w:p>
      <w:pPr>
        <w:pStyle w:val="BodyText"/>
        <w:spacing w:line="316" w:lineRule="auto" w:before="53"/>
        <w:ind w:right="192"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00" w:lineRule="auto" w:before="59"/>
        <w:ind w:right="188" w:firstLine="360"/>
        <w:jc w:val="both"/>
      </w:pPr>
      <w:r>
        <w:rPr>
          <w:spacing w:val="-2"/>
        </w:rPr>
        <w:t>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。子公司向母公司出售资产</w:t>
      </w:r>
      <w:r>
        <w:rPr/>
        <w:t> </w:t>
      </w:r>
      <w:r>
        <w:rPr>
          <w:spacing w:val="-1"/>
        </w:rPr>
        <w:t>所发生的未实现内部交易损益，按照母公司对该子公司的分配比例在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w:t>
      </w:r>
      <w:r>
        <w:rPr>
          <w:spacing w:val="-74"/>
        </w:rPr>
        <w:t> </w:t>
      </w:r>
      <w:r>
        <w:rPr/>
        <w:t>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归属于母公司所</w:t>
      </w:r>
      <w:r>
        <w:rPr>
          <w:spacing w:val="-73"/>
        </w:rPr>
        <w:t> </w:t>
      </w:r>
      <w:r>
        <w:rPr>
          <w:spacing w:val="-73"/>
        </w:rPr>
      </w:r>
      <w:r>
        <w:rPr/>
        <w:t>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9" w:lineRule="auto" w:before="51"/>
        <w:ind w:right="19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4"/>
        </w:rPr>
        <w:t> </w:t>
      </w:r>
      <w:r>
        <w:rPr>
          <w:spacing w:val="-64"/>
        </w:rPr>
      </w:r>
      <w:r>
        <w:rPr/>
        <w:t>较报表的相关项目进行调整，视同合并后的报告主体自最终控制方开始控制时点起一直存在。</w:t>
      </w:r>
    </w:p>
    <w:p>
      <w:pPr>
        <w:pStyle w:val="BodyText"/>
        <w:spacing w:line="316" w:lineRule="auto" w:before="58"/>
        <w:ind w:right="192"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57"/>
        <w:ind w:right="189"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59"/>
        <w:ind w:right="192"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11"/>
        </w:rPr>
        <w:t> </w:t>
      </w:r>
      <w:r>
        <w:rPr>
          <w:spacing w:val="-11"/>
        </w:rPr>
      </w:r>
      <w:r>
        <w:rPr/>
        <w:t>价），资本公积不足冲减的，调整留存收益。</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92" w:firstLine="360"/>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的，取得控制权日，合并方在达到合并之前持有的</w:t>
      </w:r>
      <w:r>
        <w:rPr/>
        <w:t> </w:t>
      </w:r>
      <w:r>
        <w:rPr>
          <w:spacing w:val="-2"/>
        </w:rPr>
        <w:t>长期股权投资，在取得日与合并方与被合并方同处于同一方最终控制之日熟晚日与合并日之间已确认的有关损益、其他综合</w:t>
      </w:r>
      <w:r>
        <w:rPr>
          <w:spacing w:val="-64"/>
        </w:rPr>
        <w:t> </w:t>
      </w:r>
      <w:r>
        <w:rPr>
          <w:spacing w:val="-64"/>
        </w:rPr>
      </w:r>
      <w:r>
        <w:rPr/>
        <w:t>收益和其他所有者权益变动，分别冲减比较报表期间的期初留存收益或当期损益。</w:t>
      </w:r>
    </w:p>
    <w:p>
      <w:pPr>
        <w:pStyle w:val="BodyText"/>
        <w:spacing w:line="312" w:lineRule="auto" w:before="65"/>
        <w:ind w:right="190" w:firstLine="360"/>
        <w:jc w:val="both"/>
      </w:pPr>
      <w:r>
        <w:rPr>
          <w:spacing w:val="-2"/>
        </w:rPr>
        <w:t>通过多次交易分步实现非同一控制下企业合并，不属于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的，在合并财务报表中，对于购买日之前持有的被</w:t>
      </w:r>
      <w:r>
        <w:rPr/>
        <w:t> </w:t>
      </w:r>
      <w:r>
        <w:rPr>
          <w:spacing w:val="-2"/>
        </w:rPr>
        <w:t>购买方的股权，按照该股权在购买日的公允价值进行重新计量，公允价值与其账面价值的差额计入当期投资收益；购买日之</w:t>
      </w:r>
      <w:r>
        <w:rPr>
          <w:spacing w:val="-63"/>
        </w:rPr>
        <w:t> </w:t>
      </w:r>
      <w:r>
        <w:rPr>
          <w:spacing w:val="-63"/>
        </w:rPr>
      </w:r>
      <w:r>
        <w:rPr>
          <w:spacing w:val="-2"/>
        </w:rPr>
        <w:t>前持有的被购买方的股权涉及权益法核算下的其他综合收益等的，与其相关的其他综合收益等转为购买日所属当期收益。由</w:t>
      </w:r>
      <w:r>
        <w:rPr>
          <w:spacing w:val="-64"/>
        </w:rPr>
        <w:t> </w:t>
      </w:r>
      <w:r>
        <w:rPr>
          <w:spacing w:val="-64"/>
        </w:rPr>
      </w:r>
      <w:r>
        <w:rPr/>
        <w:t>于被投资方重新计量设定收益计划净负债或资产变动而产生的其他综合收益除外。</w:t>
      </w:r>
    </w:p>
    <w:p>
      <w:pPr>
        <w:pStyle w:val="BodyText"/>
        <w:spacing w:line="316" w:lineRule="auto" w:before="61"/>
        <w:ind w:right="192"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319" w:lineRule="auto" w:before="59"/>
        <w:ind w:right="190"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6" w:lineRule="auto" w:before="58"/>
        <w:ind w:right="190"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3"/>
        </w:rPr>
        <w:t> </w:t>
      </w:r>
      <w:r>
        <w:rPr>
          <w:spacing w:val="-63"/>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57"/>
        <w:ind w:left="513" w:right="84"/>
        <w:jc w:val="left"/>
      </w:pPr>
      <w:r>
        <w:rPr/>
        <w:t>合并所有者权益变动表根据合并资产负债表和合并利润表编制。</w:t>
      </w:r>
    </w:p>
    <w:p>
      <w:pPr>
        <w:pStyle w:val="BodyText"/>
        <w:spacing w:line="340" w:lineRule="auto" w:before="117"/>
        <w:ind w:left="513" w:right="633"/>
        <w:jc w:val="left"/>
      </w:pPr>
      <w:r>
        <w:rPr>
          <w:rFonts w:ascii="Times New Roman" w:hAnsi="Times New Roman" w:cs="Times New Roman" w:eastAsia="Times New Roman" w:hint="default"/>
        </w:rPr>
        <w:t>1</w:t>
      </w:r>
      <w:r>
        <w:rPr/>
        <w:t>、合并财务报表的合并范围 本公司将下列被投资单位认定为子公司，纳入合并范围。但是，有证据表明本公司不能控制被投资单位的除外：</w:t>
      </w:r>
    </w:p>
    <w:p>
      <w:pPr>
        <w:pStyle w:val="BodyText"/>
        <w:spacing w:line="240" w:lineRule="auto" w:before="39"/>
        <w:ind w:left="513" w:right="84"/>
        <w:jc w:val="left"/>
      </w:pPr>
      <w:r>
        <w:rPr/>
        <w:t>（</w:t>
      </w:r>
      <w:r>
        <w:rPr>
          <w:rFonts w:ascii="Times New Roman" w:hAnsi="Times New Roman" w:cs="Times New Roman" w:eastAsia="Times New Roman" w:hint="default"/>
        </w:rPr>
        <w:t>1</w:t>
      </w:r>
      <w:r>
        <w:rPr/>
        <w:t>）公司直接或通过子公司间接拥有被投资单位半数以上的表决权；</w:t>
      </w:r>
    </w:p>
    <w:p>
      <w:pPr>
        <w:pStyle w:val="BodyText"/>
        <w:spacing w:line="240" w:lineRule="auto" w:before="104"/>
        <w:ind w:left="513" w:right="84"/>
        <w:jc w:val="left"/>
      </w:pPr>
      <w:r>
        <w:rPr/>
        <w:t>（</w:t>
      </w:r>
      <w:r>
        <w:rPr>
          <w:rFonts w:ascii="Times New Roman" w:hAnsi="Times New Roman" w:cs="Times New Roman" w:eastAsia="Times New Roman" w:hint="default"/>
        </w:rPr>
        <w:t>2</w:t>
      </w:r>
      <w:r>
        <w:rPr/>
        <w:t>）公司拥有被投资单位半数或以下的表决权，且满足下列条件之一的：</w:t>
      </w:r>
    </w:p>
    <w:p>
      <w:pPr>
        <w:pStyle w:val="BodyText"/>
        <w:spacing w:line="240" w:lineRule="auto" w:before="103"/>
        <w:ind w:left="513" w:right="84"/>
        <w:jc w:val="left"/>
      </w:pPr>
      <w:r>
        <w:rPr/>
        <w:t>①通过与被投资单位其他投资者之间的协议拥有被投资单位半数以上表决权；</w:t>
      </w:r>
    </w:p>
    <w:p>
      <w:pPr>
        <w:pStyle w:val="BodyText"/>
        <w:spacing w:line="240" w:lineRule="auto" w:before="115"/>
        <w:ind w:left="513" w:right="84"/>
        <w:jc w:val="left"/>
      </w:pPr>
      <w:r>
        <w:rPr/>
        <w:t>②根据公司章程或协议，有权决定被投资单位的财务和经营政策；</w:t>
      </w:r>
    </w:p>
    <w:p>
      <w:pPr>
        <w:pStyle w:val="BodyText"/>
        <w:spacing w:line="240" w:lineRule="auto" w:before="117"/>
        <w:ind w:left="513" w:right="84"/>
        <w:jc w:val="left"/>
      </w:pPr>
      <w:r>
        <w:rPr/>
        <w:t>③有权任免被投资单位的董事会或类似机构的多数成员；</w:t>
      </w:r>
    </w:p>
    <w:p>
      <w:pPr>
        <w:pStyle w:val="BodyText"/>
        <w:spacing w:line="240" w:lineRule="auto" w:before="117"/>
        <w:ind w:left="513" w:right="84"/>
        <w:jc w:val="left"/>
      </w:pPr>
      <w:r>
        <w:rPr/>
        <w:t>④在被投资单位的董事会或类似机构占多数表决权。</w:t>
      </w:r>
    </w:p>
    <w:p>
      <w:pPr>
        <w:pStyle w:val="BodyText"/>
        <w:spacing w:line="240" w:lineRule="auto" w:before="115"/>
        <w:ind w:left="513" w:right="84"/>
        <w:jc w:val="left"/>
      </w:pPr>
      <w:r>
        <w:rPr>
          <w:rFonts w:ascii="Times New Roman" w:hAnsi="Times New Roman" w:cs="Times New Roman" w:eastAsia="Times New Roman" w:hint="default"/>
        </w:rPr>
        <w:t>2</w:t>
      </w:r>
      <w:r>
        <w:rPr/>
        <w:t>、合并财务报表的编制方法</w:t>
      </w:r>
    </w:p>
    <w:p>
      <w:pPr>
        <w:pStyle w:val="BodyText"/>
        <w:spacing w:line="300" w:lineRule="auto" w:before="103"/>
        <w:ind w:right="192" w:firstLine="360"/>
        <w:jc w:val="both"/>
      </w:pPr>
      <w:r>
        <w:rPr>
          <w:spacing w:val="-1"/>
        </w:rPr>
        <w:t>合并财务报表按照</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月颁布的《企业会计准则第</w:t>
      </w:r>
      <w:r>
        <w:rPr>
          <w:rFonts w:ascii="Times New Roman" w:hAnsi="Times New Roman" w:cs="Times New Roman" w:eastAsia="Times New Roman" w:hint="default"/>
          <w:spacing w:val="-1"/>
        </w:rPr>
        <w:t>33</w:t>
      </w:r>
      <w:r>
        <w:rPr>
          <w:rFonts w:ascii="Times New Roman" w:hAnsi="Times New Roman" w:cs="Times New Roman" w:eastAsia="Times New Roman" w:hint="default"/>
          <w:spacing w:val="38"/>
        </w:rPr>
        <w:t> </w:t>
      </w:r>
      <w:r>
        <w:rPr>
          <w:spacing w:val="-2"/>
        </w:rPr>
        <w:t>号</w:t>
      </w:r>
      <w:r>
        <w:rPr>
          <w:rFonts w:ascii="Times New Roman" w:hAnsi="Times New Roman" w:cs="Times New Roman" w:eastAsia="Times New Roman" w:hint="default"/>
          <w:spacing w:val="-2"/>
        </w:rPr>
        <w:t>—</w:t>
      </w:r>
      <w:r>
        <w:rPr>
          <w:spacing w:val="-2"/>
        </w:rPr>
        <w:t>合并财务报表》执行。即以母公司和纳入合并范围的子公</w:t>
      </w:r>
      <w:r>
        <w:rPr/>
        <w:t> 司的个别财务报表为基础，根据其他有关资料为依据，按照权益法调整对子公司的长期股权投资后，由母公司编制。</w:t>
      </w:r>
    </w:p>
    <w:p>
      <w:pPr>
        <w:pStyle w:val="BodyText"/>
        <w:spacing w:line="316" w:lineRule="auto" w:before="72"/>
        <w:ind w:right="192" w:firstLine="360"/>
        <w:jc w:val="both"/>
      </w:pPr>
      <w:r>
        <w:rPr>
          <w:spacing w:val="-2"/>
        </w:rPr>
        <w:t>集团内部所有重大往来余额、交易及未实现利润在合并财务报表编制时予以抵销。子公司的股东权益中不属于母公司所</w:t>
      </w:r>
      <w:r>
        <w:rPr/>
        <w:t> 拥有的部分作为少数股东权益在合并财务报表中股东权益项下单独列示。</w:t>
      </w:r>
    </w:p>
    <w:p>
      <w:pPr>
        <w:pStyle w:val="BodyText"/>
        <w:spacing w:line="319" w:lineRule="auto" w:before="57"/>
        <w:ind w:right="191" w:firstLine="360"/>
        <w:jc w:val="both"/>
      </w:pPr>
      <w:r>
        <w:rPr>
          <w:spacing w:val="-2"/>
        </w:rPr>
        <w:t>子公司与母公司采用的会计政策或会计期间不一致的，在编制合并财务报表时，按照母公司的会计政策或会计期间对子</w:t>
      </w:r>
      <w:r>
        <w:rPr/>
        <w:t> 公司财务报表进行必要的调整。</w:t>
      </w:r>
    </w:p>
    <w:p>
      <w:pPr>
        <w:pStyle w:val="BodyText"/>
        <w:spacing w:line="316" w:lineRule="auto" w:before="58"/>
        <w:ind w:right="191" w:firstLine="360"/>
        <w:jc w:val="both"/>
      </w:pPr>
      <w:r>
        <w:rPr>
          <w:spacing w:val="-2"/>
        </w:rPr>
        <w:t>对于因非同一控制下企业合并取得的子公司，在编制合并财务报表时，以购买日可辨认净资产公允价值为基础对其个别</w:t>
      </w:r>
      <w:r>
        <w:rPr/>
        <w:t> </w:t>
      </w:r>
      <w:r>
        <w:rPr>
          <w:spacing w:val="-2"/>
        </w:rPr>
        <w:t>财务报表进行调整；对于因同一控制下企业合并取得的子公司，在编制合并财务报表时，视同该企业合并于报告期最早期间</w:t>
      </w:r>
      <w:r>
        <w:rPr>
          <w:spacing w:val="-65"/>
        </w:rPr>
        <w:t> </w:t>
      </w:r>
      <w:r>
        <w:rPr>
          <w:spacing w:val="-65"/>
        </w:rPr>
      </w:r>
      <w:r>
        <w:rPr>
          <w:spacing w:val="-2"/>
        </w:rPr>
        <w:t>的期初已经发生，从报告期最早期间的期初起将其资产、负债、经营成果和现金流量纳入合并财务报表，且其合并日前实现</w:t>
      </w:r>
      <w:r>
        <w:rPr>
          <w:spacing w:val="-65"/>
        </w:rPr>
        <w:t> </w:t>
      </w:r>
      <w:r>
        <w:rPr>
          <w:spacing w:val="-65"/>
        </w:rPr>
      </w:r>
      <w:r>
        <w:rPr/>
        <w:t>的净利润在合并利润表中单列项目反映。</w:t>
      </w:r>
    </w:p>
    <w:p>
      <w:pPr>
        <w:spacing w:line="240" w:lineRule="auto" w:before="10"/>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合营安排指一项由两个或两个以上的参与方共同控制的安排。共同控制，是指按照相关约定对某项安排所共有的控制，</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57" w:lineRule="auto" w:before="44"/>
        <w:ind w:left="513" w:right="84" w:hanging="361"/>
        <w:jc w:val="left"/>
      </w:pPr>
      <w:r>
        <w:rPr/>
        <w:t>并且该安排的相关活动必须经过分享控制权的参与方一致同意后才能决策。 本公司根据在合营安排中享有的权利和承担的义务将合营安排分为共同经营和合营企业。 </w:t>
      </w:r>
      <w:r>
        <w:rPr>
          <w:spacing w:val="-2"/>
        </w:rPr>
        <w:t>共同经营，是指合营方享有该安排相关资产且承担该安排相关负债的合营安排。本公司作为共同经营中的合营方按照相</w:t>
      </w:r>
    </w:p>
    <w:p>
      <w:pPr>
        <w:pStyle w:val="BodyText"/>
        <w:spacing w:line="224" w:lineRule="exact"/>
        <w:ind w:right="0"/>
        <w:jc w:val="left"/>
      </w:pPr>
      <w:r>
        <w:rPr/>
        <w:t>关企业会计准则的规定确认单独持有的资产和承担的负债，以及按份额确认持有的资产和承担的负债，根据相关约定单独或</w:t>
      </w:r>
    </w:p>
    <w:p>
      <w:pPr>
        <w:pStyle w:val="BodyText"/>
        <w:spacing w:line="316" w:lineRule="auto" w:before="76"/>
        <w:ind w:right="84"/>
        <w:jc w:val="left"/>
      </w:pPr>
      <w:r>
        <w:rPr>
          <w:spacing w:val="-2"/>
        </w:rPr>
        <w:t>按份额确认相关的收入和费用。与共同经营发生购买、销售不构成业务的资产交易的，仅确认因该交易产生的损益中归属于</w:t>
      </w:r>
      <w:r>
        <w:rPr>
          <w:spacing w:val="-65"/>
        </w:rPr>
        <w:t> </w:t>
      </w:r>
      <w:r>
        <w:rPr>
          <w:spacing w:val="-65"/>
        </w:rPr>
      </w:r>
      <w:r>
        <w:rPr/>
        <w:t>共同经营其他参与方的部分。</w:t>
      </w:r>
    </w:p>
    <w:p>
      <w:pPr>
        <w:pStyle w:val="BodyText"/>
        <w:spacing w:line="300" w:lineRule="auto" w:before="59"/>
        <w:ind w:right="184" w:firstLine="360"/>
        <w:jc w:val="left"/>
      </w:pPr>
      <w:r>
        <w:rPr/>
        <w:t>合营企业是指合营方仅对该安排的净资产享有权利的合营安排。本公司作为合营企业的合营方按照《企业会计准则第</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长期股权投资》的规定对合营企业的投资进行会计处理。</w:t>
      </w:r>
    </w:p>
    <w:p>
      <w:pPr>
        <w:spacing w:line="240" w:lineRule="auto" w:before="4"/>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84" w:firstLine="360"/>
        <w:jc w:val="left"/>
      </w:pPr>
      <w:r>
        <w:rPr>
          <w:spacing w:val="-2"/>
        </w:rPr>
        <w:t>在编制现金流量表时，将库存现金以及可以随时用于支付的存款确认为现金。现金等价物是指持有的期限短（一般是指</w:t>
      </w:r>
      <w:r>
        <w:rPr/>
        <w:t> 从购买日起三个月内到期）、流动性强、易于转换为已知金额现金及价值变动风险很小的投资。</w:t>
      </w:r>
    </w:p>
    <w:p>
      <w:pPr>
        <w:spacing w:line="240" w:lineRule="auto" w:before="6"/>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2973"/>
        <w:jc w:val="left"/>
      </w:pPr>
      <w:r>
        <w:rPr>
          <w:rFonts w:ascii="Times New Roman" w:hAnsi="Times New Roman" w:cs="Times New Roman" w:eastAsia="Times New Roman" w:hint="default"/>
        </w:rPr>
        <w:t>1</w:t>
      </w:r>
      <w:r>
        <w:rPr/>
        <w:t>、外币业务折算 外币业务采用交易发生日的即期汇率作为折算汇率将外币金额折合成人民币记账。</w:t>
      </w:r>
    </w:p>
    <w:p>
      <w:pPr>
        <w:pStyle w:val="BodyText"/>
        <w:spacing w:line="316" w:lineRule="auto" w:before="39"/>
        <w:ind w:right="94"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的即期汇率折算，由此产生的汇兑差额计入当期损益或其他综合收益。</w:t>
      </w:r>
    </w:p>
    <w:p>
      <w:pPr>
        <w:pStyle w:val="BodyText"/>
        <w:spacing w:line="340" w:lineRule="auto" w:before="59"/>
        <w:ind w:left="513" w:right="84"/>
        <w:jc w:val="left"/>
      </w:pPr>
      <w:r>
        <w:rPr>
          <w:rFonts w:ascii="Times New Roman" w:hAnsi="Times New Roman" w:cs="Times New Roman" w:eastAsia="Times New Roman" w:hint="default"/>
        </w:rPr>
        <w:t>2</w:t>
      </w:r>
      <w:r>
        <w:rPr/>
        <w:t>、外币报表的折算方法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15" w:lineRule="exact"/>
        <w:ind w:right="0"/>
        <w:jc w:val="left"/>
      </w:pPr>
      <w:r>
        <w:rPr/>
        <w:t>目采用发生时的即期汇率折算。利润表中的收入和费用项目，采用交易发生日的即期汇率折算。按照上述折算产生的外币财</w:t>
      </w:r>
    </w:p>
    <w:p>
      <w:pPr>
        <w:pStyle w:val="BodyText"/>
        <w:spacing w:line="338" w:lineRule="auto" w:before="76"/>
        <w:ind w:left="513" w:right="84" w:hanging="361"/>
        <w:jc w:val="left"/>
      </w:pPr>
      <w:r>
        <w:rPr/>
        <w:t>务报表折算差额，在其他综合收益项目下单独列示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w:t>
      </w:r>
      <w:r>
        <w:rPr>
          <w:spacing w:val="-2"/>
        </w:rPr>
        <w:t>处置境外经营时，将资产负债表中其他综合收益项目下列示的、与该境外经营相关的外币财务报表折算差额，自其他综</w:t>
      </w:r>
    </w:p>
    <w:p>
      <w:pPr>
        <w:pStyle w:val="BodyText"/>
        <w:spacing w:line="316" w:lineRule="auto" w:before="2"/>
        <w:ind w:right="84"/>
        <w:jc w:val="left"/>
      </w:pP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10"/>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t>金融工具包括金融资产、金融负债和权益工具。</w:t>
      </w:r>
    </w:p>
    <w:p>
      <w:pPr>
        <w:pStyle w:val="BodyText"/>
        <w:spacing w:line="338" w:lineRule="auto" w:before="117"/>
        <w:ind w:left="513" w:right="84"/>
        <w:jc w:val="left"/>
      </w:pPr>
      <w:r>
        <w:rPr>
          <w:rFonts w:ascii="Times New Roman" w:hAnsi="Times New Roman" w:cs="Times New Roman" w:eastAsia="Times New Roman" w:hint="default"/>
        </w:rPr>
        <w:t>1</w:t>
      </w:r>
      <w:r>
        <w:rPr/>
        <w:t>、金融工具的分类 </w:t>
      </w:r>
      <w:r>
        <w:rPr>
          <w:spacing w:val="-2"/>
        </w:rPr>
        <w:t>管理层按照取得持有金融资产和承担金融负债的目的，将其划分为：以公允价值计量且其变动计入当期损益的金融资产</w:t>
      </w:r>
    </w:p>
    <w:p>
      <w:pPr>
        <w:pStyle w:val="BodyText"/>
        <w:spacing w:line="316" w:lineRule="auto" w:before="2"/>
        <w:ind w:right="94"/>
        <w:jc w:val="left"/>
      </w:pPr>
      <w:r>
        <w:rPr/>
        <w:t>或金融负债，包括交易性金融资产或金融负债和直接指定为以公允价值计量且其变动计入当期损益的金融资产或金融负债； 持有至到期投资；应收款项；可供出售金融资产；其他金融负债等。</w:t>
      </w:r>
    </w:p>
    <w:p>
      <w:pPr>
        <w:pStyle w:val="BodyText"/>
        <w:spacing w:line="240" w:lineRule="auto" w:before="59"/>
        <w:ind w:left="513" w:right="84"/>
        <w:jc w:val="left"/>
      </w:pPr>
      <w:r>
        <w:rPr>
          <w:rFonts w:ascii="Times New Roman" w:hAnsi="Times New Roman" w:cs="Times New Roman" w:eastAsia="Times New Roman" w:hint="default"/>
        </w:rPr>
        <w:t>2</w:t>
      </w:r>
      <w:r>
        <w:rPr/>
        <w:t>、金融工具的确认依据和计量方法</w:t>
      </w:r>
    </w:p>
    <w:p>
      <w:pPr>
        <w:pStyle w:val="BodyText"/>
        <w:spacing w:line="338" w:lineRule="auto" w:before="103"/>
        <w:ind w:left="513" w:right="8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60" w:lineRule="auto" w:before="2"/>
        <w:ind w:left="513" w:right="189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spacing w:after="0" w:line="360" w:lineRule="auto"/>
        <w:jc w:val="left"/>
        <w:sectPr>
          <w:footerReference w:type="default" r:id="rId13"/>
          <w:pgSz w:w="11910" w:h="16840"/>
          <w:pgMar w:footer="980" w:header="745" w:top="1060" w:bottom="1160" w:left="980" w:right="940"/>
          <w:pgNumType w:start="98"/>
        </w:sectPr>
      </w:pPr>
    </w:p>
    <w:p>
      <w:pPr>
        <w:spacing w:line="240" w:lineRule="auto" w:before="9"/>
        <w:rPr>
          <w:rFonts w:ascii="宋体" w:hAnsi="宋体" w:cs="宋体" w:eastAsia="宋体" w:hint="default"/>
          <w:sz w:val="25"/>
          <w:szCs w:val="25"/>
        </w:rPr>
      </w:pPr>
    </w:p>
    <w:p>
      <w:pPr>
        <w:pStyle w:val="BodyText"/>
        <w:spacing w:line="348" w:lineRule="auto" w:before="44"/>
        <w:ind w:left="513" w:right="84"/>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60" w:lineRule="auto"/>
        <w:ind w:left="513" w:right="4053" w:hanging="361"/>
        <w:jc w:val="left"/>
      </w:pPr>
      <w:r>
        <w:rPr/>
        <w:t>用的更短期间内保持不变。 处置时，将所取得价款与该投资账面价值之间的差额计入投资收益。</w:t>
      </w:r>
    </w:p>
    <w:p>
      <w:pPr>
        <w:pStyle w:val="BodyText"/>
        <w:spacing w:line="338" w:lineRule="auto" w:before="27"/>
        <w:ind w:left="513" w:right="84"/>
        <w:jc w:val="left"/>
      </w:pPr>
      <w:r>
        <w:rPr/>
        <w:t>（</w:t>
      </w:r>
      <w:r>
        <w:rPr>
          <w:rFonts w:ascii="Times New Roman" w:hAnsi="Times New Roman" w:cs="Times New Roman" w:eastAsia="Times New Roman" w:hint="default"/>
        </w:rPr>
        <w:t>3</w:t>
      </w:r>
      <w:r>
        <w:rPr/>
        <w:t>）应收款项 </w:t>
      </w:r>
      <w:r>
        <w:rPr>
          <w:spacing w:val="-2"/>
        </w:rPr>
        <w:t>对外销售商品或提供劳务形成的应收债权，以及持有的其他企业的不包括在活跃市场上有报价的债务工具的债权，包括</w:t>
      </w:r>
    </w:p>
    <w:p>
      <w:pPr>
        <w:pStyle w:val="BodyText"/>
        <w:spacing w:line="360" w:lineRule="auto" w:before="2"/>
        <w:ind w:left="513" w:right="84" w:hanging="361"/>
        <w:jc w:val="left"/>
      </w:pPr>
      <w:r>
        <w:rPr>
          <w:spacing w:val="-4"/>
        </w:rPr>
        <w:t>应收账款、其他应收款等，以向购货方应收的合同或协议价款作为初始确认金额；具有融资性质的，按其现值进行初始确认。</w:t>
      </w:r>
      <w:r>
        <w:rPr>
          <w:spacing w:val="-46"/>
        </w:rPr>
        <w:t> </w:t>
      </w:r>
      <w:r>
        <w:rPr>
          <w:spacing w:val="-46"/>
        </w:rPr>
      </w:r>
      <w:r>
        <w:rPr/>
        <w:t>收回或处置时，将取得的价款与该应收款项账面价值之间的差额计入当期损益。</w:t>
      </w:r>
    </w:p>
    <w:p>
      <w:pPr>
        <w:pStyle w:val="BodyText"/>
        <w:spacing w:line="338" w:lineRule="auto" w:before="27"/>
        <w:ind w:left="513" w:right="84"/>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60" w:lineRule="auto" w:before="3"/>
        <w:ind w:left="513" w:right="84" w:hanging="361"/>
        <w:jc w:val="left"/>
      </w:pPr>
      <w:r>
        <w:rPr/>
        <w:t>初始确认金额。 </w:t>
      </w:r>
      <w:r>
        <w:rPr>
          <w:spacing w:val="-2"/>
        </w:rPr>
        <w:t>持有期间将取得的利息或现金股利确认为投资收益。期末以公允价值计量且将公允价值变动计入其他综合收益。对被投</w:t>
      </w:r>
    </w:p>
    <w:p>
      <w:pPr>
        <w:pStyle w:val="BodyText"/>
        <w:spacing w:line="222" w:lineRule="exact"/>
        <w:ind w:right="0"/>
        <w:jc w:val="left"/>
      </w:pPr>
      <w:r>
        <w:rPr/>
        <w:t>资单位不具有控制、共同控制或重大影响并且在活跃市场中没有报价、公允价值不能可靠计量的股权投资，作为可供出售金</w:t>
      </w:r>
    </w:p>
    <w:p>
      <w:pPr>
        <w:pStyle w:val="BodyText"/>
        <w:spacing w:line="360" w:lineRule="auto" w:before="76"/>
        <w:ind w:left="513" w:right="84" w:hanging="361"/>
        <w:jc w:val="left"/>
      </w:pPr>
      <w:r>
        <w:rPr/>
        <w:t>融资产列报，按成本进行后续计量。 </w:t>
      </w:r>
      <w:r>
        <w:rPr>
          <w:spacing w:val="-2"/>
        </w:rPr>
        <w:t>处置时，将取得的价款与该金融资产账面价值之间的差额，计入投资损益；同时，将原其他综合收益的公允价值变动累</w:t>
      </w:r>
    </w:p>
    <w:p>
      <w:pPr>
        <w:pStyle w:val="BodyText"/>
        <w:spacing w:line="222" w:lineRule="exact"/>
        <w:ind w:right="84"/>
        <w:jc w:val="left"/>
      </w:pPr>
      <w:r>
        <w:rPr/>
        <w:t>计额对应处置部分的金额转出，计入投资损益。</w:t>
      </w:r>
    </w:p>
    <w:p>
      <w:pPr>
        <w:pStyle w:val="BodyText"/>
        <w:spacing w:line="350" w:lineRule="auto" w:before="115"/>
        <w:ind w:left="513" w:right="279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before="9"/>
        <w:ind w:right="84" w:firstLine="360"/>
        <w:jc w:val="left"/>
      </w:pPr>
      <w:r>
        <w:rPr>
          <w:spacing w:val="-2"/>
        </w:rPr>
        <w:t>发生金融资产转移时，如已将金融资产所有权上几乎所有的风险和报酬转移给转入方，则终止确认该金融资产；如保留</w:t>
      </w:r>
      <w:r>
        <w:rPr/>
        <w:t> 了金融资产所有权上几乎所有的风险和报酬的，则不终止确认该金融资产。</w:t>
      </w:r>
    </w:p>
    <w:p>
      <w:pPr>
        <w:pStyle w:val="BodyText"/>
        <w:spacing w:line="316" w:lineRule="auto" w:before="60"/>
        <w:ind w:right="84"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9"/>
        <w:ind w:left="513" w:right="84"/>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101"/>
        <w:ind w:right="18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72"/>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9"/>
        <w:ind w:left="513" w:right="84"/>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101"/>
        <w:ind w:right="18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48" w:lineRule="auto" w:before="73"/>
        <w:ind w:left="513" w:right="84"/>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ind w:right="84"/>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59"/>
        <w:ind w:right="8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59"/>
        <w:ind w:right="8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1" w:firstLine="360"/>
        <w:jc w:val="both"/>
      </w:pPr>
      <w:r>
        <w:rPr>
          <w:spacing w:val="-2"/>
        </w:rPr>
        <w:t>若回购部分金融负债的，在回购日按照继续确认部分与终止确认部分的相对公允价值，将该金融负债整体的账面价值进</w:t>
      </w:r>
      <w:r>
        <w:rPr/>
        <w:t> </w:t>
      </w:r>
      <w:r>
        <w:rPr>
          <w:spacing w:val="-2"/>
        </w:rPr>
        <w:t>行分配。分配给终止确认部分的账面价值与支付的对价（包括转出的非现金资产或承担的新金融负债）之间的差额，计入当</w:t>
      </w:r>
      <w:r>
        <w:rPr>
          <w:spacing w:val="-64"/>
        </w:rPr>
        <w:t> </w:t>
      </w:r>
      <w:r>
        <w:rPr>
          <w:spacing w:val="-64"/>
        </w:rPr>
      </w:r>
      <w:r>
        <w:rPr/>
        <w:t>期损益。</w:t>
      </w:r>
    </w:p>
    <w:p>
      <w:pPr>
        <w:pStyle w:val="BodyText"/>
        <w:spacing w:line="338" w:lineRule="auto" w:before="58"/>
        <w:ind w:left="513" w:right="0"/>
        <w:jc w:val="left"/>
      </w:pPr>
      <w:r>
        <w:rPr>
          <w:rFonts w:ascii="Times New Roman" w:hAnsi="Times New Roman" w:cs="Times New Roman" w:eastAsia="Times New Roman" w:hint="default"/>
        </w:rPr>
        <w:t>5</w:t>
      </w:r>
      <w:r>
        <w:rPr/>
        <w:t>、金融资产和金融负债公允价值的确定方法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2"/>
        <w:ind w:right="15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40" w:lineRule="auto" w:before="59"/>
        <w:ind w:left="513" w:right="0" w:firstLine="72"/>
        <w:jc w:val="left"/>
      </w:pPr>
      <w:r>
        <w:rPr>
          <w:rFonts w:ascii="Times New Roman" w:hAnsi="Times New Roman" w:cs="Times New Roman" w:eastAsia="Times New Roman" w:hint="default"/>
        </w:rPr>
        <w:t>6</w:t>
      </w:r>
      <w:r>
        <w:rPr/>
        <w:t>、金融资产（不含应收款项）减值 </w:t>
      </w:r>
      <w:r>
        <w:rPr>
          <w:spacing w:val="-2"/>
        </w:rPr>
        <w:t>除以公允价值计量且其变动计入当期损益的金融资产外，本公司于资产负债表日对金融资产的账面价值进行检查，如果</w:t>
      </w:r>
    </w:p>
    <w:p>
      <w:pPr>
        <w:pStyle w:val="BodyText"/>
        <w:spacing w:line="240" w:lineRule="auto" w:before="1"/>
        <w:ind w:right="0"/>
        <w:jc w:val="both"/>
      </w:pPr>
      <w:r>
        <w:rPr/>
        <w:t>有客观证据表明某项金融资产发生减值的，计提减值准备。</w:t>
      </w:r>
    </w:p>
    <w:p>
      <w:pPr>
        <w:pStyle w:val="BodyText"/>
        <w:spacing w:line="340" w:lineRule="auto" w:before="115"/>
        <w:ind w:left="513" w:right="0"/>
        <w:jc w:val="left"/>
      </w:pPr>
      <w:r>
        <w:rPr/>
        <w:t>（</w:t>
      </w:r>
      <w:r>
        <w:rPr>
          <w:rFonts w:ascii="Times New Roman" w:hAnsi="Times New Roman" w:cs="Times New Roman" w:eastAsia="Times New Roman" w:hint="default"/>
        </w:rPr>
        <w:t>1</w:t>
      </w:r>
      <w:r>
        <w:rPr/>
        <w:t>）可供出售金融资产的减值 </w:t>
      </w:r>
      <w:r>
        <w:rPr>
          <w:spacing w:val="-2"/>
        </w:rPr>
        <w:t>期末如果可供出售金融资产的公允价值发生较大幅度下降，或在综合考虑各种相关因素后，预期这种下降趋势属于非暂</w:t>
      </w:r>
    </w:p>
    <w:p>
      <w:pPr>
        <w:pStyle w:val="BodyText"/>
        <w:spacing w:line="360" w:lineRule="auto" w:before="1"/>
        <w:ind w:left="513" w:right="414" w:hanging="361"/>
        <w:jc w:val="left"/>
      </w:pPr>
      <w:r>
        <w:rPr/>
        <w:t>时性的，就认定其已发生减值，将原直接计入其他综合收益的公允价值下降形成的累计损失一并转出，确认减值损失。 对于可供出售金融资产由于下列损失事项影响其预计未来现金流量减少</w:t>
      </w:r>
      <w:r>
        <w:rPr>
          <w:rFonts w:ascii="Times New Roman" w:hAnsi="Times New Roman" w:cs="Times New Roman" w:eastAsia="Times New Roman" w:hint="default"/>
        </w:rPr>
        <w:t>,</w:t>
      </w:r>
      <w:r>
        <w:rPr/>
        <w:t>并且能够可靠计量，将认定其发生减值：</w:t>
      </w:r>
    </w:p>
    <w:p>
      <w:pPr>
        <w:pStyle w:val="BodyText"/>
        <w:spacing w:line="240" w:lineRule="auto" w:before="1"/>
        <w:ind w:left="513" w:right="153"/>
        <w:jc w:val="left"/>
      </w:pPr>
      <w:r>
        <w:rPr/>
        <w:t>①</w:t>
      </w:r>
      <w:r>
        <w:rPr>
          <w:spacing w:val="-18"/>
        </w:rPr>
        <w:t> </w:t>
      </w:r>
      <w:r>
        <w:rPr/>
        <w:t>债务人发生严重财务困难；</w:t>
      </w:r>
    </w:p>
    <w:p>
      <w:pPr>
        <w:pStyle w:val="BodyText"/>
        <w:spacing w:line="240" w:lineRule="auto" w:before="117"/>
        <w:ind w:left="513" w:right="153"/>
        <w:jc w:val="left"/>
      </w:pPr>
      <w:r>
        <w:rPr/>
        <w:t>②</w:t>
      </w:r>
      <w:r>
        <w:rPr>
          <w:spacing w:val="-19"/>
        </w:rPr>
        <w:t> </w:t>
      </w:r>
      <w:r>
        <w:rPr/>
        <w:t>债务人违反了合同条款</w:t>
      </w:r>
      <w:r>
        <w:rPr>
          <w:rFonts w:ascii="Times New Roman" w:hAnsi="Times New Roman" w:cs="Times New Roman" w:eastAsia="Times New Roman" w:hint="default"/>
        </w:rPr>
        <w:t>,</w:t>
      </w:r>
      <w:r>
        <w:rPr/>
        <w:t>如偿付利息或本金发生违约或逾期；</w:t>
      </w:r>
    </w:p>
    <w:p>
      <w:pPr>
        <w:pStyle w:val="BodyText"/>
        <w:spacing w:line="240" w:lineRule="auto" w:before="103"/>
        <w:ind w:left="513" w:right="153"/>
        <w:jc w:val="left"/>
      </w:pPr>
      <w:r>
        <w:rPr/>
        <w:t>③</w:t>
      </w:r>
      <w:r>
        <w:rPr>
          <w:spacing w:val="-18"/>
        </w:rPr>
        <w:t> </w:t>
      </w:r>
      <w:r>
        <w:rPr/>
        <w:t>本公司出于经济或法律等方面因素的考虑</w:t>
      </w:r>
      <w:r>
        <w:rPr>
          <w:rFonts w:ascii="Times New Roman" w:hAnsi="Times New Roman" w:cs="Times New Roman" w:eastAsia="Times New Roman" w:hint="default"/>
        </w:rPr>
        <w:t>,</w:t>
      </w:r>
      <w:r>
        <w:rPr/>
        <w:t>对发生财务困难的债务人做出让步；</w:t>
      </w:r>
    </w:p>
    <w:p>
      <w:pPr>
        <w:pStyle w:val="BodyText"/>
        <w:spacing w:line="240" w:lineRule="auto" w:before="101"/>
        <w:ind w:left="513" w:right="153"/>
        <w:jc w:val="left"/>
      </w:pPr>
      <w:r>
        <w:rPr/>
        <w:t>④</w:t>
      </w:r>
      <w:r>
        <w:rPr>
          <w:spacing w:val="-18"/>
        </w:rPr>
        <w:t> </w:t>
      </w:r>
      <w:r>
        <w:rPr/>
        <w:t>债务人很可能倒闭或进行其他财务重组；</w:t>
      </w:r>
    </w:p>
    <w:p>
      <w:pPr>
        <w:pStyle w:val="BodyText"/>
        <w:spacing w:line="240" w:lineRule="auto" w:before="117"/>
        <w:ind w:left="513" w:right="153"/>
        <w:jc w:val="left"/>
      </w:pPr>
      <w:r>
        <w:rPr/>
        <w:t>⑤</w:t>
      </w:r>
      <w:r>
        <w:rPr>
          <w:spacing w:val="-18"/>
        </w:rPr>
        <w:t> </w:t>
      </w:r>
      <w:r>
        <w:rPr/>
        <w:t>因发行方发生重大财务困难</w:t>
      </w:r>
      <w:r>
        <w:rPr>
          <w:rFonts w:ascii="Times New Roman" w:hAnsi="Times New Roman" w:cs="Times New Roman" w:eastAsia="Times New Roman" w:hint="default"/>
        </w:rPr>
        <w:t>,</w:t>
      </w:r>
      <w:r>
        <w:rPr/>
        <w:t>该金融资产无法在活跃市场继续交易；</w:t>
      </w:r>
    </w:p>
    <w:p>
      <w:pPr>
        <w:pStyle w:val="BodyText"/>
        <w:spacing w:line="316" w:lineRule="auto" w:before="103"/>
        <w:ind w:right="0" w:firstLine="360"/>
        <w:jc w:val="left"/>
      </w:pPr>
      <w:r>
        <w:rPr>
          <w:spacing w:val="-2"/>
        </w:rPr>
        <w:t>⑥权益工具发行方经营所处的技术、市场、经济或法律环境等发生重大不利变化，使权益工具投资人可能无法收回投资</w:t>
      </w:r>
      <w:r>
        <w:rPr/>
        <w:t> 成本；</w:t>
      </w:r>
    </w:p>
    <w:p>
      <w:pPr>
        <w:pStyle w:val="BodyText"/>
        <w:spacing w:line="360" w:lineRule="auto" w:before="57"/>
        <w:ind w:left="513" w:right="0"/>
        <w:jc w:val="left"/>
      </w:pPr>
      <w:r>
        <w:rPr/>
        <w:t>⑦</w:t>
      </w:r>
      <w:r>
        <w:rPr>
          <w:spacing w:val="-18"/>
        </w:rPr>
        <w:t> </w:t>
      </w:r>
      <w:r>
        <w:rPr/>
        <w:t>权益工具投资的公允价值发生严重或非暂时性下跌。</w:t>
      </w:r>
      <w:r>
        <w:rPr/>
        <w:t> </w:t>
      </w:r>
      <w:r>
        <w:rPr>
          <w:spacing w:val="-2"/>
        </w:rPr>
        <w:t>认定其已发生减值，将原直接计入所有者权益的公允价值下降形成的累计损失一并转出，确认减值损失。对于已确认减</w:t>
      </w:r>
    </w:p>
    <w:p>
      <w:pPr>
        <w:pStyle w:val="BodyText"/>
        <w:spacing w:line="222" w:lineRule="exact"/>
        <w:ind w:right="0"/>
        <w:jc w:val="both"/>
      </w:pPr>
      <w:r>
        <w:rPr/>
        <w:t>值损失的可供出售债务工具，在随后的会计期间公允价值已上升且客观上与确认原减值损失确认后发生的事项有关的，原确</w:t>
      </w:r>
    </w:p>
    <w:p>
      <w:pPr>
        <w:pStyle w:val="BodyText"/>
        <w:spacing w:line="240" w:lineRule="auto" w:before="76"/>
        <w:ind w:right="0"/>
        <w:jc w:val="both"/>
      </w:pPr>
      <w:r>
        <w:rPr/>
        <w:t>认的减值损失予以转回，计入当期损益。可供出售权益工具投资发生的减值损失，不得通过损益转回。</w:t>
      </w:r>
    </w:p>
    <w:p>
      <w:pPr>
        <w:pStyle w:val="BodyText"/>
        <w:spacing w:line="338" w:lineRule="auto" w:before="117"/>
        <w:ind w:left="513" w:right="38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应收账款单项金额大于等于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万元、其他应收账款单项金</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单独进行减值测试，在有客观证据表明其发生了减值的，按 其未来现金流量低于账面价值的差额计提坏账准备。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2"/>
        <w:rPr>
          <w:rFonts w:ascii="宋体" w:hAnsi="宋体" w:cs="宋体" w:eastAsia="宋体" w:hint="default"/>
          <w:b/>
          <w:bCs/>
          <w:sz w:val="25"/>
          <w:szCs w:val="25"/>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组合名称</w:t>
                      </w:r>
                    </w:p>
                  </w:txbxContent>
                </v:textbox>
                <w10:wrap type="none"/>
              </v:shape>
              <v:shape style="position:absolute;left:4789;top:10;width:4787;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坏账准备计提方法</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footerReference w:type="default" r:id="rId14"/>
          <w:pgSz w:w="11910" w:h="16840"/>
          <w:pgMar w:footer="980" w:header="745"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单项金额重大、单独进行减值测试未发生减值的应收款项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其他的应收款项以账龄特征划分若干应收款项组合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84"/>
        <w:jc w:val="left"/>
      </w:pPr>
      <w:r>
        <w:rPr/>
        <w:t>组合中，采用账龄分析法计提坏账准备的：</w:t>
      </w:r>
    </w:p>
    <w:p>
      <w:pPr>
        <w:pStyle w:val="BodyText"/>
        <w:spacing w:line="240" w:lineRule="auto" w:before="115"/>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84"/>
        <w:jc w:val="left"/>
      </w:pPr>
      <w:r>
        <w:rPr/>
        <w:t>组合中，采用余额百分比法计提坏账准备的：</w:t>
      </w:r>
    </w:p>
    <w:p>
      <w:pPr>
        <w:pStyle w:val="BodyText"/>
        <w:spacing w:line="338" w:lineRule="auto" w:before="117"/>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8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证据表明其发生了减值的应收款项，按组合计提的坏账准备 不能反映实际情况，本公司单独进行减值测试。</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8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48" w:lineRule="auto" w:before="27"/>
        <w:ind w:left="513" w:right="2793"/>
        <w:jc w:val="left"/>
      </w:pPr>
      <w:r>
        <w:rPr>
          <w:rFonts w:ascii="Times New Roman" w:hAnsi="Times New Roman" w:cs="Times New Roman" w:eastAsia="Times New Roman" w:hint="default"/>
        </w:rPr>
        <w:t>1</w:t>
      </w:r>
      <w:r>
        <w:rPr/>
        <w:t>、存货的分类 存货主要包括原材料、在产品、库存商品、发出商品、自制半成品和低值易耗品等。 </w:t>
      </w:r>
      <w:r>
        <w:rPr>
          <w:rFonts w:ascii="Times New Roman" w:hAnsi="Times New Roman" w:cs="Times New Roman" w:eastAsia="Times New Roman" w:hint="default"/>
        </w:rPr>
        <w:t>2</w:t>
      </w:r>
      <w:r>
        <w:rPr/>
        <w:t>、存货取得和发出的计价方法</w:t>
      </w:r>
    </w:p>
    <w:p>
      <w:pPr>
        <w:pStyle w:val="BodyText"/>
        <w:spacing w:line="316" w:lineRule="auto" w:before="14"/>
        <w:ind w:right="84" w:firstLine="360"/>
        <w:jc w:val="left"/>
      </w:pPr>
      <w:r>
        <w:rPr>
          <w:spacing w:val="-4"/>
        </w:rPr>
        <w:t>存货取得时按实际成本计价；原材料、库存商品等领用或销售采用加权平均法进行核算；产品成本计算主要采用品种法；</w:t>
      </w:r>
      <w:r>
        <w:rPr/>
        <w:t> 低值易耗品采用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pStyle w:val="BodyText"/>
        <w:spacing w:line="340" w:lineRule="auto" w:before="37"/>
        <w:ind w:left="513" w:right="93"/>
        <w:jc w:val="left"/>
      </w:pPr>
      <w:r>
        <w:rPr>
          <w:rFonts w:ascii="Times New Roman" w:hAnsi="Times New Roman" w:cs="Times New Roman" w:eastAsia="Times New Roman" w:hint="default"/>
        </w:rPr>
        <w:t>3</w:t>
      </w:r>
      <w:r>
        <w:rPr/>
        <w:t>、存货可变现净值的确定依据及存货跌价准备的计提方法 本公司对直接用于出售的商品存货，其可变现净值按该存货的估计售价减去估计的销售费用和相关税费后的金额确定；</w:t>
      </w:r>
    </w:p>
    <w:p>
      <w:pPr>
        <w:pStyle w:val="BodyText"/>
        <w:spacing w:line="316" w:lineRule="auto" w:before="1"/>
        <w:ind w:right="190"/>
        <w:jc w:val="both"/>
      </w:pPr>
      <w:r>
        <w:rPr>
          <w:spacing w:val="-2"/>
        </w:rPr>
        <w:t>对需要经过加工的材料存货，以所生产的产成品的估计售价减去至完工时估计将要发生的成本、估计的销售费用和相关税费</w:t>
      </w:r>
      <w:r>
        <w:rPr>
          <w:spacing w:val="-64"/>
        </w:rPr>
        <w:t> </w:t>
      </w:r>
      <w:r>
        <w:rPr>
          <w:spacing w:val="-64"/>
        </w:rPr>
      </w:r>
      <w:r>
        <w:rPr>
          <w:spacing w:val="-2"/>
        </w:rPr>
        <w:t>后的金额确定。在确定存货的可变现净值时，以取得的确凿证据为基础，同时考虑持有存货的目的以及资产负债表日后事项</w:t>
      </w:r>
      <w:r>
        <w:rPr>
          <w:spacing w:val="-63"/>
        </w:rPr>
        <w:t> </w:t>
      </w:r>
      <w:r>
        <w:rPr>
          <w:spacing w:val="-63"/>
        </w:rPr>
      </w:r>
      <w:r>
        <w:rPr/>
        <w:t>的影响。</w:t>
      </w:r>
    </w:p>
    <w:p>
      <w:pPr>
        <w:spacing w:after="0" w:line="316" w:lineRule="auto"/>
        <w:jc w:val="both"/>
        <w:sectPr>
          <w:footerReference w:type="default" r:id="rId15"/>
          <w:pgSz w:w="11910" w:h="16840"/>
          <w:pgMar w:footer="980" w:header="745" w:top="1060" w:bottom="1160" w:left="980" w:right="94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right="109" w:firstLine="360"/>
        <w:jc w:val="both"/>
      </w:pPr>
      <w:r>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BodyText"/>
        <w:spacing w:line="345" w:lineRule="auto" w:before="58"/>
        <w:ind w:left="513" w:right="6593"/>
        <w:jc w:val="left"/>
      </w:pPr>
      <w:r>
        <w:rPr>
          <w:rFonts w:ascii="Times New Roman" w:hAnsi="Times New Roman" w:cs="Times New Roman" w:eastAsia="Times New Roman" w:hint="default"/>
        </w:rPr>
        <w:t>4</w:t>
      </w:r>
      <w:r>
        <w:rPr/>
        <w:t>、存货的盘存制度 本公司采用永续盘存制。 </w:t>
      </w:r>
      <w:r>
        <w:rPr>
          <w:rFonts w:ascii="Times New Roman" w:hAnsi="Times New Roman" w:cs="Times New Roman" w:eastAsia="Times New Roman" w:hint="default"/>
        </w:rPr>
        <w:t>5</w:t>
      </w:r>
      <w:r>
        <w:rPr/>
        <w:t>、低值易耗品的摊销方法 本公司采用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进行分摊。</w:t>
      </w:r>
    </w:p>
    <w:p>
      <w:pPr>
        <w:spacing w:line="240" w:lineRule="auto" w:before="3"/>
        <w:rPr>
          <w:rFonts w:ascii="宋体" w:hAnsi="宋体" w:cs="宋体" w:eastAsia="宋体" w:hint="default"/>
          <w:sz w:val="19"/>
          <w:szCs w:val="19"/>
        </w:rPr>
      </w:pPr>
    </w:p>
    <w:p>
      <w:pPr>
        <w:pStyle w:val="Heading3"/>
        <w:spacing w:line="240" w:lineRule="auto"/>
        <w:ind w:right="8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2" w:lineRule="auto"/>
        <w:ind w:left="578" w:right="84" w:hanging="65"/>
        <w:jc w:val="left"/>
      </w:pPr>
      <w:r>
        <w:rPr>
          <w:rFonts w:ascii="Times New Roman" w:hAnsi="Times New Roman" w:cs="Times New Roman" w:eastAsia="Times New Roman" w:hint="default"/>
        </w:rPr>
        <w:t>1</w:t>
      </w:r>
      <w:r>
        <w:rPr/>
        <w:t>、持有待售的非流动资产或处置组的确认标准 公司主要通过出售（包括具有商业实质的非货币性资产交换，下同）而非持续使用一项非流动资产或处置组收回其账</w:t>
      </w:r>
    </w:p>
    <w:p>
      <w:pPr>
        <w:pStyle w:val="BodyText"/>
        <w:spacing w:line="184" w:lineRule="exact"/>
        <w:ind w:right="84"/>
        <w:jc w:val="left"/>
      </w:pPr>
      <w:r>
        <w:rPr/>
        <w:t>面价值的，应当将其划分为持有待售类别。</w:t>
      </w:r>
    </w:p>
    <w:p>
      <w:pPr>
        <w:pStyle w:val="BodyText"/>
        <w:spacing w:line="240" w:lineRule="auto" w:before="38"/>
        <w:ind w:left="513" w:right="84"/>
        <w:jc w:val="left"/>
      </w:pPr>
      <w:r>
        <w:rPr/>
        <w:t>公司将同时满足下列条件的非流动资产或处置组划分为持有待售类别：</w:t>
      </w:r>
    </w:p>
    <w:p>
      <w:pPr>
        <w:pStyle w:val="BodyText"/>
        <w:spacing w:line="240" w:lineRule="auto" w:before="38"/>
        <w:ind w:left="513" w:right="84"/>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30" w:lineRule="exact" w:before="53"/>
        <w:ind w:right="193" w:firstLine="360"/>
        <w:jc w:val="both"/>
      </w:pPr>
      <w:r>
        <w:rPr/>
        <w:t>（</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 规定要求公司相关权力机构或者监管部门批准后方可出售的，已经获得批准。</w:t>
      </w:r>
    </w:p>
    <w:p>
      <w:pPr>
        <w:pStyle w:val="BodyText"/>
        <w:spacing w:line="230" w:lineRule="exact" w:before="46"/>
        <w:ind w:right="190"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02" w:lineRule="auto" w:before="58"/>
        <w:ind w:left="513" w:right="84"/>
        <w:jc w:val="left"/>
      </w:pPr>
      <w:r>
        <w:rPr>
          <w:rFonts w:ascii="Times New Roman" w:hAnsi="Times New Roman" w:cs="Times New Roman" w:eastAsia="Times New Roman" w:hint="default"/>
        </w:rPr>
        <w:t>2</w:t>
      </w:r>
      <w:r>
        <w:rPr/>
        <w:t>、持有待售的非流动资产或处置组的会计处理方法 </w:t>
      </w:r>
      <w:r>
        <w:rPr>
          <w:spacing w:val="-2"/>
        </w:rPr>
        <w:t>公司初始计量或在资产负债表日重新计量持有待售的非流动资产或处置组时，其账面价值高于公允价值减去出售费用后</w:t>
      </w:r>
    </w:p>
    <w:p>
      <w:pPr>
        <w:pStyle w:val="BodyText"/>
        <w:spacing w:line="185" w:lineRule="exact"/>
        <w:ind w:right="0"/>
        <w:jc w:val="left"/>
      </w:pPr>
      <w:r>
        <w:rPr/>
        <w:t>的净额的，将账面价值减记至公允价值减去出售费用后的净额，减记的金额确认为资产减值损失，计入当期损益，同时计提</w:t>
      </w:r>
    </w:p>
    <w:p>
      <w:pPr>
        <w:pStyle w:val="BodyText"/>
        <w:spacing w:line="234" w:lineRule="exact"/>
        <w:ind w:right="84"/>
        <w:jc w:val="left"/>
      </w:pPr>
      <w:r>
        <w:rPr/>
        <w:t>持有待售资产减值准备。</w:t>
      </w:r>
    </w:p>
    <w:p>
      <w:pPr>
        <w:pStyle w:val="BodyText"/>
        <w:spacing w:line="232" w:lineRule="auto" w:before="44"/>
        <w:ind w:right="190" w:firstLine="360"/>
        <w:jc w:val="both"/>
      </w:pPr>
      <w:r>
        <w:rPr/>
        <w:t>（</w:t>
      </w:r>
      <w:r>
        <w:rPr>
          <w:rFonts w:ascii="Times New Roman" w:hAnsi="Times New Roman" w:cs="Times New Roman" w:eastAsia="Times New Roman" w:hint="default"/>
        </w:rPr>
        <w:t>1</w:t>
      </w:r>
      <w:r>
        <w:rPr/>
        <w:t>）对于持有待售的固定资产，应当调整该项固定资产的预计净残值，使该项固定资产的预计净残值能够反映其公允 </w:t>
      </w:r>
      <w:r>
        <w:rPr>
          <w:spacing w:val="-2"/>
        </w:rPr>
        <w:t>价值减去处置费用后的金额，但不得超过符合持有待售条件时该项固定资产的原账面价值，原账面价值高于调整后预计净残</w:t>
      </w:r>
      <w:r>
        <w:rPr>
          <w:spacing w:val="-64"/>
        </w:rPr>
        <w:t> </w:t>
      </w:r>
      <w:r>
        <w:rPr>
          <w:spacing w:val="-64"/>
        </w:rPr>
      </w:r>
      <w:r>
        <w:rPr>
          <w:spacing w:val="-2"/>
        </w:rPr>
        <w:t>值的差额，应作为资产减值损失计入当期损益。持有待售的固定资产不计提折旧，按照账面价值与公允价值减去处置费用后</w:t>
      </w:r>
      <w:r>
        <w:rPr>
          <w:spacing w:val="-63"/>
        </w:rPr>
        <w:t> </w:t>
      </w:r>
      <w:r>
        <w:rPr>
          <w:spacing w:val="-63"/>
        </w:rPr>
      </w:r>
      <w:r>
        <w:rPr/>
        <w:t>的净额孰低进行计量。</w:t>
      </w:r>
    </w:p>
    <w:p>
      <w:pPr>
        <w:pStyle w:val="BodyText"/>
        <w:spacing w:line="240" w:lineRule="auto" w:before="39"/>
        <w:ind w:left="513" w:right="84"/>
        <w:jc w:val="left"/>
      </w:pPr>
      <w:r>
        <w:rPr/>
        <w:t>（</w:t>
      </w:r>
      <w:r>
        <w:rPr>
          <w:rFonts w:ascii="Times New Roman" w:hAnsi="Times New Roman" w:cs="Times New Roman" w:eastAsia="Times New Roman" w:hint="default"/>
        </w:rPr>
        <w:t>2</w:t>
      </w:r>
      <w:r>
        <w:rPr/>
        <w:t>）对于持有待售的联营企业或合营企业的权益性投资，自划分至持有待售之日起，停止按权益法核算。</w:t>
      </w:r>
    </w:p>
    <w:p>
      <w:pPr>
        <w:pStyle w:val="BodyText"/>
        <w:spacing w:line="232" w:lineRule="exact" w:before="51"/>
        <w:ind w:right="193" w:firstLine="360"/>
        <w:jc w:val="both"/>
      </w:pPr>
      <w:r>
        <w:rPr/>
        <w:t>（</w:t>
      </w:r>
      <w:r>
        <w:rPr>
          <w:rFonts w:ascii="Times New Roman" w:hAnsi="Times New Roman" w:cs="Times New Roman" w:eastAsia="Times New Roman" w:hint="default"/>
        </w:rPr>
        <w:t>3</w:t>
      </w:r>
      <w:r>
        <w:rPr/>
        <w:t>）对于出售的对子公司的投资将导致本公司丧失对子公司的控制权的，无论出售后本公司是否保留少数股东权益， </w:t>
      </w:r>
      <w:r>
        <w:rPr>
          <w:spacing w:val="-2"/>
        </w:rPr>
        <w:t>本公司在拟出售的对子公司投资满足持有待售类别划分条件时，在母公司个别财务报表中将对子公司投资整体划分为持有待</w:t>
      </w:r>
      <w:r>
        <w:rPr>
          <w:spacing w:val="-64"/>
        </w:rPr>
        <w:t> </w:t>
      </w:r>
      <w:r>
        <w:rPr>
          <w:spacing w:val="-64"/>
        </w:rPr>
      </w:r>
      <w:r>
        <w:rPr/>
        <w:t>售类别，在合并财务报表中将子公司所有资产和负债划分为持有待售类别。</w:t>
      </w:r>
    </w:p>
    <w:p>
      <w:pPr>
        <w:pStyle w:val="BodyText"/>
        <w:spacing w:line="240" w:lineRule="auto" w:before="57"/>
        <w:ind w:left="513" w:right="84"/>
        <w:jc w:val="left"/>
      </w:pPr>
      <w:r>
        <w:rPr>
          <w:rFonts w:ascii="Times New Roman" w:hAnsi="Times New Roman" w:cs="Times New Roman" w:eastAsia="Times New Roman" w:hint="default"/>
        </w:rPr>
        <w:t>3</w:t>
      </w:r>
      <w:r>
        <w:rPr/>
        <w:t>、不再满足持有待售确认条件时的会计处理</w:t>
      </w:r>
    </w:p>
    <w:p>
      <w:pPr>
        <w:pStyle w:val="BodyText"/>
        <w:spacing w:line="232" w:lineRule="exact" w:before="87"/>
        <w:ind w:right="193" w:firstLine="360"/>
        <w:jc w:val="both"/>
      </w:pPr>
      <w:r>
        <w:rPr/>
        <w:t>（</w:t>
      </w:r>
      <w:r>
        <w:rPr>
          <w:rFonts w:ascii="Times New Roman" w:hAnsi="Times New Roman" w:cs="Times New Roman" w:eastAsia="Times New Roman" w:hint="default"/>
        </w:rPr>
        <w:t>1</w:t>
      </w:r>
      <w:r>
        <w:rPr/>
        <w:t>）某项资产或处置组被划归为持有待售，但后来不再满足持有待售固定资产确认条件的，本公司停止将其划归为持 有待售，并按照下列两项金额中较低者计量：</w:t>
      </w:r>
    </w:p>
    <w:p>
      <w:pPr>
        <w:pStyle w:val="BodyText"/>
        <w:spacing w:line="232" w:lineRule="exact" w:before="41"/>
        <w:ind w:right="111" w:firstLine="360"/>
        <w:jc w:val="both"/>
      </w:pPr>
      <w:r>
        <w:rPr/>
        <w:t>①该资产或处置组被划归为持有待售之前的账面价值，按照其假定在没有被划归为持有待售的情况下原应确认的折旧、 摊销或减值进行调整后的金额；</w:t>
      </w:r>
    </w:p>
    <w:p>
      <w:pPr>
        <w:pStyle w:val="BodyText"/>
        <w:spacing w:line="240" w:lineRule="auto" w:before="17"/>
        <w:ind w:left="513" w:right="84"/>
        <w:jc w:val="left"/>
      </w:pPr>
      <w:r>
        <w:rPr/>
        <w:t>②决定不再出售之日的再收回金额。</w:t>
      </w:r>
    </w:p>
    <w:p>
      <w:pPr>
        <w:pStyle w:val="BodyText"/>
        <w:spacing w:line="230" w:lineRule="exact" w:before="66"/>
        <w:ind w:right="193" w:firstLine="360"/>
        <w:jc w:val="both"/>
      </w:pPr>
      <w:r>
        <w:rPr/>
        <w:t>（</w:t>
      </w:r>
      <w:r>
        <w:rPr>
          <w:rFonts w:ascii="Times New Roman" w:hAnsi="Times New Roman" w:cs="Times New Roman" w:eastAsia="Times New Roman" w:hint="default"/>
        </w:rPr>
        <w:t>2</w:t>
      </w:r>
      <w:r>
        <w:rPr/>
        <w:t>）已划分为持有待售的对联营企业或合营企业的权益性投资，不再符合持有待售资产分类条件的，本公司从其被分 类为持有待售资产之日起采用权益法进行追溯调整。</w:t>
      </w:r>
    </w:p>
    <w:p>
      <w:pPr>
        <w:pStyle w:val="BodyText"/>
        <w:spacing w:line="266" w:lineRule="auto" w:before="17"/>
        <w:ind w:left="513" w:right="84"/>
        <w:jc w:val="left"/>
      </w:pPr>
      <w:r>
        <w:rPr>
          <w:rFonts w:ascii="Times New Roman" w:hAnsi="Times New Roman" w:cs="Times New Roman" w:eastAsia="Times New Roman" w:hint="default"/>
        </w:rPr>
        <w:t>4</w:t>
      </w:r>
      <w:r>
        <w:rPr/>
        <w:t>、其他持有待售非流动资产的会计处理 </w:t>
      </w:r>
      <w:r>
        <w:rPr>
          <w:spacing w:val="-4"/>
        </w:rPr>
        <w:t>符合持有待售条件的无形资产等其他非流动资产，比照上述原则处理，此处所指其他非流动资产不包括递延所得税资产、</w:t>
      </w:r>
    </w:p>
    <w:p>
      <w:pPr>
        <w:pStyle w:val="BodyText"/>
        <w:spacing w:line="230" w:lineRule="exact" w:before="3"/>
        <w:ind w:right="177"/>
        <w:jc w:val="left"/>
      </w:pPr>
      <w:r>
        <w:rPr/>
        <w:t>职工薪酬形成的资产、《企业会计准则第</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金融工具确认和计量》规范的金融资产、以公允价值计量的投资性房地 产和生物资产、保险合同中产生的合同权利。</w:t>
      </w:r>
    </w:p>
    <w:p>
      <w:pPr>
        <w:spacing w:line="240" w:lineRule="auto" w:before="9"/>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84"/>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84"/>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3" w:firstLine="432"/>
        <w:jc w:val="both"/>
      </w:pPr>
      <w:r>
        <w:rPr/>
        <w:t>重大影响，是指对一个企业的财务和经营决策有参与决策的权力，但并不能够控制或者与其他方一起共同控制这些政 策的制定。本能够对被投资单位施加重大影响的，被投资单位为本公司联营企业。</w:t>
      </w:r>
    </w:p>
    <w:p>
      <w:pPr>
        <w:pStyle w:val="BodyText"/>
        <w:spacing w:line="240" w:lineRule="auto" w:before="17"/>
        <w:ind w:left="513" w:right="84"/>
        <w:jc w:val="left"/>
      </w:pPr>
      <w:r>
        <w:rPr>
          <w:rFonts w:ascii="Times New Roman" w:hAnsi="Times New Roman" w:cs="Times New Roman" w:eastAsia="Times New Roman" w:hint="default"/>
        </w:rPr>
        <w:t>2</w:t>
      </w:r>
      <w:r>
        <w:rPr/>
        <w:t>、初始投资成本的确定</w:t>
      </w:r>
    </w:p>
    <w:p>
      <w:pPr>
        <w:pStyle w:val="BodyText"/>
        <w:spacing w:line="300" w:lineRule="auto" w:before="63"/>
        <w:ind w:left="513" w:right="84"/>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4" w:lineRule="auto" w:before="31"/>
        <w:ind w:right="9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t>财务报表中的账面价值的份额，确定长期股权投资四川川润股份有限公司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年年度的初始投资成本。合并日长期股权投 资的初始投资成本，与达到合并前的长期股权投资账面价值加上合并日进一步取得股份新支付对价的账面价值之和的差额， 调整股本溢价，股本溢价不足冲减的，冲减留存收益。</w:t>
      </w:r>
    </w:p>
    <w:p>
      <w:pPr>
        <w:pStyle w:val="BodyText"/>
        <w:spacing w:line="319" w:lineRule="auto" w:before="20"/>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7"/>
        <w:ind w:left="513" w:right="84"/>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22"/>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84"/>
        <w:jc w:val="left"/>
      </w:pPr>
      <w:r>
        <w:rPr/>
        <w:t>通过债务重组取得的长期股权投资，其初始投资成本按照公允价值为基础确定。</w:t>
      </w:r>
    </w:p>
    <w:p>
      <w:pPr>
        <w:pStyle w:val="BodyText"/>
        <w:spacing w:line="240" w:lineRule="auto" w:before="76"/>
        <w:ind w:left="513" w:right="84"/>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3" w:right="84"/>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84"/>
        <w:jc w:val="left"/>
      </w:pPr>
      <w:r>
        <w:rPr/>
        <w:t>金股利或利润外，公司按照享有被投资单位宣告发放的现金股利或利润确认当期投资收益。</w:t>
      </w:r>
    </w:p>
    <w:p>
      <w:pPr>
        <w:pStyle w:val="BodyText"/>
        <w:spacing w:line="300" w:lineRule="auto" w:before="76"/>
        <w:ind w:left="513" w:right="84"/>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right="84"/>
        <w:jc w:val="left"/>
      </w:pPr>
      <w:r>
        <w:rPr>
          <w:spacing w:val="-2"/>
        </w:rPr>
        <w:t>允价值份额的差额，不调整长期股权投资的初始投资成本；初始投资成本小于投资时应享有被投资单位可辨认净资产公允价</w:t>
      </w:r>
      <w:r>
        <w:rPr>
          <w:spacing w:val="-62"/>
        </w:rPr>
        <w:t> </w:t>
      </w:r>
      <w:r>
        <w:rPr>
          <w:spacing w:val="-62"/>
        </w:rPr>
      </w:r>
      <w:r>
        <w:rPr/>
        <w:t>值份额的差额，计入当期损益。</w:t>
      </w:r>
    </w:p>
    <w:p>
      <w:pPr>
        <w:pStyle w:val="BodyText"/>
        <w:spacing w:line="316" w:lineRule="auto" w:before="19"/>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9" w:lineRule="auto" w:before="19"/>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7"/>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和</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369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90" w:firstLine="360"/>
        <w:jc w:val="both"/>
      </w:pPr>
      <w:r>
        <w:rPr>
          <w:spacing w:val="-2"/>
        </w:rPr>
        <w:t>采用权益法核算的长期股权投资，在处置该项投资时，采用与被投资单位直接处置相关资产或负债相同的基础，按相应</w:t>
      </w:r>
      <w:r>
        <w:rPr/>
        <w:t> 比例对原计入其他综合收益的部分进行会计处理。因被投资单位除净损益、其他综合收</w:t>
      </w:r>
      <w:r>
        <w:rPr>
          <w:spacing w:val="6"/>
        </w:rPr>
        <w:t> </w:t>
      </w:r>
      <w:r>
        <w:rPr/>
        <w:t>益和利润分配以外的其他所有者权</w:t>
      </w:r>
      <w:r>
        <w:rPr>
          <w:spacing w:val="-88"/>
        </w:rPr>
        <w:t> </w:t>
      </w:r>
      <w:r>
        <w:rPr>
          <w:spacing w:val="-88"/>
        </w:rPr>
      </w:r>
      <w:r>
        <w:rPr>
          <w:spacing w:val="-2"/>
        </w:rPr>
        <w:t>益变动而确认的所有者权益，按比例结转入当期损益，由于被投资方重新计量设定受益计划净负债或净资产变动而产生的其</w:t>
      </w:r>
      <w:r>
        <w:rPr>
          <w:spacing w:val="-64"/>
        </w:rPr>
        <w:t> </w:t>
      </w:r>
      <w:r>
        <w:rPr>
          <w:spacing w:val="-64"/>
        </w:rPr>
      </w:r>
      <w:r>
        <w:rPr/>
        <w:t>他综合收益除外。</w:t>
      </w:r>
    </w:p>
    <w:p>
      <w:pPr>
        <w:pStyle w:val="BodyText"/>
        <w:spacing w:line="316" w:lineRule="auto" w:before="19"/>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3"/>
        </w:rPr>
        <w:t> </w:t>
      </w:r>
      <w:r>
        <w:rPr>
          <w:spacing w:val="-63"/>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9" w:lineRule="auto" w:before="19"/>
        <w:ind w:right="192"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7"/>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357" w:lineRule="auto" w:before="29"/>
        <w:ind w:right="1354"/>
        <w:jc w:val="left"/>
      </w:pPr>
      <w:r>
        <w:rPr/>
        <w:t>对已出租的建筑物，按其账面价值及房屋建筑物的估计使用年限，扣除残值后，采用直线法按月计提折旧。 对已出租的土地使用权，按其账面价值及土地使用权的尚可使用年限，采用直线法按月进行摊销。</w:t>
      </w:r>
    </w:p>
    <w:p>
      <w:pPr>
        <w:spacing w:line="240" w:lineRule="auto" w:before="6"/>
        <w:rPr>
          <w:rFonts w:ascii="宋体" w:hAnsi="宋体" w:cs="宋体" w:eastAsia="宋体" w:hint="default"/>
          <w:sz w:val="20"/>
          <w:szCs w:val="20"/>
        </w:rPr>
      </w:pPr>
    </w:p>
    <w:p>
      <w:pPr>
        <w:pStyle w:val="Heading3"/>
        <w:spacing w:line="240" w:lineRule="auto"/>
        <w:ind w:right="8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firstLine="360"/>
        <w:jc w:val="both"/>
      </w:pPr>
      <w:r>
        <w:rPr>
          <w:spacing w:val="-2"/>
        </w:rPr>
        <w:t>固定资产是指为生产商品、提供劳务、出租或经营管理而持有的，使用寿命超过一个会计年度的有形资产。固定资产同</w:t>
      </w:r>
      <w:r>
        <w:rPr/>
        <w:t> </w:t>
      </w:r>
      <w:r>
        <w:rPr>
          <w:spacing w:val="-2"/>
        </w:rPr>
        <w:t>时满足下列条件的，本公司予以确认：①与该固定资产有关的经济利益很可能流入企业；②该固定资产的成本能够可靠地计</w:t>
      </w:r>
      <w:r>
        <w:rPr>
          <w:spacing w:val="-61"/>
        </w:rPr>
        <w:t> </w:t>
      </w:r>
      <w:r>
        <w:rPr>
          <w:spacing w:val="-61"/>
        </w:rPr>
      </w:r>
      <w:r>
        <w:rPr/>
        <w:t>量。</w:t>
      </w:r>
    </w:p>
    <w:p>
      <w:pPr>
        <w:spacing w:line="240" w:lineRule="auto" w:before="11"/>
        <w:rPr>
          <w:rFonts w:ascii="宋体" w:hAnsi="宋体" w:cs="宋体" w:eastAsia="宋体" w:hint="default"/>
          <w:sz w:val="22"/>
          <w:szCs w:val="22"/>
        </w:rPr>
      </w:pPr>
    </w:p>
    <w:p>
      <w:pPr>
        <w:pStyle w:val="Heading3"/>
        <w:spacing w:line="240" w:lineRule="auto"/>
        <w:ind w:right="8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2.11%-3.80%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5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5"/>
        </w:rPr>
        <w:t> </w:t>
      </w:r>
      <w:r>
        <w:rPr>
          <w:spacing w:val="-75"/>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）租赁开始日的最低租赁付款额现值，与该资产的公允价值不存在较大的差异。公司在租赁开始</w:t>
      </w:r>
      <w:r>
        <w:rPr>
          <w:spacing w:val="-42"/>
        </w:rPr>
        <w:t> </w:t>
      </w:r>
      <w:r>
        <w:rPr>
          <w:spacing w:val="-42"/>
        </w:rPr>
      </w:r>
      <w:r>
        <w:rPr>
          <w:spacing w:val="-2"/>
        </w:rPr>
        <w:t>日，将租赁资产公允价值与最低租赁付款额现值两者中较低者作为融资租入固定资产的入账价值，将最低租赁付款额作为长</w:t>
      </w:r>
      <w:r>
        <w:rPr>
          <w:spacing w:val="-64"/>
        </w:rPr>
        <w:t> </w:t>
      </w:r>
      <w:r>
        <w:rPr>
          <w:spacing w:val="-64"/>
        </w:rPr>
      </w:r>
      <w:r>
        <w:rPr/>
        <w:t>期应付款的入账价值，其差额作为未确认的融资费用。</w:t>
      </w:r>
    </w:p>
    <w:p>
      <w:pPr>
        <w:spacing w:line="240" w:lineRule="auto" w:before="6"/>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p>
      <w:pPr>
        <w:pStyle w:val="BodyText"/>
        <w:spacing w:line="300" w:lineRule="auto" w:before="29"/>
        <w:ind w:right="153" w:firstLine="360"/>
        <w:jc w:val="both"/>
      </w:pPr>
      <w:r>
        <w:rPr>
          <w:rFonts w:ascii="Times New Roman" w:hAnsi="Times New Roman" w:cs="Times New Roman" w:eastAsia="Times New Roman" w:hint="default"/>
        </w:rPr>
        <w:t>1</w:t>
      </w:r>
      <w:r>
        <w:rPr/>
        <w:t>、在建工程的类别：本公司在建工程指为建造或更新改造固定资产而进行的各项建筑和安装工程，包括自营的在建工 程和发包的在建工程；</w:t>
      </w:r>
    </w:p>
    <w:p>
      <w:pPr>
        <w:pStyle w:val="BodyText"/>
        <w:spacing w:line="300" w:lineRule="auto" w:before="72"/>
        <w:ind w:right="153" w:firstLine="360"/>
        <w:jc w:val="both"/>
      </w:pPr>
      <w:r>
        <w:rPr>
          <w:rFonts w:ascii="Times New Roman" w:hAnsi="Times New Roman" w:cs="Times New Roman" w:eastAsia="Times New Roman" w:hint="default"/>
        </w:rPr>
        <w:t>2</w:t>
      </w:r>
      <w:r>
        <w:rPr/>
        <w:t>、在建工程的计价：在建工程按成本进行初始计量，工程成本包括在建期间发生的各项工程支出以及符合资本化条件 的借款费用等；</w:t>
      </w:r>
    </w:p>
    <w:p>
      <w:pPr>
        <w:pStyle w:val="BodyText"/>
        <w:spacing w:line="309" w:lineRule="auto" w:before="70"/>
        <w:ind w:right="151" w:firstLine="360"/>
        <w:jc w:val="both"/>
      </w:pPr>
      <w:r>
        <w:rPr>
          <w:rFonts w:ascii="Times New Roman" w:hAnsi="Times New Roman" w:cs="Times New Roman" w:eastAsia="Times New Roman" w:hint="default"/>
        </w:rPr>
        <w:t>3</w:t>
      </w:r>
      <w:r>
        <w:rPr/>
        <w:t>、在建工程结转固定资产的时点：本公司在工程完工、验收合格交付使用的当月结转固定资产。对已达到预定可使用 </w:t>
      </w:r>
      <w:r>
        <w:rPr>
          <w:spacing w:val="-2"/>
        </w:rPr>
        <w:t>状态但尚未办理竣工决算的固定资产，按照估计价值确定其成本，并计提折旧；待办理竣工结算后，按实际成本调整原来的</w:t>
      </w:r>
      <w:r>
        <w:rPr>
          <w:spacing w:val="-64"/>
        </w:rPr>
        <w:t> </w:t>
      </w:r>
      <w:r>
        <w:rPr>
          <w:spacing w:val="-64"/>
        </w:rPr>
      </w:r>
      <w:r>
        <w:rPr/>
        <w:t>暂估价值，但不调整原已计提的折旧额。</w:t>
      </w:r>
    </w:p>
    <w:p>
      <w:pPr>
        <w:spacing w:line="240" w:lineRule="auto" w:before="3"/>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50" w:firstLine="360"/>
        <w:jc w:val="both"/>
      </w:pPr>
      <w:r>
        <w:rPr>
          <w:rFonts w:ascii="Times New Roman" w:hAnsi="Times New Roman" w:cs="Times New Roman" w:eastAsia="Times New Roman" w:hint="default"/>
        </w:rPr>
        <w:t>1</w:t>
      </w:r>
      <w:r>
        <w:rPr/>
        <w:t>、借款费用资本化的确认原则：借款费用包括因借款而发生的利息、折价或溢价的摊销和辅助费用，以及因外币借款 </w:t>
      </w:r>
      <w:r>
        <w:rPr>
          <w:spacing w:val="-2"/>
        </w:rPr>
        <w:t>而发生的汇兑差额等。本公司发生的借款费用，可直接归属于符合资本化条件的资产的购建或者生产的，予以资本化，计入</w:t>
      </w:r>
      <w:r>
        <w:rPr>
          <w:spacing w:val="-63"/>
        </w:rPr>
        <w:t> </w:t>
      </w:r>
      <w:r>
        <w:rPr>
          <w:spacing w:val="-63"/>
        </w:rPr>
      </w:r>
      <w:r>
        <w:rPr/>
        <w:t>相关资产的成本；其他借款费用，在发生时根据其发生额确认为费用，计入当期损益。</w:t>
      </w:r>
    </w:p>
    <w:p>
      <w:pPr>
        <w:pStyle w:val="BodyText"/>
        <w:spacing w:line="240" w:lineRule="auto" w:before="65"/>
        <w:ind w:left="513" w:right="153"/>
        <w:jc w:val="left"/>
      </w:pPr>
      <w:r>
        <w:rPr>
          <w:rFonts w:ascii="Times New Roman" w:hAnsi="Times New Roman" w:cs="Times New Roman" w:eastAsia="Times New Roman" w:hint="default"/>
        </w:rPr>
        <w:t>2</w:t>
      </w:r>
      <w:r>
        <w:rPr/>
        <w:t>、借款费用资本化的开始：本公司对同时满足以下三个条件的借款费用，开始资本化：</w:t>
      </w:r>
    </w:p>
    <w:p>
      <w:pPr>
        <w:pStyle w:val="BodyText"/>
        <w:spacing w:line="300" w:lineRule="auto" w:before="101"/>
        <w:ind w:right="153" w:firstLine="360"/>
        <w:jc w:val="both"/>
      </w:pPr>
      <w:r>
        <w:rPr/>
        <w:t>（</w:t>
      </w:r>
      <w:r>
        <w:rPr>
          <w:rFonts w:ascii="Times New Roman" w:hAnsi="Times New Roman" w:cs="Times New Roman" w:eastAsia="Times New Roman" w:hint="default"/>
        </w:rPr>
        <w:t>1</w:t>
      </w:r>
      <w:r>
        <w:rPr/>
        <w:t>）资产支出（资产支出包括为购建固定资产或者生产符合资本化条件的资产而以支付现金、转移非现金资产或者承 担带息债务形式发生的支出）已经发生；</w:t>
      </w:r>
    </w:p>
    <w:p>
      <w:pPr>
        <w:pStyle w:val="BodyText"/>
        <w:spacing w:line="240" w:lineRule="auto" w:before="72"/>
        <w:ind w:left="513" w:right="153"/>
        <w:jc w:val="left"/>
      </w:pPr>
      <w:r>
        <w:rPr/>
        <w:t>（</w:t>
      </w:r>
      <w:r>
        <w:rPr>
          <w:rFonts w:ascii="Times New Roman" w:hAnsi="Times New Roman" w:cs="Times New Roman" w:eastAsia="Times New Roman" w:hint="default"/>
        </w:rPr>
        <w:t>2</w:t>
      </w:r>
      <w:r>
        <w:rPr/>
        <w:t>）借款费用已经发生；</w:t>
      </w:r>
    </w:p>
    <w:p>
      <w:pPr>
        <w:pStyle w:val="BodyText"/>
        <w:spacing w:line="240" w:lineRule="auto" w:before="103"/>
        <w:ind w:left="513" w:right="153"/>
        <w:jc w:val="left"/>
      </w:pPr>
      <w:r>
        <w:rPr/>
        <w:t>（</w:t>
      </w:r>
      <w:r>
        <w:rPr>
          <w:rFonts w:ascii="Times New Roman" w:hAnsi="Times New Roman" w:cs="Times New Roman" w:eastAsia="Times New Roman" w:hint="default"/>
        </w:rPr>
        <w:t>3</w:t>
      </w:r>
      <w:r>
        <w:rPr/>
        <w:t>）为使资产达到预定可使用状态或者可销售状态所必要的购建活动或者生产活动已经开始。</w:t>
      </w:r>
    </w:p>
    <w:p>
      <w:pPr>
        <w:pStyle w:val="BodyText"/>
        <w:spacing w:line="240" w:lineRule="auto" w:before="101"/>
        <w:ind w:left="513" w:right="0"/>
        <w:jc w:val="left"/>
      </w:pPr>
      <w:r>
        <w:rPr>
          <w:rFonts w:ascii="Times New Roman" w:hAnsi="Times New Roman" w:cs="Times New Roman" w:eastAsia="Times New Roman" w:hint="default"/>
        </w:rPr>
        <w:t>3</w:t>
      </w:r>
      <w:r>
        <w:rPr/>
        <w:t>、资本化期间：是指从借款费用开始资本化时点到停止资本化时点的期间，借款费用暂停资本化的期间不包括在内。</w:t>
      </w:r>
    </w:p>
    <w:p>
      <w:pPr>
        <w:pStyle w:val="BodyText"/>
        <w:spacing w:line="312" w:lineRule="auto" w:before="104"/>
        <w:ind w:right="151" w:firstLine="360"/>
        <w:jc w:val="both"/>
      </w:pPr>
      <w:r>
        <w:rPr>
          <w:rFonts w:ascii="Times New Roman" w:hAnsi="Times New Roman" w:cs="Times New Roman" w:eastAsia="Times New Roman" w:hint="default"/>
        </w:rPr>
        <w:t>4</w:t>
      </w:r>
      <w:r>
        <w:rPr/>
        <w:t>、借款费用资本化的暂停和停止：本公司对符合资本化条件的资产在购建或者生产过程中发生非正常中断，并且中断 </w:t>
      </w:r>
      <w:r>
        <w:rPr>
          <w:spacing w:val="-2"/>
        </w:rPr>
        <w:t>时间连续超过三个月，暂停借款费用的资本化。在中断期间发生的借款费用确认为费用，计入当期损益，直至资产的购建或</w:t>
      </w:r>
      <w:r>
        <w:rPr>
          <w:spacing w:val="-65"/>
        </w:rPr>
        <w:t> </w:t>
      </w:r>
      <w:r>
        <w:rPr>
          <w:spacing w:val="-65"/>
        </w:rPr>
      </w:r>
      <w:r>
        <w:rPr/>
        <w:t>者生产活动重新开始。如果中断是使所购建或者生产的符合资本化条件的资产达到预定可使用或者可销售状态所必要的程</w:t>
      </w:r>
      <w:r>
        <w:rPr>
          <w:spacing w:val="-11"/>
        </w:rPr>
        <w:t> </w:t>
      </w:r>
      <w:r>
        <w:rPr>
          <w:spacing w:val="-11"/>
        </w:rPr>
      </w:r>
      <w:r>
        <w:rPr/>
        <w:t>序，则借款费用的资本化继续进行。</w:t>
      </w:r>
    </w:p>
    <w:p>
      <w:pPr>
        <w:pStyle w:val="BodyText"/>
        <w:spacing w:line="316" w:lineRule="auto" w:before="63"/>
        <w:ind w:right="151" w:firstLine="360"/>
        <w:jc w:val="both"/>
      </w:pPr>
      <w:r>
        <w:rPr>
          <w:spacing w:val="-2"/>
        </w:rPr>
        <w:t>当购建或者生产符合资本化条件的资产达到预定可使用或者可销售状态时，停止借款费用的资本化，以后发生的费用于</w:t>
      </w:r>
      <w:r>
        <w:rPr/>
        <w:t> 发生当期确认为费用。</w:t>
      </w:r>
    </w:p>
    <w:p>
      <w:pPr>
        <w:pStyle w:val="BodyText"/>
        <w:spacing w:line="340" w:lineRule="auto" w:before="57"/>
        <w:ind w:left="513" w:right="2933"/>
        <w:jc w:val="left"/>
      </w:pPr>
      <w:r>
        <w:rPr>
          <w:rFonts w:ascii="Times New Roman" w:hAnsi="Times New Roman" w:cs="Times New Roman" w:eastAsia="Times New Roman" w:hint="default"/>
        </w:rPr>
        <w:t>5</w:t>
      </w:r>
      <w:r>
        <w:rPr/>
        <w:t>、借款费用资本化金额的计算方法 在资本化期间内，本公司对每一会计期间的利息资本化金额，按照下列方法确定：</w:t>
      </w:r>
    </w:p>
    <w:p>
      <w:pPr>
        <w:pStyle w:val="BodyText"/>
        <w:spacing w:line="240" w:lineRule="auto" w:before="41"/>
        <w:ind w:left="513" w:right="0"/>
        <w:jc w:val="left"/>
      </w:pPr>
      <w:r>
        <w:rPr/>
        <w:t>（</w:t>
      </w: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84"/>
        <w:jc w:val="left"/>
      </w:pPr>
      <w:r>
        <w:rPr/>
        <w:t>用的借款资金存入银行取得的利息收入或进行暂时性投资取得的投资收益后的金额确定；</w:t>
      </w:r>
    </w:p>
    <w:p>
      <w:pPr>
        <w:pStyle w:val="BodyText"/>
        <w:spacing w:line="309" w:lineRule="auto" w:before="117"/>
        <w:ind w:right="191" w:firstLine="360"/>
        <w:jc w:val="both"/>
      </w:pPr>
      <w:r>
        <w:rPr/>
        <w:t>（</w:t>
      </w: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3"/>
        </w:rPr>
        <w:t> </w:t>
      </w:r>
      <w:r>
        <w:rPr>
          <w:spacing w:val="-63"/>
        </w:rPr>
      </w:r>
      <w:r>
        <w:rPr/>
        <w:t>计算确定。</w:t>
      </w:r>
    </w:p>
    <w:p>
      <w:pPr>
        <w:spacing w:line="240" w:lineRule="auto" w:before="0"/>
        <w:rPr>
          <w:rFonts w:ascii="宋体" w:hAnsi="宋体" w:cs="宋体" w:eastAsia="宋体" w:hint="default"/>
          <w:sz w:val="23"/>
          <w:szCs w:val="23"/>
        </w:rPr>
      </w:pPr>
    </w:p>
    <w:p>
      <w:pPr>
        <w:pStyle w:val="Heading3"/>
        <w:spacing w:line="240" w:lineRule="auto"/>
        <w:ind w:right="8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8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240" w:lineRule="auto" w:before="29"/>
        <w:ind w:left="513" w:right="84"/>
        <w:jc w:val="left"/>
      </w:pPr>
      <w:r>
        <w:rPr>
          <w:rFonts w:ascii="Times New Roman" w:hAnsi="Times New Roman" w:cs="Times New Roman" w:eastAsia="Times New Roman" w:hint="default"/>
        </w:rPr>
        <w:t>1</w:t>
      </w:r>
      <w:r>
        <w:rPr/>
        <w:t>、本公司对无形资产按照成本进行初始计量，具体方法如下：</w:t>
      </w:r>
    </w:p>
    <w:p>
      <w:pPr>
        <w:pStyle w:val="BodyText"/>
        <w:spacing w:line="300" w:lineRule="auto" w:before="103"/>
        <w:ind w:right="94" w:firstLine="360"/>
        <w:jc w:val="left"/>
      </w:pPr>
      <w:r>
        <w:rPr/>
        <w:t>（</w:t>
      </w:r>
      <w:r>
        <w:rPr>
          <w:rFonts w:ascii="Times New Roman" w:hAnsi="Times New Roman" w:cs="Times New Roman" w:eastAsia="Times New Roman" w:hint="default"/>
        </w:rPr>
        <w:t>1</w:t>
      </w:r>
      <w:r>
        <w:rPr/>
        <w:t>）购入的无形资产的成本，包括购买价款、相关税费及直接归属于使该项资产达到预定用途所发生的其他支出；购 买无形资产的价款超过正常信用条件延期支付，且实质上具有融资性质的，无形资产的成本以购买价款的现值为基础确定；</w:t>
      </w:r>
    </w:p>
    <w:p>
      <w:pPr>
        <w:pStyle w:val="BodyText"/>
        <w:spacing w:line="300" w:lineRule="auto" w:before="70"/>
        <w:ind w:right="184" w:firstLine="360"/>
        <w:jc w:val="left"/>
      </w:pPr>
      <w:r>
        <w:rPr/>
        <w:t>（</w:t>
      </w:r>
      <w:r>
        <w:rPr>
          <w:rFonts w:ascii="Times New Roman" w:hAnsi="Times New Roman" w:cs="Times New Roman" w:eastAsia="Times New Roman" w:hint="default"/>
        </w:rPr>
        <w:t>2</w:t>
      </w:r>
      <w:r>
        <w:rPr/>
        <w:t>）自行开发的无形资产的成本，按满足资本化条件的时点至达到预定用途前发生的支出总额确定，但对于以前期间 已经费用化的支出不再调整；</w:t>
      </w:r>
    </w:p>
    <w:p>
      <w:pPr>
        <w:pStyle w:val="BodyText"/>
        <w:spacing w:line="240" w:lineRule="auto" w:before="72"/>
        <w:ind w:left="513" w:right="84"/>
        <w:jc w:val="left"/>
      </w:pPr>
      <w:r>
        <w:rPr/>
        <w:t>（</w:t>
      </w:r>
      <w:r>
        <w:rPr>
          <w:rFonts w:ascii="Times New Roman" w:hAnsi="Times New Roman" w:cs="Times New Roman" w:eastAsia="Times New Roman" w:hint="default"/>
        </w:rPr>
        <w:t>3</w:t>
      </w:r>
      <w:r>
        <w:rPr/>
        <w:t>）投资者投入的无形资产的成本，按投资合同或协议约定的价值确定，但合同或协议约定价值不公允的除外；</w:t>
      </w:r>
    </w:p>
    <w:p>
      <w:pPr>
        <w:pStyle w:val="BodyText"/>
        <w:spacing w:line="300" w:lineRule="auto" w:before="103"/>
        <w:ind w:right="191" w:firstLine="360"/>
        <w:jc w:val="both"/>
      </w:pPr>
      <w:r>
        <w:rPr>
          <w:spacing w:val="-2"/>
        </w:rPr>
        <w:t>（</w:t>
      </w:r>
      <w:r>
        <w:rPr>
          <w:rFonts w:ascii="Times New Roman" w:hAnsi="Times New Roman" w:cs="Times New Roman" w:eastAsia="Times New Roman" w:hint="default"/>
          <w:spacing w:val="-2"/>
        </w:rPr>
        <w:t>4</w:t>
      </w:r>
      <w:r>
        <w:rPr>
          <w:spacing w:val="-2"/>
        </w:rPr>
        <w:t>）非货币性资产交换、债务重组、政府补助和企业合并取得的无形资产的成本，分别按《企业会计准则第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w:t>
      </w:r>
      <w:r>
        <w:rPr/>
        <w:t> </w:t>
      </w:r>
      <w:r>
        <w:rPr>
          <w:spacing w:val="-2"/>
        </w:rPr>
        <w:t>币性资产交换》、《企业会计准则第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政府补助》和《企业会计准则第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w:t>
      </w:r>
      <w:r>
        <w:rPr>
          <w:spacing w:val="-64"/>
        </w:rPr>
        <w:t> </w:t>
      </w:r>
      <w:r>
        <w:rPr/>
        <w:t>业合并》的相关规定确定。</w:t>
      </w:r>
    </w:p>
    <w:p>
      <w:pPr>
        <w:pStyle w:val="BodyText"/>
        <w:spacing w:line="340" w:lineRule="auto" w:before="70"/>
        <w:ind w:left="513" w:right="84"/>
        <w:jc w:val="left"/>
      </w:pPr>
      <w:r>
        <w:rPr>
          <w:rFonts w:ascii="Times New Roman" w:hAnsi="Times New Roman" w:cs="Times New Roman" w:eastAsia="Times New Roman" w:hint="default"/>
        </w:rPr>
        <w:t>2</w:t>
      </w:r>
      <w:r>
        <w:rPr/>
        <w:t>、本公司对无形资产使用寿命的估计情况如下： </w:t>
      </w:r>
      <w:r>
        <w:rPr>
          <w:spacing w:val="-2"/>
        </w:rPr>
        <w:t>本公司对来源于合同性权利或其他法定权利的无形资产，认定其使用寿命不超过合同性权利或其他法定权利的期限；对</w:t>
      </w:r>
    </w:p>
    <w:p>
      <w:pPr>
        <w:pStyle w:val="BodyText"/>
        <w:spacing w:line="316" w:lineRule="auto" w:before="1"/>
        <w:ind w:right="84"/>
        <w:jc w:val="left"/>
      </w:pPr>
      <w:r>
        <w:rPr>
          <w:spacing w:val="-2"/>
        </w:rPr>
        <w:t>合同或法律没有规定使用寿命的无形资产，通常综合各方面因素判断（如与同行业比较、参考历史经验，或聘用相关专家进</w:t>
      </w:r>
      <w:r>
        <w:rPr>
          <w:spacing w:val="-64"/>
        </w:rPr>
        <w:t> </w:t>
      </w:r>
      <w:r>
        <w:rPr>
          <w:spacing w:val="-64"/>
        </w:rPr>
      </w:r>
      <w:r>
        <w:rPr/>
        <w:t>行论证等），确定无形资产为公司带来经济利益的期限。本公司确定无形资产使用寿命通常考虑如下因素：</w:t>
      </w:r>
    </w:p>
    <w:p>
      <w:pPr>
        <w:pStyle w:val="BodyText"/>
        <w:spacing w:line="240" w:lineRule="auto" w:before="59"/>
        <w:ind w:left="513" w:right="84"/>
        <w:jc w:val="left"/>
      </w:pPr>
      <w:r>
        <w:rPr/>
        <w:t>（</w:t>
      </w: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101"/>
        <w:ind w:left="513" w:right="84"/>
        <w:jc w:val="left"/>
      </w:pPr>
      <w:r>
        <w:rPr/>
        <w:t>（</w:t>
      </w: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104"/>
        <w:ind w:left="513" w:right="84"/>
        <w:jc w:val="left"/>
      </w:pPr>
      <w:r>
        <w:rPr/>
        <w:t>（</w:t>
      </w:r>
      <w:r>
        <w:rPr>
          <w:rFonts w:ascii="Times New Roman" w:hAnsi="Times New Roman" w:cs="Times New Roman" w:eastAsia="Times New Roman" w:hint="default"/>
        </w:rPr>
        <w:t>3</w:t>
      </w:r>
      <w:r>
        <w:rPr/>
        <w:t>）以该资产生产的产品或提供的服务的市场需求情况；</w:t>
      </w:r>
    </w:p>
    <w:p>
      <w:pPr>
        <w:pStyle w:val="BodyText"/>
        <w:spacing w:line="240" w:lineRule="auto" w:before="103"/>
        <w:ind w:left="513" w:right="84"/>
        <w:jc w:val="left"/>
      </w:pPr>
      <w:r>
        <w:rPr/>
        <w:t>（</w:t>
      </w:r>
      <w:r>
        <w:rPr>
          <w:rFonts w:ascii="Times New Roman" w:hAnsi="Times New Roman" w:cs="Times New Roman" w:eastAsia="Times New Roman" w:hint="default"/>
        </w:rPr>
        <w:t>4</w:t>
      </w:r>
      <w:r>
        <w:rPr/>
        <w:t>）现在或潜在的竞争者预期采取的行动；</w:t>
      </w:r>
    </w:p>
    <w:p>
      <w:pPr>
        <w:pStyle w:val="BodyText"/>
        <w:spacing w:line="240" w:lineRule="auto" w:before="101"/>
        <w:ind w:left="513" w:right="84"/>
        <w:jc w:val="left"/>
      </w:pPr>
      <w:r>
        <w:rPr/>
        <w:t>（</w:t>
      </w:r>
      <w:r>
        <w:rPr>
          <w:rFonts w:ascii="Times New Roman" w:hAnsi="Times New Roman" w:cs="Times New Roman" w:eastAsia="Times New Roman" w:hint="default"/>
        </w:rPr>
        <w:t>5</w:t>
      </w:r>
      <w:r>
        <w:rPr/>
        <w:t>）为维护该资产带来经济利益能力的预期维护支出、以及公司预计支付有关支出的能力；</w:t>
      </w:r>
    </w:p>
    <w:p>
      <w:pPr>
        <w:pStyle w:val="BodyText"/>
        <w:spacing w:line="240" w:lineRule="auto" w:before="103"/>
        <w:ind w:left="513" w:right="84"/>
        <w:jc w:val="left"/>
      </w:pPr>
      <w:r>
        <w:rPr/>
        <w:t>（</w:t>
      </w:r>
      <w:r>
        <w:rPr>
          <w:rFonts w:ascii="Times New Roman" w:hAnsi="Times New Roman" w:cs="Times New Roman" w:eastAsia="Times New Roman" w:hint="default"/>
        </w:rPr>
        <w:t>6</w:t>
      </w:r>
      <w:r>
        <w:rPr/>
        <w:t>）对该资产控制期限的相关法律规定或类似限制；</w:t>
      </w:r>
    </w:p>
    <w:p>
      <w:pPr>
        <w:pStyle w:val="BodyText"/>
        <w:spacing w:line="348" w:lineRule="auto" w:before="103"/>
        <w:ind w:left="513" w:right="183"/>
        <w:jc w:val="left"/>
      </w:pPr>
      <w:r>
        <w:rPr/>
        <w:t>（</w:t>
      </w:r>
      <w:r>
        <w:rPr>
          <w:rFonts w:ascii="Times New Roman" w:hAnsi="Times New Roman" w:cs="Times New Roman" w:eastAsia="Times New Roman" w:hint="default"/>
        </w:rPr>
        <w:t>7</w:t>
      </w:r>
      <w:r>
        <w:rPr/>
        <w:t>）与公司持有的其他资产使用寿命的关联性等。 按照上述方法仍无法合理确定无形资产为公司带来经济利益期限的，本公司将其视为使用寿命不确定的无形资产。 </w:t>
      </w:r>
      <w:r>
        <w:rPr>
          <w:rFonts w:ascii="Times New Roman" w:hAnsi="Times New Roman" w:cs="Times New Roman" w:eastAsia="Times New Roman" w:hint="default"/>
        </w:rPr>
        <w:t>3</w:t>
      </w:r>
      <w:r>
        <w:rPr/>
        <w:t>、本公司对使用寿命有限的无形资产自其可供使用时起至不再作为无形资产确认时止在无形资产使用寿命内采用直线</w:t>
      </w:r>
    </w:p>
    <w:p>
      <w:pPr>
        <w:pStyle w:val="BodyText"/>
        <w:spacing w:line="209" w:lineRule="exact"/>
        <w:ind w:right="0"/>
        <w:jc w:val="left"/>
      </w:pPr>
      <w:r>
        <w:rPr/>
        <w:t>法摊销。即按预计使用年限、合同规定的受益年限和法律规定的有效年限三者中最短者分期平均摊销。摊销金额按其受益对</w:t>
      </w:r>
    </w:p>
    <w:p>
      <w:pPr>
        <w:spacing w:after="0" w:line="209" w:lineRule="exact"/>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84"/>
        <w:jc w:val="left"/>
      </w:pPr>
      <w:r>
        <w:rPr>
          <w:spacing w:val="-2"/>
        </w:rPr>
        <w:t>象计入相关资产成本和当期损益。本公司对已提减值准备的无形资产计算应摊销金额时，还需扣除该无形资产已计提的减值</w:t>
      </w:r>
      <w:r>
        <w:rPr>
          <w:spacing w:val="-63"/>
        </w:rPr>
        <w:t> </w:t>
      </w:r>
      <w:r>
        <w:rPr>
          <w:spacing w:val="-63"/>
        </w:rPr>
      </w:r>
      <w:r>
        <w:rPr/>
        <w:t>准备累计金额；</w:t>
      </w:r>
    </w:p>
    <w:p>
      <w:pPr>
        <w:pStyle w:val="BodyText"/>
        <w:spacing w:line="316" w:lineRule="auto" w:before="58"/>
        <w:ind w:right="103" w:firstLine="360"/>
        <w:jc w:val="both"/>
      </w:pPr>
      <w:r>
        <w:rPr>
          <w:spacing w:val="-4"/>
        </w:rPr>
        <w:t>对于使用寿命不确定的无形资产，本公司不对其进行摊销，但在每个会计期末，对该部分无形资产的使用寿命进行复核，</w:t>
      </w:r>
      <w:r>
        <w:rPr/>
        <w:t> 如使用寿命仍不能确定，则对其进行减值测试。</w:t>
      </w:r>
    </w:p>
    <w:p>
      <w:pPr>
        <w:pStyle w:val="BodyText"/>
        <w:spacing w:line="340" w:lineRule="auto" w:before="57"/>
        <w:ind w:left="513" w:right="84"/>
        <w:jc w:val="left"/>
      </w:pPr>
      <w:r>
        <w:rPr>
          <w:rFonts w:ascii="Times New Roman" w:hAnsi="Times New Roman" w:cs="Times New Roman" w:eastAsia="Times New Roman" w:hint="default"/>
        </w:rPr>
        <w:t>4</w:t>
      </w:r>
      <w:r>
        <w:rPr/>
        <w:t>、无形资产减值准备的确认标准和计提方法 </w:t>
      </w:r>
      <w:r>
        <w:rPr>
          <w:spacing w:val="-2"/>
        </w:rPr>
        <w:t>本公司对商标等受益年限不确定的无形资产，每年末均需进行减值测试，估计其可收回金额，按其可收回金额低于账面</w:t>
      </w:r>
    </w:p>
    <w:p>
      <w:pPr>
        <w:pStyle w:val="BodyText"/>
        <w:spacing w:line="360" w:lineRule="auto" w:before="1"/>
        <w:ind w:left="513" w:right="84" w:hanging="361"/>
        <w:jc w:val="left"/>
      </w:pPr>
      <w:r>
        <w:rPr/>
        <w:t>价值的差额计提无形资产减值准备，确认资产减值损失。 </w:t>
      </w:r>
      <w:r>
        <w:rPr>
          <w:spacing w:val="-2"/>
        </w:rPr>
        <w:t>对其他无形资产，期末进行检查，当存在下述减值迹象时估计其可收回金额，按其可收回金额低于账面价值的差额计提</w:t>
      </w:r>
    </w:p>
    <w:p>
      <w:pPr>
        <w:pStyle w:val="BodyText"/>
        <w:spacing w:line="222" w:lineRule="exact"/>
        <w:ind w:right="84"/>
        <w:jc w:val="left"/>
      </w:pPr>
      <w:r>
        <w:rPr/>
        <w:t>无形资产减值准备，确认资产减值损失：</w:t>
      </w:r>
    </w:p>
    <w:p>
      <w:pPr>
        <w:pStyle w:val="BodyText"/>
        <w:spacing w:line="240" w:lineRule="auto" w:before="115"/>
        <w:ind w:left="513" w:right="84"/>
        <w:jc w:val="left"/>
      </w:pPr>
      <w:r>
        <w:rPr/>
        <w:t>（</w:t>
      </w:r>
      <w:r>
        <w:rPr>
          <w:rFonts w:ascii="Times New Roman" w:hAnsi="Times New Roman" w:cs="Times New Roman" w:eastAsia="Times New Roman" w:hint="default"/>
        </w:rPr>
        <w:t>1</w:t>
      </w:r>
      <w:r>
        <w:rPr/>
        <w:t>）已被其他新技术所代替，使其为本公司创造经济利益的能力受到重大不利影响；</w:t>
      </w:r>
    </w:p>
    <w:p>
      <w:pPr>
        <w:pStyle w:val="BodyText"/>
        <w:spacing w:line="240" w:lineRule="auto" w:before="103"/>
        <w:ind w:left="513" w:right="84"/>
        <w:jc w:val="left"/>
      </w:pPr>
      <w:r>
        <w:rPr/>
        <w:t>（</w:t>
      </w:r>
      <w:r>
        <w:rPr>
          <w:rFonts w:ascii="Times New Roman" w:hAnsi="Times New Roman" w:cs="Times New Roman" w:eastAsia="Times New Roman" w:hint="default"/>
        </w:rPr>
        <w:t>2</w:t>
      </w:r>
      <w:r>
        <w:rPr/>
        <w:t>）市价在当期大幅下跌，在剩余摊销年限内预期不会恢复；</w:t>
      </w:r>
    </w:p>
    <w:p>
      <w:pPr>
        <w:pStyle w:val="BodyText"/>
        <w:spacing w:line="240" w:lineRule="auto" w:before="104"/>
        <w:ind w:left="513" w:right="84"/>
        <w:jc w:val="left"/>
      </w:pPr>
      <w:r>
        <w:rPr/>
        <w:t>（</w:t>
      </w:r>
      <w:r>
        <w:rPr>
          <w:rFonts w:ascii="Times New Roman" w:hAnsi="Times New Roman" w:cs="Times New Roman" w:eastAsia="Times New Roman" w:hint="default"/>
        </w:rPr>
        <w:t>3</w:t>
      </w:r>
      <w:r>
        <w:rPr/>
        <w:t>）已超过法律保护期限，但仍然具有部分使用价值；</w:t>
      </w:r>
    </w:p>
    <w:p>
      <w:pPr>
        <w:pStyle w:val="BodyText"/>
        <w:spacing w:line="340" w:lineRule="auto" w:before="101"/>
        <w:ind w:left="513" w:right="4773"/>
        <w:jc w:val="left"/>
      </w:pPr>
      <w:r>
        <w:rPr/>
        <w:t>（</w:t>
      </w:r>
      <w:r>
        <w:rPr>
          <w:rFonts w:ascii="Times New Roman" w:hAnsi="Times New Roman" w:cs="Times New Roman" w:eastAsia="Times New Roman" w:hint="default"/>
        </w:rPr>
        <w:t>4</w:t>
      </w:r>
      <w:r>
        <w:rPr/>
        <w:t>）其他足以证明实际上已经发生减值的情形。 无形资产减值损失一经确认，在以后的会计期间不再转回。</w:t>
      </w:r>
    </w:p>
    <w:p>
      <w:pPr>
        <w:spacing w:line="240" w:lineRule="auto" w:before="5"/>
        <w:rPr>
          <w:rFonts w:ascii="宋体" w:hAnsi="宋体" w:cs="宋体" w:eastAsia="宋体" w:hint="default"/>
          <w:sz w:val="21"/>
          <w:szCs w:val="21"/>
        </w:rPr>
      </w:pPr>
    </w:p>
    <w:p>
      <w:pPr>
        <w:pStyle w:val="Heading3"/>
        <w:spacing w:line="240" w:lineRule="auto"/>
        <w:ind w:right="8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t>本公司对内部研究开发无形资产的计量原则和会计处理如下：</w:t>
      </w:r>
    </w:p>
    <w:p>
      <w:pPr>
        <w:pStyle w:val="BodyText"/>
        <w:spacing w:line="309" w:lineRule="auto" w:before="115"/>
        <w:ind w:right="192" w:firstLine="360"/>
        <w:jc w:val="both"/>
      </w:pPr>
      <w:r>
        <w:rPr/>
        <w:t>（</w:t>
      </w:r>
      <w:r>
        <w:rPr>
          <w:rFonts w:ascii="Times New Roman" w:hAnsi="Times New Roman" w:cs="Times New Roman" w:eastAsia="Times New Roman" w:hint="default"/>
        </w:rPr>
        <w:t>1</w:t>
      </w:r>
      <w:r>
        <w:rPr/>
        <w:t>）本公司将企业内部研究开发项目的支出区分为研究阶段支出和开发阶段支出，研究阶段支出是指为获取并理解新 </w:t>
      </w:r>
      <w:r>
        <w:rPr>
          <w:spacing w:val="-2"/>
        </w:rPr>
        <w:t>的科学或技术知识而进行的独创性的有计划调查阶段而发生的支出；开发阶段支出是指在进行商业性生产或使用前，将研究</w:t>
      </w:r>
      <w:r>
        <w:rPr>
          <w:spacing w:val="-64"/>
        </w:rPr>
        <w:t> </w:t>
      </w:r>
      <w:r>
        <w:rPr>
          <w:spacing w:val="-64"/>
        </w:rPr>
      </w:r>
      <w:r>
        <w:rPr/>
        <w:t>成果或其他知识应用于某项计划或设计，以生产出新的或具有实质性改进的材料、装置、产品等阶段而发生的支出。</w:t>
      </w:r>
    </w:p>
    <w:p>
      <w:pPr>
        <w:pStyle w:val="BodyText"/>
        <w:spacing w:line="300" w:lineRule="auto" w:before="65"/>
        <w:ind w:right="103" w:firstLine="360"/>
        <w:jc w:val="both"/>
      </w:pPr>
      <w:r>
        <w:rPr>
          <w:spacing w:val="-2"/>
        </w:rPr>
        <w:t>（</w:t>
      </w:r>
      <w:r>
        <w:rPr>
          <w:rFonts w:ascii="Times New Roman" w:hAnsi="Times New Roman" w:cs="Times New Roman" w:eastAsia="Times New Roman" w:hint="default"/>
          <w:spacing w:val="-2"/>
        </w:rPr>
        <w:t>2</w:t>
      </w:r>
      <w:r>
        <w:rPr>
          <w:spacing w:val="-2"/>
        </w:rPr>
        <w:t>）本公司对研究阶段的支出，于发生时计入当期损益；对开发阶段的支出，在同时满足下列条件时确认为无形资产，</w:t>
      </w:r>
      <w:r>
        <w:rPr/>
        <w:t> 不同时满足下列条件的确认为损益：</w:t>
      </w:r>
    </w:p>
    <w:p>
      <w:pPr>
        <w:pStyle w:val="BodyText"/>
        <w:spacing w:line="240" w:lineRule="auto" w:before="72"/>
        <w:ind w:left="513" w:right="84"/>
        <w:jc w:val="left"/>
      </w:pPr>
      <w:r>
        <w:rPr/>
        <w:t>①完成该无形资产以使其能够使用或出售在技术上具有可行性；</w:t>
      </w:r>
    </w:p>
    <w:p>
      <w:pPr>
        <w:pStyle w:val="BodyText"/>
        <w:spacing w:line="240" w:lineRule="auto" w:before="115"/>
        <w:ind w:left="513" w:right="84"/>
        <w:jc w:val="left"/>
      </w:pPr>
      <w:r>
        <w:rPr/>
        <w:t>②具有完成该无形资产并使用或出售的意图；</w:t>
      </w:r>
    </w:p>
    <w:p>
      <w:pPr>
        <w:pStyle w:val="BodyText"/>
        <w:spacing w:line="316" w:lineRule="auto" w:before="117"/>
        <w:ind w:right="192" w:firstLine="360"/>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59"/>
        <w:ind w:left="513" w:right="84"/>
        <w:jc w:val="left"/>
      </w:pPr>
      <w:r>
        <w:rPr/>
        <w:t>④有足够的技术、财务资源和其他资源支持，以完成该无形资产的开发，并有能力使用或出售该无形资产；</w:t>
      </w:r>
    </w:p>
    <w:p>
      <w:pPr>
        <w:pStyle w:val="BodyText"/>
        <w:spacing w:line="240" w:lineRule="auto" w:before="115"/>
        <w:ind w:left="513" w:right="84"/>
        <w:jc w:val="left"/>
      </w:pPr>
      <w:r>
        <w:rPr/>
        <w:t>⑤归属于该无形资产开发阶段的支出能够可靠地计量。</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1" w:firstLine="360"/>
        <w:jc w:val="both"/>
      </w:pPr>
      <w:r>
        <w:rPr>
          <w:spacing w:val="-2"/>
        </w:rPr>
        <w:t>在每个资产负债表日判断长期股权投资等是否存在减值迹象，对存在减值迹象的，估计其可收回金额，可收回金额低于</w:t>
      </w:r>
      <w:r>
        <w:rPr/>
        <w:t> </w:t>
      </w:r>
      <w:r>
        <w:rPr>
          <w:spacing w:val="-2"/>
        </w:rPr>
        <w:t>其账面价值的，将资产的账面价值减记至可收回金额，减记的金额确认相应的减值损失，计入当期损益，同时计提相应的减</w:t>
      </w:r>
      <w:r>
        <w:rPr>
          <w:spacing w:val="-65"/>
        </w:rPr>
        <w:t> </w:t>
      </w:r>
      <w:r>
        <w:rPr>
          <w:spacing w:val="-65"/>
        </w:rPr>
      </w:r>
      <w:r>
        <w:rPr/>
        <w:t>值准备。</w:t>
      </w:r>
    </w:p>
    <w:p>
      <w:pPr>
        <w:pStyle w:val="BodyText"/>
        <w:spacing w:line="316" w:lineRule="auto" w:before="55"/>
        <w:ind w:right="19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316" w:lineRule="auto" w:before="59"/>
        <w:ind w:right="190" w:firstLine="360"/>
        <w:jc w:val="both"/>
      </w:pPr>
      <w:r>
        <w:rPr>
          <w:spacing w:val="-2"/>
        </w:rPr>
        <w:t>资产减值损失确认后，减值资产的折旧或者摊销费用在未来期间做相应调整，使资产在剩余寿命内，系统地分摊调整后</w:t>
      </w:r>
      <w:r>
        <w:rPr/>
        <w:t> 的资产账面价值。</w:t>
      </w:r>
    </w:p>
    <w:p>
      <w:pPr>
        <w:pStyle w:val="BodyText"/>
        <w:spacing w:line="357" w:lineRule="auto" w:before="59"/>
        <w:ind w:left="513" w:right="84"/>
        <w:jc w:val="left"/>
      </w:pPr>
      <w:r>
        <w:rPr/>
        <w:t>对于合并所形成的商誉每年年度终了进行减值测试。 </w:t>
      </w:r>
      <w:r>
        <w:rPr>
          <w:spacing w:val="-2"/>
        </w:rPr>
        <w:t>关于商誉减值测试，对于因企业合并形成的商誉的账面价值，自购买日起按照合理的方法分摊至相关的资产组；难以分</w:t>
      </w:r>
    </w:p>
    <w:p>
      <w:pPr>
        <w:spacing w:after="0" w:line="357"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摊至相关的资产组的，将其分摊至相关的资产组组合。在将商誉的账面价值分摊至相关的资产组或者资产组组合时，按照各</w:t>
      </w:r>
      <w:r>
        <w:rPr>
          <w:spacing w:val="-63"/>
        </w:rPr>
        <w:t> </w:t>
      </w:r>
      <w:r>
        <w:rPr>
          <w:spacing w:val="-63"/>
        </w:rPr>
      </w:r>
      <w:r>
        <w:rPr/>
        <w:t>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BodyText"/>
        <w:spacing w:line="316" w:lineRule="auto" w:before="58"/>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8"/>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1" w:firstLine="360"/>
        <w:jc w:val="both"/>
      </w:pPr>
      <w:r>
        <w:rPr>
          <w:spacing w:val="-1"/>
        </w:rPr>
        <w:t>长期待摊费用核算已经发生，但应由当期及以后各期负担的分摊期限在一年以上</w:t>
      </w:r>
      <w:r>
        <w:rPr>
          <w:rFonts w:ascii="Times New Roman" w:hAnsi="Times New Roman" w:cs="Times New Roman" w:eastAsia="Times New Roman" w:hint="default"/>
          <w:spacing w:val="-1"/>
        </w:rPr>
        <w:t>(</w:t>
      </w:r>
      <w:r>
        <w:rPr>
          <w:spacing w:val="-1"/>
        </w:rPr>
        <w:t>不含一年</w:t>
      </w:r>
      <w:r>
        <w:rPr>
          <w:rFonts w:ascii="Times New Roman" w:hAnsi="Times New Roman" w:cs="Times New Roman" w:eastAsia="Times New Roman" w:hint="default"/>
          <w:spacing w:val="-1"/>
        </w:rPr>
        <w:t>)</w:t>
      </w:r>
      <w:r>
        <w:rPr>
          <w:spacing w:val="-1"/>
        </w:rPr>
        <w:t>的各项费用，本公司对该等</w:t>
      </w:r>
      <w:r>
        <w:rPr/>
        <w:t> </w:t>
      </w:r>
      <w:r>
        <w:rPr>
          <w:spacing w:val="-2"/>
        </w:rPr>
        <w:t>费用采用直线法在其受益期内平均摊销，如果长期待摊费用项目不能使以后会计期间受益，则将尚未摊销的该项目的摊余价</w:t>
      </w:r>
      <w:r>
        <w:rPr>
          <w:spacing w:val="-64"/>
        </w:rPr>
        <w:t> </w:t>
      </w:r>
      <w:r>
        <w:rPr>
          <w:spacing w:val="-64"/>
        </w:rPr>
      </w:r>
      <w:r>
        <w:rPr/>
        <w:t>值全部转入当期损益。</w:t>
      </w:r>
    </w:p>
    <w:p>
      <w:pPr>
        <w:spacing w:line="240" w:lineRule="auto" w:before="3"/>
        <w:rPr>
          <w:rFonts w:ascii="宋体" w:hAnsi="宋体" w:cs="宋体" w:eastAsia="宋体" w:hint="default"/>
          <w:sz w:val="23"/>
          <w:szCs w:val="23"/>
        </w:rPr>
      </w:pPr>
    </w:p>
    <w:p>
      <w:pPr>
        <w:pStyle w:val="Heading3"/>
        <w:spacing w:line="240" w:lineRule="auto"/>
        <w:ind w:right="8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84"/>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84"/>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224" w:lineRule="exact"/>
        <w:ind w:right="0"/>
        <w:jc w:val="left"/>
      </w:pPr>
      <w:r>
        <w:rPr/>
        <w:t>本。根据设定提存计划，预期不会在职工提供相关服务的年度报告期结束后十二个月内支付全部应缴存金额的，根据资产负</w:t>
      </w:r>
    </w:p>
    <w:p>
      <w:pPr>
        <w:pStyle w:val="BodyText"/>
        <w:spacing w:line="316" w:lineRule="auto" w:before="76"/>
        <w:ind w:right="84"/>
        <w:jc w:val="left"/>
      </w:pP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59"/>
        <w:ind w:right="185" w:firstLine="360"/>
        <w:jc w:val="both"/>
      </w:pPr>
      <w:r>
        <w:rPr/>
        <w:t>公司根据资产负债表日与设定受益计划义务期限和币种相匹配的国债或活跃市场上的高质量公司债券的市场收益率对</w:t>
      </w:r>
      <w:r>
        <w:rPr>
          <w:spacing w:val="2"/>
        </w:rPr>
        <w:t> </w:t>
      </w:r>
      <w:r>
        <w:rPr/>
        <w:t>所有设定受益计划义务予以折现，包括预期在职工提供服务的年度报告期间结束后的十二个月内支付的义务。</w:t>
      </w:r>
    </w:p>
    <w:p>
      <w:pPr>
        <w:pStyle w:val="BodyText"/>
        <w:spacing w:line="316" w:lineRule="auto" w:before="59"/>
        <w:ind w:right="191"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4"/>
        </w:rPr>
        <w:t> </w:t>
      </w:r>
      <w:r>
        <w:rPr>
          <w:spacing w:val="-64"/>
        </w:rPr>
      </w:r>
      <w:r>
        <w:rPr/>
        <w:t>值。</w:t>
      </w:r>
    </w:p>
    <w:p>
      <w:pPr>
        <w:pStyle w:val="BodyText"/>
        <w:spacing w:line="319" w:lineRule="auto" w:before="57"/>
        <w:ind w:right="190"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3"/>
        </w:rPr>
        <w:t> </w:t>
      </w:r>
      <w:r>
        <w:rPr>
          <w:spacing w:val="-63"/>
        </w:rPr>
      </w:r>
      <w:r>
        <w:rPr/>
        <w:t>回至损益，可以在权益范围内转移。</w:t>
      </w:r>
    </w:p>
    <w:p>
      <w:pPr>
        <w:pStyle w:val="BodyText"/>
        <w:spacing w:line="360" w:lineRule="auto" w:before="58"/>
        <w:ind w:left="513" w:right="84"/>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22" w:lineRule="exact"/>
        <w:ind w:right="84"/>
        <w:jc w:val="left"/>
      </w:pPr>
      <w:r>
        <w:rPr/>
        <w:t>的差。</w:t>
      </w:r>
    </w:p>
    <w:p>
      <w:pPr>
        <w:spacing w:line="240" w:lineRule="auto" w:before="0"/>
        <w:rPr>
          <w:rFonts w:ascii="宋体" w:hAnsi="宋体" w:cs="宋体" w:eastAsia="宋体" w:hint="default"/>
          <w:sz w:val="18"/>
          <w:szCs w:val="18"/>
        </w:rPr>
      </w:pPr>
    </w:p>
    <w:p>
      <w:pPr>
        <w:pStyle w:val="Heading3"/>
        <w:spacing w:line="240" w:lineRule="auto" w:before="118"/>
        <w:ind w:right="8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84"/>
        <w:jc w:val="left"/>
      </w:pPr>
      <w:r>
        <w:rPr/>
        <w:t>在下列两者孰早日确认辞退福利产生的职工薪酬负债，并计入当期损益：</w:t>
      </w:r>
    </w:p>
    <w:p>
      <w:pPr>
        <w:pStyle w:val="BodyText"/>
        <w:spacing w:line="240" w:lineRule="auto" w:before="117"/>
        <w:ind w:left="513" w:right="84"/>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spacing w:after="0" w:line="240" w:lineRule="auto"/>
        <w:jc w:val="left"/>
        <w:sectPr>
          <w:footerReference w:type="default" r:id="rId16"/>
          <w:pgSz w:w="11910" w:h="16840"/>
          <w:pgMar w:footer="980" w:header="745" w:top="1060" w:bottom="1160" w:left="980" w:right="940"/>
          <w:pgNumType w:start="108"/>
        </w:sectPr>
      </w:pPr>
    </w:p>
    <w:p>
      <w:pPr>
        <w:spacing w:line="240" w:lineRule="auto" w:before="9"/>
        <w:rPr>
          <w:rFonts w:ascii="宋体" w:hAnsi="宋体" w:cs="宋体" w:eastAsia="宋体" w:hint="default"/>
          <w:sz w:val="25"/>
          <w:szCs w:val="25"/>
        </w:rPr>
      </w:pPr>
    </w:p>
    <w:p>
      <w:pPr>
        <w:pStyle w:val="BodyText"/>
        <w:spacing w:line="340" w:lineRule="auto" w:before="44"/>
        <w:ind w:left="513" w:right="0"/>
        <w:jc w:val="left"/>
      </w:pPr>
      <w:r>
        <w:rPr/>
        <w:t>（</w:t>
      </w:r>
      <w:r>
        <w:rPr>
          <w:rFonts w:ascii="Times New Roman" w:hAnsi="Times New Roman" w:cs="Times New Roman" w:eastAsia="Times New Roman" w:hint="default"/>
        </w:rPr>
        <w:t>2</w:t>
      </w:r>
      <w:r>
        <w:rPr/>
        <w:t>）企业确认与涉及支付辞退福利的重组相关的成本或费用时。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1"/>
        <w:ind w:right="153"/>
        <w:jc w:val="left"/>
      </w:pPr>
      <w:r>
        <w:rPr/>
        <w:t>告期结束后十二个月内不能完全支付的，适用其他长期职工福利的有关规定。</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51" w:firstLine="360"/>
        <w:jc w:val="both"/>
      </w:pPr>
      <w:r>
        <w:rPr/>
        <w:t>其他长期职工福利，符合设定提存计划条件的，根据上述</w:t>
      </w:r>
      <w:r>
        <w:rPr>
          <w:rFonts w:ascii="Times New Roman" w:hAnsi="Times New Roman" w:cs="Times New Roman" w:eastAsia="Times New Roman"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5"/>
        </w:rPr>
        <w:t> </w:t>
      </w:r>
      <w:r>
        <w:rPr>
          <w:spacing w:val="-65"/>
        </w:rPr>
      </w:r>
      <w:r>
        <w:rPr/>
        <w:t>产的利息净额、重新计量其他长期职工福利净负债或净资产所产生的变动的总净额计入当期损益或相关资产成本。</w:t>
      </w:r>
    </w:p>
    <w:p>
      <w:pPr>
        <w:spacing w:line="240" w:lineRule="auto" w:before="3"/>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3" w:firstLine="360"/>
        <w:jc w:val="both"/>
      </w:pPr>
      <w:r>
        <w:rPr>
          <w:spacing w:val="-2"/>
        </w:rPr>
        <w:t>因产品质量保证、对外提供担保、已贴现商业承兑汇票、未决诉讼等事项形成的现时义务，其履行很可能导致经济利益</w:t>
      </w:r>
      <w:r>
        <w:rPr/>
        <w:t> 的流出，在该义务的金额能够可靠计量时，确认为预计负债。对于未来经营亏损，不确认预计负债。</w:t>
      </w:r>
    </w:p>
    <w:p>
      <w:pPr>
        <w:pStyle w:val="BodyText"/>
        <w:spacing w:line="316" w:lineRule="auto" w:before="57"/>
        <w:ind w:right="15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59"/>
        <w:ind w:left="513" w:right="153"/>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3833"/>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340" w:lineRule="auto" w:before="44"/>
        <w:ind w:left="513" w:right="0"/>
        <w:jc w:val="left"/>
      </w:pPr>
      <w:r>
        <w:rPr/>
        <w:t>（</w:t>
      </w:r>
      <w:r>
        <w:rPr>
          <w:rFonts w:ascii="Times New Roman" w:hAnsi="Times New Roman" w:cs="Times New Roman" w:eastAsia="Times New Roman" w:hint="default"/>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16" w:lineRule="auto" w:before="1"/>
        <w:ind w:right="0"/>
        <w:jc w:val="left"/>
      </w:pPr>
      <w:r>
        <w:rPr>
          <w:spacing w:val="-2"/>
        </w:rPr>
        <w:t>权等权益工具，采用期权定价模型等确定其公允价值，选用的期权定价模型至少考虑以下因素：①期权的行权价格；②期权</w:t>
      </w:r>
      <w:r>
        <w:rPr>
          <w:spacing w:val="-64"/>
        </w:rPr>
        <w:t> </w:t>
      </w:r>
      <w:r>
        <w:rPr>
          <w:spacing w:val="-64"/>
        </w:rPr>
      </w:r>
      <w:r>
        <w:rPr/>
        <w:t>期限；③基础股份的现行价格；④股价的预计波动率；⑤股份的预计股利；⑥期权期限内的无风险利率。</w:t>
      </w:r>
    </w:p>
    <w:p>
      <w:pPr>
        <w:pStyle w:val="BodyText"/>
        <w:spacing w:line="340" w:lineRule="auto" w:before="57"/>
        <w:ind w:left="513" w:right="0"/>
        <w:jc w:val="left"/>
      </w:pPr>
      <w:r>
        <w:rPr/>
        <w:t>（</w:t>
      </w:r>
      <w:r>
        <w:rPr>
          <w:rFonts w:ascii="Times New Roman" w:hAnsi="Times New Roman" w:cs="Times New Roman" w:eastAsia="Times New Roman" w:hint="default"/>
        </w:rPr>
        <w:t>3</w:t>
      </w:r>
      <w:r>
        <w:rPr/>
        <w:t>）确认可行权权益工具最佳估计的依据 </w:t>
      </w:r>
      <w:r>
        <w:rPr>
          <w:spacing w:val="-2"/>
        </w:rPr>
        <w:t>在等待期内的每个资产负债表日，以根据最新取得的可行权职工人数变动等后续信息对可行权权益工具数量做出最佳估</w:t>
      </w:r>
    </w:p>
    <w:p>
      <w:pPr>
        <w:pStyle w:val="BodyText"/>
        <w:spacing w:line="240" w:lineRule="auto" w:before="1"/>
        <w:ind w:right="153"/>
        <w:jc w:val="left"/>
      </w:pPr>
      <w:r>
        <w:rPr/>
        <w:t>计。</w:t>
      </w:r>
    </w:p>
    <w:p>
      <w:pPr>
        <w:pStyle w:val="BodyText"/>
        <w:spacing w:line="240" w:lineRule="auto" w:before="117"/>
        <w:ind w:left="513" w:right="153"/>
        <w:jc w:val="left"/>
      </w:pPr>
      <w:r>
        <w:rPr/>
        <w:t>（</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101"/>
        <w:ind w:left="513" w:right="153"/>
        <w:jc w:val="left"/>
      </w:pPr>
      <w:r>
        <w:rPr/>
        <w:t>①以权益结算的股份支付</w:t>
      </w:r>
    </w:p>
    <w:p>
      <w:pPr>
        <w:pStyle w:val="BodyText"/>
        <w:spacing w:line="240" w:lineRule="auto" w:before="117"/>
        <w:ind w:left="513" w:right="0"/>
        <w:jc w:val="left"/>
      </w:pPr>
      <w:r>
        <w:rPr>
          <w:rFonts w:ascii="Times New Roman" w:hAnsi="Times New Roman" w:cs="Times New Roman" w:eastAsia="Times New Roman" w:hint="default"/>
        </w:rPr>
        <w:t>A</w:t>
      </w:r>
      <w:r>
        <w:rPr/>
        <w:t>、对于换取职工服务的股份支付，本公司以股份支付所授予的权益工具的公允价值计量。在等待期内的每个资产负债</w:t>
      </w:r>
    </w:p>
    <w:p>
      <w:pPr>
        <w:pStyle w:val="BodyText"/>
        <w:spacing w:line="319" w:lineRule="auto" w:before="63"/>
        <w:ind w:right="0"/>
        <w:jc w:val="left"/>
      </w:pPr>
      <w:r>
        <w:rPr>
          <w:spacing w:val="-2"/>
        </w:rPr>
        <w:t>表日，以根据最新取得的可行权职工人数变动等后续信息对可行权权益工具数量做出的最佳估计为基础，按照权益工具在授</w:t>
      </w:r>
      <w:r>
        <w:rPr>
          <w:spacing w:val="-64"/>
        </w:rPr>
        <w:t> </w:t>
      </w:r>
      <w:r>
        <w:rPr>
          <w:spacing w:val="-64"/>
        </w:rPr>
      </w:r>
      <w:r>
        <w:rPr/>
        <w:t>予日的公允价值，将当期取得的服务计入相关资产成本或当期费用，同时计入资本公积中的其他资本公积；</w:t>
      </w:r>
    </w:p>
    <w:p>
      <w:pPr>
        <w:pStyle w:val="BodyText"/>
        <w:spacing w:line="300" w:lineRule="auto" w:before="58"/>
        <w:ind w:right="152" w:firstLine="360"/>
        <w:jc w:val="both"/>
      </w:pPr>
      <w:r>
        <w:rPr>
          <w:rFonts w:ascii="Times New Roman" w:hAnsi="Times New Roman" w:cs="Times New Roman" w:eastAsia="Times New Roman" w:hint="default"/>
          <w:spacing w:val="-1"/>
        </w:rPr>
        <w:t>B</w:t>
      </w:r>
      <w:r>
        <w:rPr>
          <w:spacing w:val="-1"/>
        </w:rPr>
        <w:t>、对于授予后立即可行权的换取职工提供服务的权益结算的股份支付，在授予日按照权益工具的公允价值，将取得的</w:t>
      </w:r>
      <w:r>
        <w:rPr/>
        <w:t> 服务计入相关资产成本或当期费用，同时计入资本公积中的股本溢价。</w:t>
      </w:r>
    </w:p>
    <w:p>
      <w:pPr>
        <w:pStyle w:val="BodyText"/>
        <w:spacing w:line="240" w:lineRule="auto" w:before="70"/>
        <w:ind w:left="513" w:right="153"/>
        <w:jc w:val="left"/>
      </w:pPr>
      <w:r>
        <w:rPr/>
        <w:t>②以现金结算的股份支付</w:t>
      </w:r>
    </w:p>
    <w:p>
      <w:pPr>
        <w:pStyle w:val="BodyText"/>
        <w:spacing w:line="309" w:lineRule="auto" w:before="117"/>
        <w:ind w:right="149" w:firstLine="360"/>
        <w:jc w:val="both"/>
      </w:pPr>
      <w:r>
        <w:rPr>
          <w:rFonts w:ascii="Times New Roman" w:hAnsi="Times New Roman" w:cs="Times New Roman" w:eastAsia="Times New Roman" w:hint="default"/>
          <w:spacing w:val="-1"/>
        </w:rPr>
        <w:t>A</w:t>
      </w:r>
      <w:r>
        <w:rPr>
          <w:spacing w:val="-1"/>
        </w:rPr>
        <w:t>、本公司在等待期内的每个资产负债表日，以对可行权情况的最佳估计（如根据最新取得的可行权职工人数变动等后</w:t>
      </w:r>
      <w:r>
        <w:rPr/>
        <w:t> </w:t>
      </w:r>
      <w:r>
        <w:rPr>
          <w:spacing w:val="-2"/>
        </w:rPr>
        <w:t>续信息做出）为基础，按照公司承担负债的公允价值，将当期取得的服务计入相关资产成本或当期费用，同时计入负债（应</w:t>
      </w:r>
      <w:r>
        <w:rPr>
          <w:spacing w:val="-67"/>
        </w:rPr>
        <w:t> </w:t>
      </w:r>
      <w:r>
        <w:rPr>
          <w:spacing w:val="-67"/>
        </w:rPr>
      </w:r>
      <w:r>
        <w:rPr/>
        <w:t>付职工薪酬），并在结算前的每个资产负债表日和结算日对负债的公允价值重新计量，将其变动计入损益；</w:t>
      </w:r>
    </w:p>
    <w:p>
      <w:pPr>
        <w:pStyle w:val="BodyText"/>
        <w:spacing w:line="300" w:lineRule="auto" w:before="65"/>
        <w:ind w:right="153" w:firstLine="360"/>
        <w:jc w:val="both"/>
      </w:pPr>
      <w:r>
        <w:rPr>
          <w:rFonts w:ascii="Times New Roman" w:hAnsi="Times New Roman" w:cs="Times New Roman" w:eastAsia="Times New Roman" w:hint="default"/>
          <w:spacing w:val="-1"/>
        </w:rPr>
        <w:t>B</w:t>
      </w:r>
      <w:r>
        <w:rPr>
          <w:spacing w:val="-1"/>
        </w:rPr>
        <w:t>、对于授予后立即可行权的现金结算的股份支付，在授予日按照公司承担负债的公允价值计入相关资产成本或当期费</w:t>
      </w:r>
      <w:r>
        <w:rPr/>
        <w:t> </w:t>
      </w:r>
      <w:r>
        <w:rPr>
          <w:spacing w:val="-2"/>
        </w:rPr>
        <w:t>用，同时计入负债（应付职工薪酬），并在结算前的每个资产负债表日和结算日对负债的公允价值重新计量，将其变动计入</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损益。</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240" w:lineRule="auto" w:before="25"/>
        <w:ind w:left="513" w:right="153"/>
        <w:jc w:val="left"/>
      </w:pPr>
      <w:r>
        <w:rPr/>
        <w:t>收入确认原则和计量方法</w:t>
      </w:r>
    </w:p>
    <w:p>
      <w:pPr>
        <w:pStyle w:val="BodyText"/>
        <w:spacing w:line="240" w:lineRule="auto" w:before="117"/>
        <w:ind w:left="513" w:right="153"/>
        <w:jc w:val="left"/>
      </w:pPr>
      <w:r>
        <w:rPr>
          <w:rFonts w:ascii="Times New Roman" w:hAnsi="Times New Roman" w:cs="Times New Roman" w:eastAsia="Times New Roman" w:hint="default"/>
        </w:rPr>
        <w:t>1</w:t>
      </w:r>
      <w:r>
        <w:rPr/>
        <w:t>、本公司在同时满足下列条件时，确认商品销售收入：</w:t>
      </w:r>
    </w:p>
    <w:p>
      <w:pPr>
        <w:pStyle w:val="BodyText"/>
        <w:spacing w:line="240" w:lineRule="auto" w:before="104"/>
        <w:ind w:left="513" w:right="153"/>
        <w:jc w:val="left"/>
      </w:pPr>
      <w:r>
        <w:rPr/>
        <w:t>（</w:t>
      </w:r>
      <w:r>
        <w:rPr>
          <w:rFonts w:ascii="Times New Roman" w:hAnsi="Times New Roman" w:cs="Times New Roman" w:eastAsia="Times New Roman" w:hint="default"/>
        </w:rPr>
        <w:t>1</w:t>
      </w:r>
      <w:r>
        <w:rPr/>
        <w:t>）公司已将商品所有权上的主要风险和报酬转移给购买方；</w:t>
      </w:r>
    </w:p>
    <w:p>
      <w:pPr>
        <w:pStyle w:val="BodyText"/>
        <w:spacing w:line="240" w:lineRule="auto" w:before="101"/>
        <w:ind w:left="513" w:right="153"/>
        <w:jc w:val="left"/>
      </w:pPr>
      <w:r>
        <w:rPr/>
        <w:t>（</w:t>
      </w:r>
      <w:r>
        <w:rPr>
          <w:rFonts w:ascii="Times New Roman" w:hAnsi="Times New Roman" w:cs="Times New Roman" w:eastAsia="Times New Roman" w:hint="default"/>
        </w:rPr>
        <w:t>2</w:t>
      </w:r>
      <w:r>
        <w:rPr/>
        <w:t>）不再保留通常与商品所有权相联系的继续管理权，也没有对已售出的商品实施有效控制；</w:t>
      </w:r>
    </w:p>
    <w:p>
      <w:pPr>
        <w:pStyle w:val="BodyText"/>
        <w:spacing w:line="240" w:lineRule="auto" w:before="103"/>
        <w:ind w:left="513" w:right="15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03"/>
        <w:ind w:left="513" w:right="153"/>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1"/>
        <w:ind w:left="513" w:right="153"/>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03"/>
        <w:ind w:left="513" w:right="153"/>
        <w:jc w:val="left"/>
      </w:pPr>
      <w:r>
        <w:rPr>
          <w:rFonts w:ascii="Times New Roman" w:hAnsi="Times New Roman" w:cs="Times New Roman" w:eastAsia="Times New Roman" w:hint="default"/>
        </w:rPr>
        <w:t>2</w:t>
      </w:r>
      <w:r>
        <w:rPr/>
        <w:t>、本公司对外提供劳务时，按以下方法确定收入：</w:t>
      </w:r>
    </w:p>
    <w:p>
      <w:pPr>
        <w:pStyle w:val="BodyText"/>
        <w:spacing w:line="338" w:lineRule="auto" w:before="103"/>
        <w:ind w:left="513" w:right="863"/>
        <w:jc w:val="left"/>
      </w:pPr>
      <w:r>
        <w:rPr/>
        <w:t>（</w:t>
      </w:r>
      <w:r>
        <w:rPr>
          <w:rFonts w:ascii="Times New Roman" w:hAnsi="Times New Roman" w:cs="Times New Roman" w:eastAsia="Times New Roman" w:hint="default"/>
        </w:rPr>
        <w:t>1</w:t>
      </w:r>
      <w:r>
        <w:rPr/>
        <w:t>）在提供劳务交易的结果能够可靠估计的情况下，于资产负债表日按完工百分比法确认相关的劳务收入； 提供劳务交易的结果能够可靠估计，是指同时满足下列条件：</w:t>
      </w:r>
    </w:p>
    <w:p>
      <w:pPr>
        <w:pStyle w:val="BodyText"/>
        <w:spacing w:line="240" w:lineRule="auto" w:before="43"/>
        <w:ind w:left="513" w:right="153"/>
        <w:jc w:val="left"/>
      </w:pPr>
      <w:r>
        <w:rPr/>
        <w:t>①收入的金额能够可靠地计量；</w:t>
      </w:r>
    </w:p>
    <w:p>
      <w:pPr>
        <w:pStyle w:val="BodyText"/>
        <w:spacing w:line="240" w:lineRule="auto" w:before="117"/>
        <w:ind w:left="513" w:right="153"/>
        <w:jc w:val="left"/>
      </w:pPr>
      <w:r>
        <w:rPr/>
        <w:t>②相关的经济利益很可能流入本公司；</w:t>
      </w:r>
    </w:p>
    <w:p>
      <w:pPr>
        <w:pStyle w:val="BodyText"/>
        <w:spacing w:line="240" w:lineRule="auto" w:before="115"/>
        <w:ind w:left="513" w:right="153"/>
        <w:jc w:val="left"/>
      </w:pPr>
      <w:r>
        <w:rPr/>
        <w:t>③交易的完工进度能够可靠地确定；</w:t>
      </w:r>
    </w:p>
    <w:p>
      <w:pPr>
        <w:pStyle w:val="BodyText"/>
        <w:spacing w:line="360" w:lineRule="auto" w:before="117"/>
        <w:ind w:left="513" w:right="5093"/>
        <w:jc w:val="left"/>
      </w:pPr>
      <w:r>
        <w:rPr/>
        <w:t>④交易中已发生和将发生的成本能够可靠地计量。 本公司确定提供劳务交易的完工进度时选用下列方法：</w:t>
      </w:r>
    </w:p>
    <w:p>
      <w:pPr>
        <w:pStyle w:val="BodyText"/>
        <w:spacing w:line="240" w:lineRule="auto" w:before="25"/>
        <w:ind w:left="513" w:right="153"/>
        <w:jc w:val="left"/>
      </w:pPr>
      <w:r>
        <w:rPr/>
        <w:t>①已完工作的测量；</w:t>
      </w:r>
    </w:p>
    <w:p>
      <w:pPr>
        <w:pStyle w:val="BodyText"/>
        <w:spacing w:line="240" w:lineRule="auto" w:before="117"/>
        <w:ind w:left="513" w:right="153"/>
        <w:jc w:val="left"/>
      </w:pPr>
      <w:r>
        <w:rPr/>
        <w:t>②已经提供的劳务占应提供劳务总量的比例；</w:t>
      </w:r>
    </w:p>
    <w:p>
      <w:pPr>
        <w:pStyle w:val="BodyText"/>
        <w:spacing w:line="240" w:lineRule="auto" w:before="117"/>
        <w:ind w:left="513" w:right="153"/>
        <w:jc w:val="left"/>
      </w:pPr>
      <w:r>
        <w:rPr/>
        <w:t>③已经发生的成本占估计总成本的比例。</w:t>
      </w:r>
    </w:p>
    <w:p>
      <w:pPr>
        <w:pStyle w:val="BodyText"/>
        <w:spacing w:line="300" w:lineRule="auto" w:before="115"/>
        <w:ind w:right="144" w:firstLine="360"/>
        <w:jc w:val="left"/>
      </w:pPr>
      <w:r>
        <w:rPr/>
        <w:t>（</w:t>
      </w:r>
      <w:r>
        <w:rPr>
          <w:rFonts w:ascii="Times New Roman" w:hAnsi="Times New Roman" w:cs="Times New Roman" w:eastAsia="Times New Roman" w:hint="default"/>
        </w:rPr>
        <w:t>2</w:t>
      </w:r>
      <w:r>
        <w:rPr/>
        <w:t>）在提供劳务交易的结果不能可靠估计的情况下，于资产负债表日按已经发生并预计能够补偿的劳务成本金额确认 收入，并按相同金额结转成本；</w:t>
      </w:r>
    </w:p>
    <w:p>
      <w:pPr>
        <w:pStyle w:val="BodyText"/>
        <w:spacing w:line="240" w:lineRule="auto" w:before="72"/>
        <w:ind w:left="513" w:right="153"/>
        <w:jc w:val="left"/>
      </w:pPr>
      <w:r>
        <w:rPr/>
        <w:t>如预计已经发生的劳务成本不能得到补偿，则将已经发生的劳务成本计入当期损益，不确认提供劳务收入。</w:t>
      </w:r>
    </w:p>
    <w:p>
      <w:pPr>
        <w:pStyle w:val="BodyText"/>
        <w:spacing w:line="300" w:lineRule="auto" w:before="117"/>
        <w:ind w:right="144" w:firstLine="360"/>
        <w:jc w:val="left"/>
      </w:pPr>
      <w:r>
        <w:rPr>
          <w:rFonts w:ascii="Times New Roman" w:hAnsi="Times New Roman" w:cs="Times New Roman" w:eastAsia="Times New Roman" w:hint="default"/>
        </w:rPr>
        <w:t>3</w:t>
      </w:r>
      <w:r>
        <w:rPr/>
        <w:t>、让渡资产使用权：公司预计相关的经济利益很可能流入本公司、收入的金额能够可靠地计量时，按有关合同或协议 规定的收费时间和方法计算确定。</w:t>
      </w:r>
    </w:p>
    <w:p>
      <w:pPr>
        <w:spacing w:line="240" w:lineRule="auto" w:before="7"/>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73" w:right="153"/>
        <w:jc w:val="left"/>
      </w:pPr>
      <w:r>
        <w:rPr/>
        <w:t>公司取得的、用于购建或以其他方式形成长期资产的政府补助作为与资产相关的政府补助。 与资产相关的政府补助，确认为递延收益，并在相关资产使用寿命内按照合理、系统的方法分期计入损益。按照名义</w:t>
      </w:r>
    </w:p>
    <w:p>
      <w:pPr>
        <w:pStyle w:val="BodyText"/>
        <w:spacing w:line="224" w:lineRule="exact"/>
        <w:ind w:right="153"/>
        <w:jc w:val="left"/>
      </w:pPr>
      <w:r>
        <w:rPr/>
        <w:t>金额计量的政府补助，直接计入当期损益。</w:t>
      </w:r>
    </w:p>
    <w:p>
      <w:pPr>
        <w:pStyle w:val="BodyText"/>
        <w:spacing w:line="240" w:lineRule="auto" w:before="117"/>
        <w:ind w:left="573" w:right="153"/>
        <w:jc w:val="left"/>
      </w:pPr>
      <w:r>
        <w:rPr/>
        <w:t>相关资产在使用寿命结束前被出售、转让、报废或发生毁损的，将尚未分配的相关递延收益余额转入资产处置当期的</w:t>
      </w:r>
    </w:p>
    <w:p>
      <w:pPr>
        <w:spacing w:after="0" w:line="240" w:lineRule="auto"/>
        <w:jc w:val="left"/>
        <w:sectPr>
          <w:footerReference w:type="default" r:id="rId17"/>
          <w:pgSz w:w="11910" w:h="16840"/>
          <w:pgMar w:footer="980" w:header="745" w:top="1060" w:bottom="1160" w:left="980" w:right="98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right="84"/>
        <w:jc w:val="left"/>
      </w:pPr>
      <w:r>
        <w:rPr/>
        <w:t>损益。</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before="44"/>
        <w:ind w:left="513" w:right="93"/>
        <w:jc w:val="left"/>
      </w:pPr>
      <w:r>
        <w:rPr/>
        <w:t>公司取得的与资产相关之外的其他政府补助作为与收益相关的政府补助。与收益相关的政府补助，分别下列情况处理： </w:t>
      </w:r>
      <w:r>
        <w:rPr>
          <w:spacing w:val="-2"/>
        </w:rPr>
        <w:t>用于补偿公司以后期间的相关成本费用或损失的，确认为递延收益，并在确认相关成本费用或损失的期间，计入当期损</w:t>
      </w:r>
    </w:p>
    <w:p>
      <w:pPr>
        <w:pStyle w:val="BodyText"/>
        <w:spacing w:line="224" w:lineRule="exact"/>
        <w:ind w:right="84"/>
        <w:jc w:val="left"/>
      </w:pPr>
      <w:r>
        <w:rPr/>
        <w:t>益。</w:t>
      </w:r>
    </w:p>
    <w:p>
      <w:pPr>
        <w:pStyle w:val="BodyText"/>
        <w:spacing w:line="360" w:lineRule="auto" w:before="117"/>
        <w:ind w:left="513" w:right="84"/>
        <w:jc w:val="left"/>
      </w:pPr>
      <w:r>
        <w:rPr/>
        <w:t>用于补偿公司已发生的相关成本费用或损失的，直接计入当期损益。 </w:t>
      </w:r>
      <w:r>
        <w:rPr>
          <w:spacing w:val="-2"/>
        </w:rPr>
        <w:t>对于同时包含与资产相关部分和与收益相关部分的政府补助，区分不同部分分别进行会计处理；难以区分的，整体归类</w:t>
      </w:r>
    </w:p>
    <w:p>
      <w:pPr>
        <w:pStyle w:val="BodyText"/>
        <w:spacing w:line="222" w:lineRule="exact"/>
        <w:ind w:right="84"/>
        <w:jc w:val="left"/>
      </w:pPr>
      <w:r>
        <w:rPr/>
        <w:t>为与收益相关的政府补助。</w:t>
      </w:r>
    </w:p>
    <w:p>
      <w:pPr>
        <w:pStyle w:val="BodyText"/>
        <w:spacing w:line="240" w:lineRule="auto" w:before="115"/>
        <w:ind w:left="513" w:right="0"/>
        <w:jc w:val="left"/>
      </w:pPr>
      <w:r>
        <w:rPr/>
        <w:t>与公司日常活动相关的政府补助，按照经济业务实质，计入其他收益。与公司日常活动无关的政府补助，计入营业外收</w:t>
      </w:r>
    </w:p>
    <w:p>
      <w:pPr>
        <w:pStyle w:val="BodyText"/>
        <w:spacing w:line="240" w:lineRule="auto" w:before="76"/>
        <w:ind w:right="84"/>
        <w:jc w:val="left"/>
      </w:pPr>
      <w:r>
        <w:rPr/>
        <w:t>支。</w:t>
      </w:r>
    </w:p>
    <w:p>
      <w:pPr>
        <w:spacing w:line="240" w:lineRule="auto" w:before="0"/>
        <w:rPr>
          <w:rFonts w:ascii="宋体" w:hAnsi="宋体" w:cs="宋体" w:eastAsia="宋体" w:hint="default"/>
          <w:sz w:val="18"/>
          <w:szCs w:val="18"/>
        </w:rPr>
      </w:pPr>
    </w:p>
    <w:p>
      <w:pPr>
        <w:pStyle w:val="Heading3"/>
        <w:spacing w:line="240" w:lineRule="auto" w:before="121"/>
        <w:ind w:right="8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1"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w:t>
      </w:r>
      <w:r>
        <w:rPr/>
        <w:t> 法规定能够于以后年度抵减应纳税所得额的可抵扣亏损，视同暂时性差异确认相应的递延所得税资产。</w:t>
      </w:r>
    </w:p>
    <w:p>
      <w:pPr>
        <w:pStyle w:val="BodyText"/>
        <w:spacing w:line="309" w:lineRule="auto" w:before="70"/>
        <w:ind w:right="104" w:firstLine="360"/>
        <w:jc w:val="both"/>
      </w:pPr>
      <w:r>
        <w:rPr>
          <w:spacing w:val="-2"/>
        </w:rPr>
        <w:t>对于商誉的初始确认产生的暂时性差异，不确认相应的递延所得税负债。对于既不影响会计利润也不影响应纳税所得额</w:t>
      </w:r>
      <w:r>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 </w:t>
      </w:r>
      <w:r>
        <w:rPr>
          <w:spacing w:val="-4"/>
        </w:rPr>
        <w:t>延所得税负债。在资产负债表日，递延所得税资产和递延所得税负债按照预期收回该资产或清偿该负债期间的适用税率计量。</w:t>
      </w:r>
    </w:p>
    <w:p>
      <w:pPr>
        <w:pStyle w:val="BodyText"/>
        <w:spacing w:line="316" w:lineRule="auto" w:before="65"/>
        <w:ind w:right="192" w:firstLine="360"/>
        <w:jc w:val="both"/>
      </w:pPr>
      <w:r>
        <w:rPr>
          <w:spacing w:val="-2"/>
        </w:rPr>
        <w:t>递延所得税资产的确认以公司很可能取得用来抵扣可抵扣暂时性差异、可抵扣亏损和税款抵减的应纳税所得额为限。对</w:t>
      </w:r>
      <w:r>
        <w:rPr/>
        <w:t> </w:t>
      </w:r>
      <w:r>
        <w:rPr>
          <w:spacing w:val="-2"/>
        </w:rPr>
        <w:t>子公司及联营企业投资相关的暂时性差异产生的递延所得税资产和递延所得税负债，予以确认。但公司能够控制暂时性差异</w:t>
      </w:r>
      <w:r>
        <w:rPr>
          <w:spacing w:val="-64"/>
        </w:rPr>
        <w:t> </w:t>
      </w:r>
      <w:r>
        <w:rPr>
          <w:spacing w:val="-64"/>
        </w:rPr>
      </w:r>
      <w:r>
        <w:rPr/>
        <w:t>转回的时间且该暂时性差异在可预见的未来很可能不会转回的，不予确认。</w:t>
      </w:r>
    </w:p>
    <w:p>
      <w:pPr>
        <w:spacing w:line="240" w:lineRule="auto" w:before="11"/>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84"/>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20"/>
        <w:ind w:right="8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在租赁期开始日，公司将租赁开始日租赁资产公允价值与最低租赁付款额现值中较低者作为租入资产的入账价值，将最</w:t>
      </w:r>
      <w:r>
        <w:rPr/>
        <w:t> 低租赁付款额作为长期应付款的入账价值，其差额作为未确认融资费用。</w:t>
      </w:r>
    </w:p>
    <w:p>
      <w:pPr>
        <w:spacing w:line="240" w:lineRule="auto" w:before="9"/>
        <w:rPr>
          <w:rFonts w:ascii="宋体" w:hAnsi="宋体" w:cs="宋体" w:eastAsia="宋体" w:hint="default"/>
          <w:sz w:val="22"/>
          <w:szCs w:val="22"/>
        </w:rPr>
      </w:pPr>
    </w:p>
    <w:p>
      <w:pPr>
        <w:pStyle w:val="Heading3"/>
        <w:spacing w:line="240" w:lineRule="auto"/>
        <w:ind w:right="8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453"/>
        <w:jc w:val="left"/>
      </w:pPr>
      <w:r>
        <w:rPr/>
        <w:t>终止经营 终止经营，是指满足下列条件之一的、能够单独区分的组成部分，且该组成部分已经处置或划分为持有待售类别： </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1"/>
        <w:ind w:left="513" w:right="84"/>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40" w:lineRule="auto" w:before="103"/>
        <w:ind w:left="513" w:right="5943"/>
        <w:jc w:val="left"/>
      </w:pPr>
      <w:r>
        <w:rPr>
          <w:rFonts w:ascii="Times New Roman" w:hAnsi="Times New Roman" w:cs="Times New Roman" w:eastAsia="Times New Roman" w:hint="default"/>
        </w:rPr>
        <w:t>3</w:t>
      </w:r>
      <w:r>
        <w:rPr/>
        <w:t>、该组成部分是专为转售而取得的子公司。 符合持有待售的资产的会计处理见第</w:t>
      </w:r>
      <w:r>
        <w:rPr>
          <w:rFonts w:ascii="Times New Roman" w:hAnsi="Times New Roman" w:cs="Times New Roman" w:eastAsia="Times New Roman" w:hint="default"/>
        </w:rPr>
        <w:t>13</w:t>
      </w:r>
      <w:r>
        <w:rPr/>
        <w:t>条。</w:t>
      </w:r>
    </w:p>
    <w:p>
      <w:pPr>
        <w:spacing w:after="0" w:line="3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r>
        <w:rPr/>
        <w:pict>
          <v:group style="position:absolute;margin-left:333.429993pt;margin-top:713.26001pt;width:159.050pt;height:45.75pt;mso-position-horizontal-relative:page;mso-position-vertical-relative:page;z-index:-1025896" coordorigin="6669,14265" coordsize="3181,915">
            <v:shape style="position:absolute;left:6669;top:14265;width:3181;height:915" coordorigin="6669,14265" coordsize="3181,915" path="m6669,15180l9849,15180,9849,14265,6669,14265,6669,15180xe" filled="true" fillcolor="#ffffff" stroked="false">
              <v:path arrowok="t"/>
              <v:fill type="solid"/>
            </v:shape>
            <w10:wrap type="none"/>
          </v:group>
        </w:pict>
      </w:r>
    </w:p>
    <w:p>
      <w:pPr>
        <w:pStyle w:val="BodyText"/>
        <w:spacing w:line="360" w:lineRule="auto" w:before="44"/>
        <w:ind w:left="513" w:right="84"/>
        <w:jc w:val="left"/>
      </w:pPr>
      <w:r>
        <w:rPr/>
        <w:t>附回购条件的资产转让 </w:t>
      </w:r>
      <w:r>
        <w:rPr>
          <w:spacing w:val="-2"/>
        </w:rPr>
        <w:t>对于附回购条件的资产转让，如果未将资产所有权上的主要风险和报酬转移给购买方，不应当确认销售收入，也不应当</w:t>
      </w:r>
    </w:p>
    <w:p>
      <w:pPr>
        <w:pStyle w:val="BodyText"/>
        <w:spacing w:line="222" w:lineRule="exact"/>
        <w:ind w:right="84"/>
        <w:jc w:val="left"/>
      </w:pPr>
      <w:r>
        <w:rPr/>
        <w:t>终止确认所出售的资产。</w:t>
      </w:r>
    </w:p>
    <w:p>
      <w:pPr>
        <w:pStyle w:val="BodyText"/>
        <w:spacing w:line="360" w:lineRule="auto" w:before="115"/>
        <w:ind w:left="513" w:right="84"/>
        <w:jc w:val="left"/>
      </w:pPr>
      <w:r>
        <w:rPr/>
        <w:t>关联方 </w:t>
      </w:r>
      <w:r>
        <w:rPr>
          <w:spacing w:val="-2"/>
        </w:rPr>
        <w:t>一方控制、共同控制另一方或对另一方施加重大影响，以及两方或两方以上同受一方控制、共同控制的，构成本公司的</w:t>
      </w:r>
    </w:p>
    <w:p>
      <w:pPr>
        <w:pStyle w:val="BodyText"/>
        <w:spacing w:line="222" w:lineRule="exact"/>
        <w:ind w:right="84"/>
        <w:jc w:val="left"/>
      </w:pPr>
      <w:r>
        <w:rPr/>
        <w:t>关联方。关联方可为个人或企业。仅仅同受国家控制而不存在其他关联方关系的企业，不构成的关联方。</w:t>
      </w:r>
    </w:p>
    <w:p>
      <w:pPr>
        <w:pStyle w:val="BodyText"/>
        <w:spacing w:line="240" w:lineRule="auto" w:before="117"/>
        <w:ind w:left="513" w:right="84"/>
        <w:jc w:val="left"/>
      </w:pPr>
      <w:r>
        <w:rPr/>
        <w:t>本公司关联方包括但不限于：</w:t>
      </w:r>
    </w:p>
    <w:p>
      <w:pPr>
        <w:pStyle w:val="BodyText"/>
        <w:spacing w:line="240" w:lineRule="auto" w:before="115"/>
        <w:ind w:left="513" w:right="84"/>
        <w:jc w:val="left"/>
      </w:pPr>
      <w:r>
        <w:rPr>
          <w:rFonts w:ascii="Times New Roman" w:hAnsi="Times New Roman" w:cs="Times New Roman" w:eastAsia="Times New Roman" w:hint="default"/>
        </w:rPr>
        <w:t>1</w:t>
      </w:r>
      <w:r>
        <w:rPr/>
        <w:t>、母公司；</w:t>
      </w:r>
    </w:p>
    <w:p>
      <w:pPr>
        <w:pStyle w:val="BodyText"/>
        <w:spacing w:line="240" w:lineRule="auto" w:before="103"/>
        <w:ind w:left="513" w:right="84"/>
        <w:jc w:val="left"/>
      </w:pPr>
      <w:r>
        <w:rPr>
          <w:rFonts w:ascii="Times New Roman" w:hAnsi="Times New Roman" w:cs="Times New Roman" w:eastAsia="Times New Roman" w:hint="default"/>
        </w:rPr>
        <w:t>2</w:t>
      </w:r>
      <w:r>
        <w:rPr/>
        <w:t>、子公司；</w:t>
      </w:r>
    </w:p>
    <w:p>
      <w:pPr>
        <w:pStyle w:val="BodyText"/>
        <w:spacing w:line="240" w:lineRule="auto" w:before="103"/>
        <w:ind w:left="513" w:right="84"/>
        <w:jc w:val="left"/>
      </w:pPr>
      <w:r>
        <w:rPr>
          <w:rFonts w:ascii="Times New Roman" w:hAnsi="Times New Roman" w:cs="Times New Roman" w:eastAsia="Times New Roman" w:hint="default"/>
        </w:rPr>
        <w:t>3</w:t>
      </w:r>
      <w:r>
        <w:rPr/>
        <w:t>、受同一母公司控制的其他企业；</w:t>
      </w:r>
    </w:p>
    <w:p>
      <w:pPr>
        <w:pStyle w:val="BodyText"/>
        <w:spacing w:line="240" w:lineRule="auto" w:before="101"/>
        <w:ind w:left="513" w:right="84"/>
        <w:jc w:val="left"/>
      </w:pPr>
      <w:r>
        <w:rPr>
          <w:rFonts w:ascii="Times New Roman" w:hAnsi="Times New Roman" w:cs="Times New Roman" w:eastAsia="Times New Roman" w:hint="default"/>
        </w:rPr>
        <w:t>4</w:t>
      </w:r>
      <w:r>
        <w:rPr/>
        <w:t>、实施共同控制的投资方；</w:t>
      </w:r>
    </w:p>
    <w:p>
      <w:pPr>
        <w:pStyle w:val="BodyText"/>
        <w:spacing w:line="240" w:lineRule="auto" w:before="104"/>
        <w:ind w:left="513" w:right="84"/>
        <w:jc w:val="left"/>
      </w:pPr>
      <w:r>
        <w:rPr>
          <w:rFonts w:ascii="Times New Roman" w:hAnsi="Times New Roman" w:cs="Times New Roman" w:eastAsia="Times New Roman" w:hint="default"/>
        </w:rPr>
        <w:t>5</w:t>
      </w:r>
      <w:r>
        <w:rPr/>
        <w:t>、施加重大影响的投资方；</w:t>
      </w:r>
    </w:p>
    <w:p>
      <w:pPr>
        <w:pStyle w:val="BodyText"/>
        <w:spacing w:line="240" w:lineRule="auto" w:before="103"/>
        <w:ind w:left="513" w:right="84"/>
        <w:jc w:val="left"/>
      </w:pPr>
      <w:r>
        <w:rPr>
          <w:rFonts w:ascii="Times New Roman" w:hAnsi="Times New Roman" w:cs="Times New Roman" w:eastAsia="Times New Roman" w:hint="default"/>
        </w:rPr>
        <w:t>6</w:t>
      </w:r>
      <w:r>
        <w:rPr/>
        <w:t>、合营企业，包括合营企业的子公司；</w:t>
      </w:r>
    </w:p>
    <w:p>
      <w:pPr>
        <w:pStyle w:val="BodyText"/>
        <w:spacing w:line="240" w:lineRule="auto" w:before="101"/>
        <w:ind w:left="513" w:right="84"/>
        <w:jc w:val="left"/>
      </w:pPr>
      <w:r>
        <w:rPr>
          <w:rFonts w:ascii="Times New Roman" w:hAnsi="Times New Roman" w:cs="Times New Roman" w:eastAsia="Times New Roman" w:hint="default"/>
        </w:rPr>
        <w:t>7</w:t>
      </w:r>
      <w:r>
        <w:rPr/>
        <w:t>、联营企业，包括联营企业的子公司；</w:t>
      </w:r>
    </w:p>
    <w:p>
      <w:pPr>
        <w:pStyle w:val="BodyText"/>
        <w:spacing w:line="240" w:lineRule="auto" w:before="103"/>
        <w:ind w:left="513" w:right="84"/>
        <w:jc w:val="left"/>
      </w:pPr>
      <w:r>
        <w:rPr>
          <w:rFonts w:ascii="Times New Roman" w:hAnsi="Times New Roman" w:cs="Times New Roman" w:eastAsia="Times New Roman" w:hint="default"/>
        </w:rPr>
        <w:t>8</w:t>
      </w:r>
      <w:r>
        <w:rPr/>
        <w:t>、主要投资者个人及与其关系密切的家庭成员</w:t>
      </w:r>
      <w:r>
        <w:rPr>
          <w:spacing w:val="2"/>
        </w:rPr>
        <w:t> </w:t>
      </w:r>
      <w:r>
        <w:rPr/>
        <w:t>；</w:t>
      </w:r>
    </w:p>
    <w:p>
      <w:pPr>
        <w:pStyle w:val="BodyText"/>
        <w:spacing w:line="240" w:lineRule="auto" w:before="103"/>
        <w:ind w:left="513" w:right="84"/>
        <w:jc w:val="left"/>
      </w:pPr>
      <w:r>
        <w:rPr>
          <w:rFonts w:ascii="Times New Roman" w:hAnsi="Times New Roman" w:cs="Times New Roman" w:eastAsia="Times New Roman" w:hint="default"/>
        </w:rPr>
        <w:t>9</w:t>
      </w:r>
      <w:r>
        <w:rPr/>
        <w:t>、本公司或其母公司的关键管理人员及与其关系密切的家庭成员；</w:t>
      </w:r>
    </w:p>
    <w:p>
      <w:pPr>
        <w:pStyle w:val="BodyText"/>
        <w:spacing w:line="340" w:lineRule="auto" w:before="101"/>
        <w:ind w:left="513" w:right="93"/>
        <w:jc w:val="left"/>
      </w:pPr>
      <w:r>
        <w:rPr>
          <w:rFonts w:ascii="Times New Roman" w:hAnsi="Times New Roman" w:cs="Times New Roman" w:eastAsia="Times New Roman" w:hint="default"/>
        </w:rPr>
        <w:t>10</w:t>
      </w:r>
      <w:r>
        <w:rPr/>
        <w:t>、本公司主要投资者个人、关键管理人员或与其关系密切的家庭成员控制、共同控制的其他企业。 除上述按照企业会计准则的有关要求被确定为本公司的关联方以外，根据证监会颁布的《上市公司信息披露管理办法》</w:t>
      </w:r>
    </w:p>
    <w:p>
      <w:pPr>
        <w:pStyle w:val="BodyText"/>
        <w:spacing w:line="240" w:lineRule="auto" w:before="1"/>
        <w:ind w:right="84"/>
        <w:jc w:val="left"/>
      </w:pPr>
      <w:r>
        <w:rPr/>
        <w:t>的要求，以下企业或个人 </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也属于本公司的关联方：</w:t>
      </w:r>
    </w:p>
    <w:p>
      <w:pPr>
        <w:pStyle w:val="BodyText"/>
        <w:spacing w:line="240" w:lineRule="auto" w:before="103"/>
        <w:ind w:left="513" w:right="84"/>
        <w:jc w:val="left"/>
      </w:pPr>
      <w:r>
        <w:rPr>
          <w:rFonts w:ascii="Times New Roman" w:hAnsi="Times New Roman" w:cs="Times New Roman" w:eastAsia="Times New Roman" w:hint="default"/>
        </w:rPr>
        <w:t>11</w:t>
      </w:r>
      <w:r>
        <w:rPr/>
        <w:t>、持有本公司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以上股份的企业或者一致行动人；</w:t>
      </w:r>
    </w:p>
    <w:p>
      <w:pPr>
        <w:pStyle w:val="BodyText"/>
        <w:spacing w:line="240" w:lineRule="auto" w:before="101"/>
        <w:ind w:left="513" w:right="84"/>
        <w:jc w:val="left"/>
      </w:pPr>
      <w:r>
        <w:rPr>
          <w:rFonts w:ascii="Times New Roman" w:hAnsi="Times New Roman" w:cs="Times New Roman" w:eastAsia="Times New Roman" w:hint="default"/>
        </w:rPr>
        <w:t>12</w:t>
      </w:r>
      <w:r>
        <w:rPr/>
        <w:t>、直接或者间接持有本公司</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以上股份的个人及与其关系密切的家庭成员，上市公司监事及与其关系密切的家庭成</w:t>
      </w:r>
    </w:p>
    <w:p>
      <w:pPr>
        <w:pStyle w:val="BodyText"/>
        <w:spacing w:line="240" w:lineRule="auto" w:before="63"/>
        <w:ind w:right="84"/>
        <w:jc w:val="left"/>
      </w:pPr>
      <w:r>
        <w:rPr/>
        <w:t>员；</w:t>
      </w:r>
    </w:p>
    <w:p>
      <w:pPr>
        <w:pStyle w:val="BodyText"/>
        <w:spacing w:line="240" w:lineRule="auto" w:before="117"/>
        <w:ind w:left="513" w:right="84"/>
        <w:jc w:val="left"/>
      </w:pPr>
      <w:r>
        <w:rPr>
          <w:rFonts w:ascii="Times New Roman" w:hAnsi="Times New Roman" w:cs="Times New Roman" w:eastAsia="Times New Roman" w:hint="default"/>
        </w:rPr>
        <w:t>13</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pStyle w:val="BodyText"/>
        <w:spacing w:line="240" w:lineRule="auto" w:before="103"/>
        <w:ind w:left="513" w:right="84"/>
        <w:jc w:val="left"/>
      </w:pPr>
      <w:r>
        <w:rPr>
          <w:rFonts w:ascii="Times New Roman" w:hAnsi="Times New Roman" w:cs="Times New Roman" w:eastAsia="Times New Roman" w:hint="default"/>
        </w:rPr>
        <w:t>14</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pStyle w:val="BodyText"/>
        <w:spacing w:line="240" w:lineRule="auto" w:before="101"/>
        <w:ind w:left="513" w:right="84"/>
        <w:jc w:val="left"/>
      </w:pPr>
      <w:r>
        <w:rPr>
          <w:rFonts w:ascii="Times New Roman" w:hAnsi="Times New Roman" w:cs="Times New Roman" w:eastAsia="Times New Roman" w:hint="default"/>
        </w:rPr>
        <w:t>15</w:t>
      </w:r>
      <w:r>
        <w:rPr/>
        <w:t>、由上述第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和</w:t>
      </w:r>
      <w:r>
        <w:rPr>
          <w:rFonts w:ascii="Times New Roman" w:hAnsi="Times New Roman" w:cs="Times New Roman" w:eastAsia="Times New Roman" w:hint="default"/>
        </w:rPr>
        <w:t>14</w:t>
      </w:r>
      <w:r>
        <w:rPr/>
        <w:t>项直接或者间接控制的、或者担任董事、高级管理人员的，除本公司及其控股子公司以外的企</w:t>
      </w:r>
    </w:p>
    <w:p>
      <w:pPr>
        <w:pStyle w:val="BodyText"/>
        <w:spacing w:line="240" w:lineRule="auto" w:before="63"/>
        <w:ind w:right="84"/>
        <w:jc w:val="left"/>
      </w:pPr>
      <w:r>
        <w:rPr/>
        <w:t>业。</w:t>
      </w:r>
    </w:p>
    <w:p>
      <w:pPr>
        <w:spacing w:line="240" w:lineRule="auto" w:before="6"/>
        <w:rPr>
          <w:rFonts w:ascii="宋体" w:hAnsi="宋体" w:cs="宋体" w:eastAsia="宋体" w:hint="default"/>
          <w:sz w:val="24"/>
          <w:szCs w:val="24"/>
        </w:rPr>
      </w:pPr>
    </w:p>
    <w:p>
      <w:pPr>
        <w:pStyle w:val="Heading3"/>
        <w:spacing w:line="240" w:lineRule="auto" w:before="36"/>
        <w:ind w:right="84"/>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4"/>
        <w:jc w:val="left"/>
      </w:pPr>
      <w:r>
        <w:rPr/>
        <w:pict>
          <v:shape style="position:absolute;margin-left:291.261017pt;margin-top:37.89772pt;width:201.2pt;height:126.75pt;mso-position-horizontal-relative:page;mso-position-vertical-relative:paragraph;z-index:-10259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0" w:right="0"/>
                    <w:jc w:val="left"/>
                  </w:pPr>
                  <w:r>
                    <w:rPr/>
                    <w:t>船使用税、</w:t>
                  </w:r>
                </w:p>
              </w:txbxContent>
            </v:textbox>
            <w10:wrap type="none"/>
          </v:shape>
        </w:pict>
      </w:r>
      <w:r>
        <w:rPr/>
        <w:pict>
          <v:group style="position:absolute;margin-left:333.429993pt;margin-top:37.89772pt;width:159.050pt;height:45.75pt;mso-position-horizontal-relative:page;mso-position-vertical-relative:paragraph;z-index:-1025920" coordorigin="6669,758" coordsize="3181,915">
            <v:shape style="position:absolute;left:6669;top:758;width:3181;height:915" coordorigin="6669,758" coordsize="3181,915" path="m6669,1672l9849,1672,9849,758,6669,758,6669,1672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531"/>
        <w:gridCol w:w="3190"/>
        <w:gridCol w:w="922"/>
      </w:tblGrid>
      <w:tr>
        <w:trPr>
          <w:trHeight w:val="40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9" w:hRule="exact"/>
        </w:trPr>
        <w:tc>
          <w:tcPr>
            <w:tcW w:w="5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、根据财政部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日发布了财会</w:t>
            </w:r>
            <w:r>
              <w:rPr>
                <w:rFonts w:ascii="Times New Roman" w:hAnsi="Times New Roman" w:cs="Times New Roman" w:eastAsia="Times New Roman" w:hint="default"/>
                <w:sz w:val="18"/>
                <w:szCs w:val="18"/>
              </w:rPr>
              <w:t>[2016]22 </w:t>
            </w:r>
            <w:r>
              <w:rPr>
                <w:rFonts w:ascii="宋体" w:hAnsi="宋体" w:cs="宋体" w:eastAsia="宋体" w:hint="default"/>
                <w:sz w:val="18"/>
                <w:szCs w:val="18"/>
              </w:rPr>
              <w:t>号《增值税会计</w:t>
            </w:r>
          </w:p>
        </w:tc>
        <w:tc>
          <w:tcPr>
            <w:tcW w:w="3190" w:type="dxa"/>
            <w:tcBorders>
              <w:top w:val="single" w:sz="4" w:space="0" w:color="000000"/>
              <w:left w:val="single" w:sz="4" w:space="0" w:color="000000"/>
              <w:bottom w:val="nil" w:sz="6" w:space="0" w:color="auto"/>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06"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处理规定》的通知，该规定自发布之日起实施，原《营业税改征增值</w:t>
            </w:r>
          </w:p>
        </w:tc>
        <w:tc>
          <w:tcPr>
            <w:tcW w:w="3190"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税试点有关企业会计处理规定</w:t>
            </w:r>
            <w:r>
              <w:rPr>
                <w:rFonts w:ascii="宋体" w:hAnsi="宋体" w:cs="宋体" w:eastAsia="宋体" w:hint="default"/>
                <w:spacing w:val="-101"/>
                <w:sz w:val="18"/>
                <w:szCs w:val="18"/>
              </w:rPr>
              <w:t>》</w:t>
            </w:r>
            <w:r>
              <w:rPr>
                <w:rFonts w:ascii="宋体" w:hAnsi="宋体" w:cs="宋体" w:eastAsia="宋体" w:hint="default"/>
                <w:sz w:val="18"/>
                <w:szCs w:val="18"/>
              </w:rPr>
              <w:t>（财</w:t>
            </w:r>
            <w:r>
              <w:rPr>
                <w:rFonts w:ascii="宋体" w:hAnsi="宋体" w:cs="宋体" w:eastAsia="宋体" w:hint="default"/>
                <w:spacing w:val="-13"/>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12</w:t>
            </w:r>
            <w:r>
              <w:rPr>
                <w:rFonts w:ascii="宋体" w:hAnsi="宋体" w:cs="宋体" w:eastAsia="宋体" w:hint="default"/>
                <w:spacing w:val="-15"/>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3"/>
                <w:sz w:val="18"/>
                <w:szCs w:val="18"/>
              </w:rPr>
              <w:t>）及</w:t>
            </w:r>
            <w:r>
              <w:rPr>
                <w:rFonts w:ascii="宋体" w:hAnsi="宋体" w:cs="宋体" w:eastAsia="宋体" w:hint="default"/>
                <w:sz w:val="18"/>
                <w:szCs w:val="18"/>
              </w:rPr>
              <w:t>《</w:t>
            </w:r>
            <w:r>
              <w:rPr>
                <w:rFonts w:ascii="宋体" w:hAnsi="宋体" w:cs="宋体" w:eastAsia="宋体" w:hint="default"/>
                <w:spacing w:val="-3"/>
                <w:sz w:val="18"/>
                <w:szCs w:val="18"/>
              </w:rPr>
              <w:t>关</w:t>
            </w:r>
            <w:r>
              <w:rPr>
                <w:rFonts w:ascii="宋体" w:hAnsi="宋体" w:cs="宋体" w:eastAsia="宋体" w:hint="default"/>
                <w:sz w:val="18"/>
                <w:szCs w:val="18"/>
              </w:rPr>
              <w:t>于小微企</w:t>
            </w:r>
          </w:p>
        </w:tc>
        <w:tc>
          <w:tcPr>
            <w:tcW w:w="3190"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业免征增值税和营业税的会计处理规定</w:t>
            </w:r>
            <w:r>
              <w:rPr>
                <w:rFonts w:ascii="宋体" w:hAnsi="宋体" w:cs="宋体" w:eastAsia="宋体" w:hint="default"/>
                <w:spacing w:val="-106"/>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3</w:t>
            </w:r>
            <w:r>
              <w:rPr>
                <w:rFonts w:ascii="宋体" w:hAnsi="宋体" w:cs="宋体" w:eastAsia="宋体" w:hint="default"/>
                <w:spacing w:val="-15"/>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pacing w:val="-15"/>
                <w:sz w:val="18"/>
                <w:szCs w:val="18"/>
              </w:rPr>
              <w:t>）</w:t>
            </w:r>
            <w:r>
              <w:rPr>
                <w:rFonts w:ascii="宋体" w:hAnsi="宋体" w:cs="宋体" w:eastAsia="宋体" w:hint="default"/>
                <w:sz w:val="18"/>
                <w:szCs w:val="18"/>
              </w:rPr>
              <w:t>等有关</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w:t>
            </w:r>
          </w:p>
        </w:tc>
        <w:tc>
          <w:tcPr>
            <w:tcW w:w="922" w:type="dxa"/>
            <w:vMerge/>
            <w:tcBorders>
              <w:left w:val="single" w:sz="4" w:space="0" w:color="000000"/>
              <w:right w:val="single" w:sz="4" w:space="0" w:color="000000"/>
            </w:tcBorders>
          </w:tcPr>
          <w:p>
            <w:pPr/>
          </w:p>
        </w:tc>
      </w:tr>
      <w:tr>
        <w:trPr>
          <w:trHeight w:val="32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增值税会计处理的规定同时废止。根据最新规定的要求，公司将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第十八次会议审议通过。</w:t>
            </w:r>
          </w:p>
        </w:tc>
        <w:tc>
          <w:tcPr>
            <w:tcW w:w="922" w:type="dxa"/>
            <w:vMerge/>
            <w:tcBorders>
              <w:left w:val="single" w:sz="4" w:space="0" w:color="000000"/>
              <w:right w:val="single" w:sz="4" w:space="0" w:color="000000"/>
            </w:tcBorders>
          </w:tcPr>
          <w:p>
            <w:pPr/>
          </w:p>
        </w:tc>
      </w:tr>
      <w:tr>
        <w:trPr>
          <w:trHeight w:val="31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日起企业经营活动发生的房产税、土地使用税、车</w:t>
            </w:r>
          </w:p>
        </w:tc>
        <w:tc>
          <w:tcPr>
            <w:tcW w:w="3190"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印花税从“管理费用”项目重分类至“税金及附加”项目，</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3190"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5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日前发生的税费不予调整。的要求，公司将房产税土地使用税、</w:t>
            </w:r>
          </w:p>
        </w:tc>
        <w:tc>
          <w:tcPr>
            <w:tcW w:w="3190" w:type="dxa"/>
            <w:tcBorders>
              <w:top w:val="nil" w:sz="6" w:space="0" w:color="auto"/>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r>
        <w:rPr/>
        <w:pict>
          <v:shape style="position:absolute;margin-left:327.290009pt;margin-top:106.219986pt;width:165.2pt;height:66.4pt;mso-position-horizontal-relative:page;mso-position-vertical-relative:page;z-index:-102575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333.429993pt;margin-top:240.025986pt;width:159.050pt;height:23.45pt;mso-position-horizontal-relative:page;mso-position-vertical-relative:page;z-index:-1025704" coordorigin="6669,4801" coordsize="3181,469">
            <v:shape style="position:absolute;left:6669;top:4801;width:3181;height:469" coordorigin="6669,4801" coordsize="3181,469" path="m6669,5269l9849,5269,9849,4801,6669,4801,6669,526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5531"/>
        <w:gridCol w:w="3190"/>
        <w:gridCol w:w="922"/>
      </w:tblGrid>
      <w:tr>
        <w:trPr>
          <w:trHeight w:val="675"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4"/>
              <w:jc w:val="left"/>
              <w:rPr>
                <w:rFonts w:ascii="宋体" w:hAnsi="宋体" w:cs="宋体" w:eastAsia="宋体" w:hint="default"/>
                <w:sz w:val="18"/>
                <w:szCs w:val="18"/>
              </w:rPr>
            </w:pPr>
            <w:r>
              <w:rPr>
                <w:rFonts w:ascii="宋体" w:hAnsi="宋体" w:cs="宋体" w:eastAsia="宋体" w:hint="default"/>
                <w:sz w:val="18"/>
                <w:szCs w:val="18"/>
              </w:rPr>
              <w:t>印花税、车船使用税、水利基金和残保金从“管理费用”调整至“税 </w:t>
            </w:r>
            <w:r>
              <w:rPr>
                <w:rFonts w:ascii="宋体" w:hAnsi="宋体" w:cs="宋体" w:eastAsia="宋体" w:hint="default"/>
                <w:spacing w:val="-16"/>
                <w:sz w:val="18"/>
                <w:szCs w:val="18"/>
              </w:rPr>
              <w:t>金及附加”。</w:t>
            </w:r>
          </w:p>
        </w:tc>
        <w:tc>
          <w:tcPr>
            <w:tcW w:w="319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、财政部于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年度修订了《企业会计准则第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宋体" w:hAnsi="宋体" w:cs="宋体" w:eastAsia="宋体" w:hint="default"/>
                <w:position w:val="-5"/>
                <w:sz w:val="20"/>
                <w:szCs w:val="20"/>
              </w:rPr>
            </w: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政府补助准则规定，与企业日常活动相关的政府补助，应当按照经济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w:t>
            </w:r>
          </w:p>
        </w:tc>
        <w:tc>
          <w:tcPr>
            <w:tcW w:w="922" w:type="dxa"/>
            <w:vMerge/>
            <w:tcBorders>
              <w:left w:val="single" w:sz="4" w:space="0" w:color="000000"/>
              <w:right w:val="single" w:sz="4" w:space="0" w:color="000000"/>
            </w:tcBorders>
          </w:tcPr>
          <w:p>
            <w:pPr/>
          </w:p>
        </w:tc>
      </w:tr>
      <w:tr>
        <w:trPr>
          <w:trHeight w:val="307"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业务实质</w:t>
            </w:r>
            <w:r>
              <w:rPr>
                <w:rFonts w:ascii="宋体" w:hAnsi="宋体" w:cs="宋体" w:eastAsia="宋体" w:hint="default"/>
                <w:spacing w:val="-5"/>
                <w:sz w:val="18"/>
                <w:szCs w:val="18"/>
              </w:rPr>
              <w:t>，</w:t>
            </w:r>
            <w:r>
              <w:rPr>
                <w:rFonts w:ascii="宋体" w:hAnsi="宋体" w:cs="宋体" w:eastAsia="宋体" w:hint="default"/>
                <w:sz w:val="18"/>
                <w:szCs w:val="18"/>
              </w:rPr>
              <w:t>计</w:t>
            </w:r>
            <w:r>
              <w:rPr>
                <w:rFonts w:ascii="宋体" w:hAnsi="宋体" w:cs="宋体" w:eastAsia="宋体" w:hint="default"/>
                <w:spacing w:val="-5"/>
                <w:sz w:val="18"/>
                <w:szCs w:val="18"/>
              </w:rPr>
              <w:t>入</w:t>
            </w:r>
            <w:r>
              <w:rPr>
                <w:rFonts w:ascii="宋体" w:hAnsi="宋体" w:cs="宋体" w:eastAsia="宋体" w:hint="default"/>
                <w:sz w:val="18"/>
                <w:szCs w:val="18"/>
              </w:rPr>
              <w:t>“其他收益</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与企业日常活</w:t>
            </w:r>
            <w:r>
              <w:rPr>
                <w:rFonts w:ascii="宋体" w:hAnsi="宋体" w:cs="宋体" w:eastAsia="宋体" w:hint="default"/>
                <w:spacing w:val="1"/>
                <w:sz w:val="18"/>
                <w:szCs w:val="18"/>
              </w:rPr>
              <w:t>动</w:t>
            </w:r>
            <w:r>
              <w:rPr>
                <w:rFonts w:ascii="宋体" w:hAnsi="宋体" w:cs="宋体" w:eastAsia="宋体" w:hint="default"/>
                <w:sz w:val="18"/>
                <w:szCs w:val="18"/>
              </w:rPr>
              <w:t>无关的政府补助</w:t>
            </w:r>
            <w:r>
              <w:rPr>
                <w:rFonts w:ascii="宋体" w:hAnsi="宋体" w:cs="宋体" w:eastAsia="宋体" w:hint="default"/>
                <w:spacing w:val="-5"/>
                <w:sz w:val="18"/>
                <w:szCs w:val="18"/>
              </w:rPr>
              <w:t>，</w:t>
            </w:r>
            <w:r>
              <w:rPr>
                <w:rFonts w:ascii="宋体" w:hAnsi="宋体" w:cs="宋体" w:eastAsia="宋体" w:hint="default"/>
                <w:sz w:val="18"/>
                <w:szCs w:val="18"/>
              </w:rPr>
              <w:t>应当</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第十八次会议审议通过。</w:t>
            </w:r>
          </w:p>
        </w:tc>
        <w:tc>
          <w:tcPr>
            <w:tcW w:w="922" w:type="dxa"/>
            <w:vMerge/>
            <w:tcBorders>
              <w:left w:val="single" w:sz="4" w:space="0" w:color="000000"/>
              <w:right w:val="single" w:sz="4" w:space="0" w:color="000000"/>
            </w:tcBorders>
          </w:tcPr>
          <w:p>
            <w:pPr/>
          </w:p>
        </w:tc>
      </w:tr>
      <w:tr>
        <w:trPr>
          <w:trHeight w:val="357" w:hRule="exact"/>
        </w:trPr>
        <w:tc>
          <w:tcPr>
            <w:tcW w:w="5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计入“营业外收入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
                <w:szCs w:val="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宋体" w:hAnsi="宋体" w:cs="宋体" w:eastAsia="宋体" w:hint="default"/>
                <w:position w:val="-5"/>
                <w:sz w:val="20"/>
                <w:szCs w:val="20"/>
              </w:rPr>
            </w:r>
          </w:p>
        </w:tc>
        <w:tc>
          <w:tcPr>
            <w:tcW w:w="922" w:type="dxa"/>
            <w:vMerge/>
            <w:tcBorders>
              <w:left w:val="single" w:sz="4" w:space="0" w:color="000000"/>
              <w:bottom w:val="single" w:sz="4" w:space="0" w:color="000000"/>
              <w:right w:val="single" w:sz="4" w:space="0" w:color="000000"/>
            </w:tcBorders>
          </w:tcPr>
          <w:p>
            <w:pPr/>
          </w:p>
        </w:tc>
      </w:tr>
      <w:tr>
        <w:trPr>
          <w:trHeight w:val="360" w:hRule="exact"/>
        </w:trPr>
        <w:tc>
          <w:tcPr>
            <w:tcW w:w="5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年度发布了《企业会计准则第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w:t>
            </w:r>
          </w:p>
        </w:tc>
        <w:tc>
          <w:tcPr>
            <w:tcW w:w="3190" w:type="dxa"/>
            <w:tcBorders>
              <w:top w:val="single" w:sz="4" w:space="0" w:color="000000"/>
              <w:left w:val="single" w:sz="4" w:space="0" w:color="000000"/>
              <w:bottom w:val="nil" w:sz="6" w:space="0" w:color="auto"/>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pacing w:val="-5"/>
                <w:sz w:val="18"/>
                <w:szCs w:val="18"/>
              </w:rPr>
              <w:t>、</w:t>
            </w:r>
            <w:r>
              <w:rPr>
                <w:rFonts w:ascii="宋体" w:hAnsi="宋体" w:cs="宋体" w:eastAsia="宋体" w:hint="default"/>
                <w:sz w:val="18"/>
                <w:szCs w:val="18"/>
              </w:rPr>
              <w:t>处置组和终止经营</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3"/>
                <w:sz w:val="18"/>
                <w:szCs w:val="18"/>
              </w:rPr>
              <w:t>施</w:t>
            </w:r>
            <w:r>
              <w:rPr>
                <w:rFonts w:ascii="宋体" w:hAnsi="宋体" w:cs="宋体" w:eastAsia="宋体" w:hint="default"/>
                <w:sz w:val="18"/>
                <w:szCs w:val="18"/>
              </w:rPr>
              <w:t>行</w:t>
            </w:r>
            <w:r>
              <w:rPr>
                <w:rFonts w:ascii="宋体" w:hAnsi="宋体" w:cs="宋体" w:eastAsia="宋体" w:hint="default"/>
                <w:spacing w:val="-5"/>
                <w:sz w:val="18"/>
                <w:szCs w:val="18"/>
              </w:rPr>
              <w:t>，</w:t>
            </w:r>
            <w:r>
              <w:rPr>
                <w:rFonts w:ascii="宋体" w:hAnsi="宋体" w:cs="宋体" w:eastAsia="宋体" w:hint="default"/>
                <w:sz w:val="18"/>
                <w:szCs w:val="18"/>
              </w:rPr>
              <w:t>对于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日召开的第三届董事</w:t>
            </w:r>
          </w:p>
        </w:tc>
        <w:tc>
          <w:tcPr>
            <w:tcW w:w="922" w:type="dxa"/>
            <w:vMerge/>
            <w:tcBorders>
              <w:left w:val="single" w:sz="4" w:space="0" w:color="000000"/>
              <w:right w:val="single" w:sz="4" w:space="0" w:color="000000"/>
            </w:tcBorders>
          </w:tcPr>
          <w:p>
            <w:pPr/>
          </w:p>
        </w:tc>
      </w:tr>
      <w:tr>
        <w:trPr>
          <w:trHeight w:val="307"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施行日存在的持有待售的非流动资产、处置组和终止经营，要求采用</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会第二十一次会议审议通过。</w:t>
            </w:r>
          </w:p>
        </w:tc>
        <w:tc>
          <w:tcPr>
            <w:tcW w:w="922" w:type="dxa"/>
            <w:vMerge/>
            <w:tcBorders>
              <w:left w:val="single" w:sz="4" w:space="0" w:color="000000"/>
              <w:right w:val="single" w:sz="4" w:space="0" w:color="000000"/>
            </w:tcBorders>
          </w:tcPr>
          <w:p>
            <w:pPr/>
          </w:p>
        </w:tc>
      </w:tr>
      <w:tr>
        <w:trPr>
          <w:trHeight w:val="360" w:hRule="exact"/>
        </w:trPr>
        <w:tc>
          <w:tcPr>
            <w:tcW w:w="5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未来适用法处理。</w:t>
            </w:r>
          </w:p>
        </w:tc>
        <w:tc>
          <w:tcPr>
            <w:tcW w:w="3190" w:type="dxa"/>
            <w:tcBorders>
              <w:top w:val="nil" w:sz="6" w:space="0" w:color="auto"/>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61" w:hRule="exact"/>
        </w:trPr>
        <w:tc>
          <w:tcPr>
            <w:tcW w:w="5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、财政部于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月发布了《关于修订印发一般企业财务报表格</w:t>
            </w:r>
          </w:p>
        </w:tc>
        <w:tc>
          <w:tcPr>
            <w:tcW w:w="3190" w:type="dxa"/>
            <w:tcBorders>
              <w:top w:val="single" w:sz="4" w:space="0" w:color="000000"/>
              <w:left w:val="single" w:sz="4" w:space="0" w:color="000000"/>
              <w:bottom w:val="nil" w:sz="6" w:space="0" w:color="auto"/>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936"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21"/>
              <w:jc w:val="left"/>
              <w:rPr>
                <w:rFonts w:ascii="宋体" w:hAnsi="宋体" w:cs="宋体" w:eastAsia="宋体" w:hint="default"/>
                <w:sz w:val="18"/>
                <w:szCs w:val="18"/>
              </w:rPr>
            </w:pPr>
            <w:r>
              <w:rPr>
                <w:rFonts w:ascii="宋体" w:hAnsi="宋体" w:cs="宋体" w:eastAsia="宋体" w:hint="default"/>
                <w:spacing w:val="-9"/>
                <w:sz w:val="18"/>
                <w:szCs w:val="18"/>
              </w:rPr>
              <w:t>式的通知》（财会〔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号，固定资产的处置利得，根据修订后的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w w:val="99"/>
                <w:sz w:val="18"/>
                <w:szCs w:val="18"/>
              </w:rPr>
              <w:t>新报表，放在</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资产处置收益</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中列示。</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pacing w:val="-2"/>
                <w:sz w:val="18"/>
                <w:szCs w:val="18"/>
              </w:rPr>
              <w:t>仍旧放在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营业外支出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中，对可比期间的比较数据按照</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00" w:lineRule="auto" w:before="162"/>
              <w:ind w:left="23" w:right="94"/>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日召开的第三届董事 会第二十一次会议审议通过。</w:t>
            </w:r>
          </w:p>
        </w:tc>
        <w:tc>
          <w:tcPr>
            <w:tcW w:w="922" w:type="dxa"/>
            <w:vMerge/>
            <w:tcBorders>
              <w:left w:val="single" w:sz="4" w:space="0" w:color="000000"/>
              <w:right w:val="single" w:sz="4" w:space="0" w:color="000000"/>
            </w:tcBorders>
          </w:tcPr>
          <w:p>
            <w:pPr/>
          </w:p>
        </w:tc>
      </w:tr>
      <w:tr>
        <w:trPr>
          <w:trHeight w:val="353" w:hRule="exact"/>
        </w:trPr>
        <w:tc>
          <w:tcPr>
            <w:tcW w:w="5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《通知》进行调整。</w:t>
            </w:r>
          </w:p>
        </w:tc>
        <w:tc>
          <w:tcPr>
            <w:tcW w:w="3190" w:type="dxa"/>
            <w:tcBorders>
              <w:top w:val="nil" w:sz="6" w:space="0" w:color="auto"/>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60" w:hRule="exact"/>
        </w:trPr>
        <w:tc>
          <w:tcPr>
            <w:tcW w:w="5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月发布了《关于修订印发一般企业财务报表格</w:t>
            </w:r>
          </w:p>
        </w:tc>
        <w:tc>
          <w:tcPr>
            <w:tcW w:w="3190" w:type="dxa"/>
            <w:tcBorders>
              <w:top w:val="single" w:sz="4" w:space="0" w:color="000000"/>
              <w:left w:val="single" w:sz="4" w:space="0" w:color="000000"/>
              <w:bottom w:val="nil" w:sz="6" w:space="0" w:color="auto"/>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式的通知</w:t>
            </w:r>
            <w:r>
              <w:rPr>
                <w:rFonts w:ascii="宋体" w:hAnsi="宋体" w:cs="宋体" w:eastAsia="宋体" w:hint="default"/>
                <w:spacing w:val="-104"/>
                <w:sz w:val="18"/>
                <w:szCs w:val="18"/>
              </w:rPr>
              <w:t>》</w:t>
            </w:r>
            <w:r>
              <w:rPr>
                <w:rFonts w:ascii="宋体" w:hAnsi="宋体" w:cs="宋体" w:eastAsia="宋体" w:hint="default"/>
                <w:sz w:val="18"/>
                <w:szCs w:val="18"/>
              </w:rPr>
              <w:t>（财</w:t>
            </w:r>
            <w:r>
              <w:rPr>
                <w:rFonts w:ascii="宋体" w:hAnsi="宋体" w:cs="宋体" w:eastAsia="宋体" w:hint="default"/>
                <w:spacing w:val="-13"/>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12"/>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宋体" w:hAnsi="宋体" w:cs="宋体" w:eastAsia="宋体" w:hint="default"/>
                <w:spacing w:val="-13"/>
                <w:sz w:val="18"/>
                <w:szCs w:val="18"/>
              </w:rPr>
              <w:t>，</w:t>
            </w:r>
            <w:r>
              <w:rPr>
                <w:rFonts w:ascii="宋体" w:hAnsi="宋体" w:cs="宋体" w:eastAsia="宋体" w:hint="default"/>
                <w:sz w:val="18"/>
                <w:szCs w:val="18"/>
              </w:rPr>
              <w:t>在利润表中分别列</w:t>
            </w:r>
            <w:r>
              <w:rPr>
                <w:rFonts w:ascii="宋体" w:hAnsi="宋体" w:cs="宋体" w:eastAsia="宋体" w:hint="default"/>
                <w:spacing w:val="-13"/>
                <w:sz w:val="18"/>
                <w:szCs w:val="18"/>
              </w:rPr>
              <w:t>示</w:t>
            </w:r>
            <w:r>
              <w:rPr>
                <w:rFonts w:ascii="宋体" w:hAnsi="宋体" w:cs="宋体" w:eastAsia="宋体" w:hint="default"/>
                <w:sz w:val="18"/>
                <w:szCs w:val="18"/>
              </w:rPr>
              <w:t>“持续经营净利</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日召开的第三届董事</w:t>
            </w:r>
          </w:p>
        </w:tc>
        <w:tc>
          <w:tcPr>
            <w:tcW w:w="922" w:type="dxa"/>
            <w:vMerge/>
            <w:tcBorders>
              <w:left w:val="single" w:sz="4" w:space="0" w:color="000000"/>
              <w:right w:val="single" w:sz="4" w:space="0" w:color="000000"/>
            </w:tcBorders>
          </w:tcPr>
          <w:p>
            <w:pPr/>
          </w:p>
        </w:tc>
      </w:tr>
      <w:tr>
        <w:trPr>
          <w:trHeight w:val="307" w:hRule="exact"/>
        </w:trPr>
        <w:tc>
          <w:tcPr>
            <w:tcW w:w="55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3"/>
                <w:sz w:val="18"/>
                <w:szCs w:val="18"/>
              </w:rPr>
              <w:t>”和</w:t>
            </w:r>
            <w:r>
              <w:rPr>
                <w:rFonts w:ascii="宋体" w:hAnsi="宋体" w:cs="宋体" w:eastAsia="宋体" w:hint="default"/>
                <w:sz w:val="18"/>
                <w:szCs w:val="18"/>
              </w:rPr>
              <w:t>“终止经营净利润</w:t>
            </w:r>
            <w:r>
              <w:rPr>
                <w:rFonts w:ascii="宋体" w:hAnsi="宋体" w:cs="宋体" w:eastAsia="宋体" w:hint="default"/>
                <w:spacing w:val="-92"/>
                <w:sz w:val="18"/>
                <w:szCs w:val="18"/>
              </w:rPr>
              <w:t>”</w:t>
            </w:r>
            <w:r>
              <w:rPr>
                <w:rFonts w:ascii="宋体" w:hAnsi="宋体" w:cs="宋体" w:eastAsia="宋体" w:hint="default"/>
                <w:spacing w:val="-3"/>
                <w:sz w:val="18"/>
                <w:szCs w:val="18"/>
              </w:rPr>
              <w:t>，对</w:t>
            </w:r>
            <w:r>
              <w:rPr>
                <w:rFonts w:ascii="宋体" w:hAnsi="宋体" w:cs="宋体" w:eastAsia="宋体" w:hint="default"/>
                <w:sz w:val="18"/>
                <w:szCs w:val="18"/>
              </w:rPr>
              <w:t>可比期间的比较数据按</w:t>
            </w:r>
            <w:r>
              <w:rPr>
                <w:rFonts w:ascii="宋体" w:hAnsi="宋体" w:cs="宋体" w:eastAsia="宋体" w:hint="default"/>
                <w:spacing w:val="-3"/>
                <w:sz w:val="18"/>
                <w:szCs w:val="18"/>
              </w:rPr>
              <w:t>照</w:t>
            </w:r>
            <w:r>
              <w:rPr>
                <w:rFonts w:ascii="宋体" w:hAnsi="宋体" w:cs="宋体" w:eastAsia="宋体" w:hint="default"/>
                <w:sz w:val="18"/>
                <w:szCs w:val="18"/>
              </w:rPr>
              <w:t>《通知</w:t>
            </w:r>
            <w:r>
              <w:rPr>
                <w:rFonts w:ascii="宋体" w:hAnsi="宋体" w:cs="宋体" w:eastAsia="宋体" w:hint="default"/>
                <w:spacing w:val="-3"/>
                <w:sz w:val="18"/>
                <w:szCs w:val="18"/>
              </w:rPr>
              <w:t>》</w:t>
            </w:r>
            <w:r>
              <w:rPr>
                <w:rFonts w:ascii="宋体" w:hAnsi="宋体" w:cs="宋体" w:eastAsia="宋体" w:hint="default"/>
                <w:sz w:val="18"/>
                <w:szCs w:val="18"/>
              </w:rPr>
              <w:t>进行</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会第二十一次会议审议通过。</w:t>
            </w:r>
          </w:p>
        </w:tc>
        <w:tc>
          <w:tcPr>
            <w:tcW w:w="922" w:type="dxa"/>
            <w:vMerge/>
            <w:tcBorders>
              <w:left w:val="single" w:sz="4" w:space="0" w:color="000000"/>
              <w:right w:val="single" w:sz="4" w:space="0" w:color="000000"/>
            </w:tcBorders>
          </w:tcPr>
          <w:p>
            <w:pPr/>
          </w:p>
        </w:tc>
      </w:tr>
      <w:tr>
        <w:trPr>
          <w:trHeight w:val="360" w:hRule="exact"/>
        </w:trPr>
        <w:tc>
          <w:tcPr>
            <w:tcW w:w="5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3190" w:type="dxa"/>
            <w:tcBorders>
              <w:top w:val="nil" w:sz="6" w:space="0" w:color="auto"/>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pict>
          <v:shape style="position:absolute;margin-left:201.251007pt;margin-top:-162.000336pt;width:291.2pt;height:82pt;mso-position-horizontal-relative:page;mso-position-vertical-relative:paragraph;z-index:-10257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固定资产的报废毁损利得或损失，</w:t>
                  </w:r>
                </w:p>
              </w:txbxContent>
            </v:textbox>
            <w10:wrap type="none"/>
          </v:shape>
        </w:pict>
      </w:r>
      <w:r>
        <w:rPr/>
        <w:pict>
          <v:group style="position:absolute;margin-left:333.429993pt;margin-top:-103.416344pt;width:159.050pt;height:23.4pt;mso-position-horizontal-relative:page;mso-position-vertical-relative:paragraph;z-index:-1025680" coordorigin="6669,-2068" coordsize="3181,468">
            <v:shape style="position:absolute;left:6669;top:-2068;width:3181;height:468" coordorigin="6669,-2068" coordsize="3181,468" path="m6669,-1600l9849,-1600,9849,-2068,6669,-2068,6669,-1600xe" filled="true" fillcolor="#ffffff" stroked="false">
              <v:path arrowok="t"/>
              <v:fill type="solid"/>
            </v:shape>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销售货物或提供应税劳务收入、技术服 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53"/>
        <w:jc w:val="left"/>
      </w:pPr>
      <w:r>
        <w:rPr/>
        <w:t>存在不同企业所得税税率纳税主体的，披露情况说明</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0;top:14;width:24;height:392" coordorigin="4760,14" coordsize="24,392">
              <v:shape style="position:absolute;left:4760;top:14;width:24;height:392" coordorigin="4760,14" coordsize="24,392" path="m4760,406l4784,406,4784,14,4760,14,4760,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7;height:392" coordorigin="34,14" coordsize="4727,392">
              <v:shape style="position:absolute;left:34;top:14;width:4727;height:392" coordorigin="34,14" coordsize="4727,392" path="m34,406l4760,406,4760,14,34,14,34,406xe" filled="true" fillcolor="#d2d2d2" stroked="false">
                <v:path arrowok="t"/>
                <v:fill type="solid"/>
              </v:shape>
            </v:group>
            <v:group style="position:absolute;left:4794;top:14;width:24;height:392" coordorigin="4794,14" coordsize="24,392">
              <v:shape style="position:absolute;left:4794;top:14;width:24;height:392" coordorigin="4794,14" coordsize="24,392" path="m4794,406l4818,406,4818,14,4794,14,4794,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纳税主体名称</w:t>
                      </w:r>
                    </w:p>
                  </w:txbxContent>
                </v:textbox>
                <w10:wrap type="none"/>
              </v:shape>
              <v:shape style="position:absolute;left:4789;top:10;width:4787;height:401"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所得税税率</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北京君正集成电路（香港）集团有限公司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深圳君正时代集成电路有限公司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合肥君正科技有限公司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8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rFonts w:ascii="Times New Roman" w:hAnsi="Times New Roman" w:cs="Times New Roman" w:eastAsia="Times New Roman" w:hint="default"/>
        </w:rPr>
        <w:t>1</w:t>
      </w:r>
      <w:r>
        <w:rPr/>
        <w:t>、北京君正集成电路股份有限公司于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日取得北京市科学技术委员会、北京市财政局、北京市国家税务局、 北京市地方税务局联合颁发的高新技术企业证书，证书编号</w:t>
      </w:r>
      <w:r>
        <w:rPr>
          <w:rFonts w:ascii="Times New Roman" w:hAnsi="Times New Roman" w:cs="Times New Roman" w:eastAsia="Times New Roman" w:hint="default"/>
        </w:rPr>
        <w:t>GR201511000476</w:t>
      </w:r>
      <w:r>
        <w:rPr/>
        <w:t>，有效期限三年。</w:t>
      </w:r>
      <w:r>
        <w:rPr>
          <w:rFonts w:ascii="Times New Roman" w:hAnsi="Times New Roman" w:cs="Times New Roman" w:eastAsia="Times New Roman" w:hint="default"/>
        </w:rPr>
        <w:t>2017</w:t>
      </w:r>
      <w:r>
        <w:rPr/>
        <w:t>年度按应纳税所得额的</w:t>
      </w:r>
      <w:r>
        <w:rPr>
          <w:spacing w:val="-72"/>
        </w:rPr>
        <w:t> </w:t>
      </w:r>
      <w:r>
        <w:rPr>
          <w:spacing w:val="-72"/>
        </w:rPr>
      </w:r>
      <w:r>
        <w:rPr>
          <w:rFonts w:ascii="Times New Roman" w:hAnsi="Times New Roman" w:cs="Times New Roman" w:eastAsia="Times New Roman" w:hint="default"/>
        </w:rPr>
        <w:t>15%</w:t>
      </w:r>
      <w:r>
        <w:rPr/>
        <w:t>计算缴纳企业所得税；</w:t>
      </w:r>
    </w:p>
    <w:p>
      <w:pPr>
        <w:pStyle w:val="BodyText"/>
        <w:spacing w:line="300" w:lineRule="auto" w:before="13"/>
        <w:ind w:right="188" w:firstLine="360"/>
        <w:jc w:val="both"/>
      </w:pPr>
      <w:r>
        <w:rPr>
          <w:rFonts w:ascii="Times New Roman" w:hAnsi="Times New Roman" w:cs="Times New Roman" w:eastAsia="Times New Roman" w:hint="default"/>
          <w:spacing w:val="-2"/>
        </w:rPr>
        <w:t>2</w:t>
      </w:r>
      <w:r>
        <w:rPr>
          <w:spacing w:val="-2"/>
        </w:rPr>
        <w:t>、深圳君正时代集成电路有限公司于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日取得由深圳市科技创新委员会、深圳市财政委员会、深圳市国家税</w:t>
      </w:r>
      <w:r>
        <w:rPr/>
        <w:t> </w:t>
      </w:r>
      <w:r>
        <w:rPr>
          <w:spacing w:val="-2"/>
        </w:rPr>
        <w:t>务局、深圳市地方税务局联合颁发的高新技术企业证书，证书编号：</w:t>
      </w:r>
      <w:r>
        <w:rPr>
          <w:rFonts w:ascii="Times New Roman" w:hAnsi="Times New Roman" w:cs="Times New Roman" w:eastAsia="Times New Roman" w:hint="default"/>
          <w:spacing w:val="-2"/>
        </w:rPr>
        <w:t>GR201444201276</w:t>
      </w:r>
      <w:r>
        <w:rPr>
          <w:spacing w:val="-2"/>
        </w:rPr>
        <w:t>，有效期限三年。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日，深</w:t>
      </w:r>
      <w:r>
        <w:rPr>
          <w:spacing w:val="-33"/>
        </w:rPr>
        <w:t> </w:t>
      </w:r>
      <w:r>
        <w:rPr>
          <w:spacing w:val="-33"/>
        </w:rPr>
      </w:r>
      <w:r>
        <w:rPr>
          <w:spacing w:val="-1"/>
        </w:rPr>
        <w:t>圳君正时代集成电路有限公司再次获得高新技术企业证书，有效期限三年。</w:t>
      </w:r>
      <w:r>
        <w:rPr>
          <w:rFonts w:ascii="Times New Roman" w:hAnsi="Times New Roman" w:cs="Times New Roman" w:eastAsia="Times New Roman" w:hint="default"/>
          <w:spacing w:val="-1"/>
        </w:rPr>
        <w:t>2017</w:t>
      </w:r>
      <w:r>
        <w:rPr>
          <w:spacing w:val="-1"/>
        </w:rPr>
        <w:t>年度按应纳税所得额的</w:t>
      </w:r>
      <w:r>
        <w:rPr>
          <w:rFonts w:ascii="Times New Roman" w:hAnsi="Times New Roman" w:cs="Times New Roman" w:eastAsia="Times New Roman" w:hint="default"/>
          <w:spacing w:val="-1"/>
        </w:rPr>
        <w:t>15%</w:t>
      </w:r>
      <w:r>
        <w:rPr>
          <w:spacing w:val="-1"/>
        </w:rPr>
        <w:t>计算缴纳企业所</w:t>
      </w:r>
      <w:r>
        <w:rPr>
          <w:spacing w:val="-87"/>
        </w:rPr>
        <w:t> </w:t>
      </w:r>
      <w:r>
        <w:rPr/>
        <w:t>得税。</w:t>
      </w:r>
    </w:p>
    <w:p>
      <w:pPr>
        <w:pStyle w:val="BodyText"/>
        <w:spacing w:line="300" w:lineRule="auto" w:before="31"/>
        <w:ind w:right="188" w:firstLine="360"/>
        <w:jc w:val="both"/>
      </w:pPr>
      <w:r>
        <w:rPr>
          <w:rFonts w:ascii="Times New Roman" w:hAnsi="Times New Roman" w:cs="Times New Roman" w:eastAsia="Times New Roman" w:hint="default"/>
          <w:spacing w:val="-2"/>
        </w:rPr>
        <w:t>3</w:t>
      </w:r>
      <w:r>
        <w:rPr>
          <w:spacing w:val="-2"/>
        </w:rPr>
        <w:t>、合肥君正科技有限公司于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日取得由安徽省科学技术厅、安徽省财政厅、安徽省国家税务局、安徽省地方</w:t>
      </w:r>
      <w:r>
        <w:rPr/>
        <w:t> 税务局联合颁发的高新技术企业证书，证书编号：</w:t>
      </w:r>
      <w:r>
        <w:rPr>
          <w:rFonts w:ascii="Times New Roman" w:hAnsi="Times New Roman" w:cs="Times New Roman" w:eastAsia="Times New Roman" w:hint="default"/>
        </w:rPr>
        <w:t>GR201734000672</w:t>
      </w:r>
      <w:r>
        <w:rPr/>
        <w:t>，有效期：三年。同时，根据《进一步鼓励软件产业和</w:t>
      </w:r>
      <w:r>
        <w:rPr>
          <w:spacing w:val="-69"/>
        </w:rPr>
        <w:t> </w:t>
      </w:r>
      <w:r>
        <w:rPr>
          <w:spacing w:val="-69"/>
        </w:rPr>
      </w:r>
      <w:r>
        <w:rPr>
          <w:spacing w:val="-1"/>
        </w:rPr>
        <w:t>集成电路发展的若干政策》和《软件企业认定管理办法》的有关规定，合肥君正被认定为软件企业。根据财税</w:t>
      </w:r>
      <w:r>
        <w:rPr>
          <w:rFonts w:ascii="Times New Roman" w:hAnsi="Times New Roman" w:cs="Times New Roman" w:eastAsia="Times New Roman" w:hint="default"/>
          <w:spacing w:val="-1"/>
        </w:rPr>
        <w:t>[2012]27</w:t>
      </w:r>
      <w:r>
        <w:rPr>
          <w:spacing w:val="-1"/>
        </w:rPr>
        <w:t>号文</w:t>
      </w:r>
      <w:r>
        <w:rPr>
          <w:spacing w:val="-64"/>
        </w:rPr>
        <w:t> </w:t>
      </w:r>
      <w:r>
        <w:rPr>
          <w:spacing w:val="-1"/>
        </w:rPr>
        <w:t>件和国税发（</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111</w:t>
      </w:r>
      <w:r>
        <w:rPr>
          <w:spacing w:val="-1"/>
        </w:rPr>
        <w:t>号有关规定，合肥君正可享受两免三减半税收优惠。</w:t>
      </w:r>
      <w:r>
        <w:rPr>
          <w:rFonts w:ascii="Times New Roman" w:hAnsi="Times New Roman" w:cs="Times New Roman" w:eastAsia="Times New Roman" w:hint="default"/>
          <w:spacing w:val="-1"/>
        </w:rPr>
        <w:t>2017</w:t>
      </w:r>
      <w:r>
        <w:rPr>
          <w:spacing w:val="-1"/>
        </w:rPr>
        <w:t>年度按应纳税所得额的</w:t>
      </w:r>
      <w:r>
        <w:rPr>
          <w:rFonts w:ascii="Times New Roman" w:hAnsi="Times New Roman" w:cs="Times New Roman" w:eastAsia="Times New Roman" w:hint="default"/>
          <w:spacing w:val="-1"/>
        </w:rPr>
        <w:t>0%</w:t>
      </w:r>
      <w:r>
        <w:rPr>
          <w:spacing w:val="-1"/>
        </w:rPr>
        <w:t>计算缴纳企业所</w:t>
      </w:r>
      <w:r>
        <w:rPr>
          <w:spacing w:val="-86"/>
        </w:rPr>
        <w:t> </w:t>
      </w:r>
      <w:r>
        <w:rPr/>
        <w:t>得税。</w:t>
      </w:r>
    </w:p>
    <w:p>
      <w:pPr>
        <w:spacing w:line="240" w:lineRule="auto" w:before="10"/>
        <w:rPr>
          <w:rFonts w:ascii="宋体" w:hAnsi="宋体" w:cs="宋体" w:eastAsia="宋体" w:hint="default"/>
          <w:sz w:val="23"/>
          <w:szCs w:val="23"/>
        </w:rPr>
      </w:pPr>
    </w:p>
    <w:p>
      <w:pPr>
        <w:pStyle w:val="Heading3"/>
        <w:spacing w:line="240" w:lineRule="auto"/>
        <w:ind w:right="8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84"/>
        <w:jc w:val="left"/>
      </w:pPr>
      <w:r>
        <w:rPr/>
        <w:t>无</w:t>
      </w:r>
    </w:p>
    <w:p>
      <w:pPr>
        <w:spacing w:line="240" w:lineRule="auto" w:before="3"/>
        <w:rPr>
          <w:rFonts w:ascii="宋体" w:hAnsi="宋体" w:cs="宋体" w:eastAsia="宋体" w:hint="default"/>
          <w:sz w:val="25"/>
          <w:szCs w:val="25"/>
        </w:rPr>
      </w:pPr>
    </w:p>
    <w:p>
      <w:pPr>
        <w:pStyle w:val="Heading2"/>
        <w:spacing w:line="240" w:lineRule="auto"/>
        <w:ind w:right="8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463,281.59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117,344.15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40,335,773.37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206,029,044.00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40,799,054.96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206,146,388.15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695,472.94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1,028,415.45</w:t>
            </w:r>
          </w:p>
        </w:tc>
      </w:tr>
    </w:tbl>
    <w:p>
      <w:pPr>
        <w:pStyle w:val="BodyText"/>
        <w:spacing w:line="240" w:lineRule="auto" w:before="49"/>
        <w:ind w:right="84"/>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84"/>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13,241,4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13,241,43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15,763,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918.87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15,763,891.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13,241,4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13,241,43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15,763,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918.87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15,763,891.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13,240,936.01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13,240,936.01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13,241,493.09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55.71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w:t>
      </w:r>
      <w:r>
        <w:rPr>
          <w:spacing w:val="-47"/>
        </w:rPr>
        <w:t> </w:t>
      </w:r>
      <w:r>
        <w:rPr>
          <w:rFonts w:ascii="Times New Roman" w:hAnsi="Times New Roman" w:cs="Times New Roman" w:eastAsia="Times New Roman" w:hint="default"/>
        </w:rPr>
        <w:t>27.86</w:t>
      </w:r>
      <w:r>
        <w:rPr>
          <w:rFonts w:ascii="Times New Roman" w:hAnsi="Times New Roman" w:cs="Times New Roman" w:eastAsia="Times New Roman" w:hint="default"/>
          <w:spacing w:val="-1"/>
        </w:rPr>
        <w:t> </w:t>
      </w:r>
      <w:r>
        <w:rPr/>
        <w:t>元，本期无收回或转回的坏账准备。</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12" w:right="209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212" w:right="6714"/>
        <w:jc w:val="left"/>
      </w:pPr>
      <w:r>
        <w:rPr/>
        <w:t>公司是否需要遵守特殊行业的披露要求 否</w:t>
      </w:r>
    </w:p>
    <w:p>
      <w:pPr>
        <w:pStyle w:val="BodyText"/>
        <w:spacing w:line="240" w:lineRule="auto" w:before="25"/>
        <w:ind w:left="573" w:right="113"/>
        <w:jc w:val="left"/>
      </w:pPr>
      <w:r>
        <w:rPr/>
        <w:t>本报告期按欠款方归集的期末余额前五名应收账款汇总金额</w:t>
      </w:r>
      <w:r>
        <w:rPr>
          <w:rFonts w:ascii="Times New Roman" w:hAnsi="Times New Roman" w:cs="Times New Roman" w:eastAsia="Times New Roman" w:hint="default"/>
        </w:rPr>
        <w:t>13,234,802.62</w:t>
      </w:r>
      <w:r>
        <w:rPr/>
        <w:t>元，占应收账款期末余额合计数的比例为</w:t>
      </w:r>
    </w:p>
    <w:p>
      <w:pPr>
        <w:pStyle w:val="BodyText"/>
        <w:spacing w:line="240" w:lineRule="auto" w:before="63"/>
        <w:ind w:left="212" w:right="2094"/>
        <w:jc w:val="left"/>
      </w:pPr>
      <w:r>
        <w:rPr>
          <w:rFonts w:ascii="Times New Roman" w:hAnsi="Times New Roman" w:cs="Times New Roman" w:eastAsia="Times New Roman" w:hint="default"/>
        </w:rPr>
        <w:t>99.95%</w:t>
      </w:r>
      <w:r>
        <w:rPr/>
        <w:t>，坏账准备期末余额金额</w:t>
      </w:r>
      <w:r>
        <w:rPr>
          <w:rFonts w:ascii="Times New Roman" w:hAnsi="Times New Roman" w:cs="Times New Roman" w:eastAsia="Times New Roman" w:hint="default"/>
        </w:rPr>
        <w:t>0.00</w:t>
      </w:r>
      <w:r>
        <w:rPr/>
        <w:t>元。</w:t>
      </w:r>
    </w:p>
    <w:p>
      <w:pPr>
        <w:spacing w:line="240" w:lineRule="auto" w:before="2"/>
        <w:rPr>
          <w:rFonts w:ascii="宋体" w:hAnsi="宋体" w:cs="宋体" w:eastAsia="宋体" w:hint="default"/>
          <w:sz w:val="26"/>
          <w:szCs w:val="26"/>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2" w:right="2094"/>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5,829,888.51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9,186,559.23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260,990.55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1,380,438.68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101,262.96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11,952.40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56,577.75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6,244,342.97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10,635,528.06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212" w:right="20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3"/>
        <w:rPr>
          <w:rFonts w:ascii="宋体" w:hAnsi="宋体" w:cs="宋体" w:eastAsia="宋体" w:hint="default"/>
          <w:sz w:val="25"/>
          <w:szCs w:val="25"/>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3116"/>
        <w:gridCol w:w="1277"/>
        <w:gridCol w:w="1275"/>
        <w:gridCol w:w="1248"/>
        <w:gridCol w:w="876"/>
        <w:gridCol w:w="1844"/>
      </w:tblGrid>
      <w:tr>
        <w:trPr>
          <w:trHeight w:val="125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542" w:right="180" w:hanging="360"/>
              <w:jc w:val="left"/>
              <w:rPr>
                <w:rFonts w:ascii="宋体" w:hAnsi="宋体" w:cs="宋体" w:eastAsia="宋体" w:hint="default"/>
                <w:sz w:val="18"/>
                <w:szCs w:val="18"/>
              </w:rPr>
            </w:pPr>
            <w:r>
              <w:rPr>
                <w:rFonts w:ascii="宋体" w:hAnsi="宋体" w:cs="宋体" w:eastAsia="宋体" w:hint="default"/>
                <w:b/>
                <w:bCs/>
                <w:sz w:val="18"/>
                <w:szCs w:val="18"/>
              </w:rPr>
              <w:t>与本公司关</w:t>
            </w:r>
            <w:r>
              <w:rPr>
                <w:rFonts w:ascii="宋体" w:hAnsi="宋体" w:cs="宋体" w:eastAsia="宋体" w:hint="default"/>
                <w:b/>
                <w:bCs/>
                <w:w w:val="99"/>
                <w:sz w:val="18"/>
                <w:szCs w:val="18"/>
              </w:rPr>
              <w:t> </w:t>
            </w:r>
            <w:r>
              <w:rPr>
                <w:rFonts w:ascii="宋体" w:hAnsi="宋体" w:cs="宋体" w:eastAsia="宋体" w:hint="default"/>
                <w:b/>
                <w:bCs/>
                <w:sz w:val="18"/>
                <w:szCs w:val="18"/>
              </w:rPr>
              <w:t>系</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63"/>
              <w:jc w:val="both"/>
              <w:rPr>
                <w:rFonts w:ascii="宋体" w:hAnsi="宋体" w:cs="宋体" w:eastAsia="宋体" w:hint="default"/>
                <w:sz w:val="18"/>
                <w:szCs w:val="18"/>
              </w:rPr>
            </w:pPr>
            <w:r>
              <w:rPr>
                <w:rFonts w:ascii="宋体" w:hAnsi="宋体" w:cs="宋体" w:eastAsia="宋体" w:hint="default"/>
                <w:b/>
                <w:bCs/>
                <w:sz w:val="18"/>
                <w:szCs w:val="18"/>
              </w:rPr>
              <w:t>占预付款项</w:t>
            </w:r>
            <w:r>
              <w:rPr>
                <w:rFonts w:ascii="宋体" w:hAnsi="宋体" w:cs="宋体" w:eastAsia="宋体" w:hint="default"/>
                <w:b/>
                <w:bCs/>
                <w:w w:val="99"/>
                <w:sz w:val="18"/>
                <w:szCs w:val="18"/>
              </w:rPr>
              <w:t> </w:t>
            </w:r>
            <w:r>
              <w:rPr>
                <w:rFonts w:ascii="宋体" w:hAnsi="宋体" w:cs="宋体" w:eastAsia="宋体" w:hint="default"/>
                <w:b/>
                <w:bCs/>
                <w:sz w:val="18"/>
                <w:szCs w:val="18"/>
              </w:rPr>
              <w:t>期末余额合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sz w:val="18"/>
                <w:szCs w:val="18"/>
              </w:rPr>
            </w:r>
          </w:p>
          <w:p>
            <w:pPr>
              <w:pStyle w:val="TableParagraph"/>
              <w:spacing w:line="240" w:lineRule="auto" w:before="19"/>
              <w:ind w:left="35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51" w:right="161" w:hanging="92"/>
              <w:jc w:val="left"/>
              <w:rPr>
                <w:rFonts w:ascii="宋体" w:hAnsi="宋体" w:cs="宋体" w:eastAsia="宋体" w:hint="default"/>
                <w:sz w:val="18"/>
                <w:szCs w:val="18"/>
              </w:rPr>
            </w:pPr>
            <w:r>
              <w:rPr>
                <w:rFonts w:ascii="宋体" w:hAnsi="宋体" w:cs="宋体" w:eastAsia="宋体" w:hint="default"/>
                <w:b/>
                <w:bCs/>
                <w:sz w:val="18"/>
                <w:szCs w:val="18"/>
              </w:rPr>
              <w:t>预付款</w:t>
            </w:r>
            <w:r>
              <w:rPr>
                <w:rFonts w:ascii="宋体" w:hAnsi="宋体" w:cs="宋体" w:eastAsia="宋体" w:hint="default"/>
                <w:b/>
                <w:bCs/>
                <w:w w:val="99"/>
                <w:sz w:val="18"/>
                <w:szCs w:val="18"/>
              </w:rPr>
              <w:t> </w:t>
            </w:r>
            <w:r>
              <w:rPr>
                <w:rFonts w:ascii="宋体" w:hAnsi="宋体" w:cs="宋体" w:eastAsia="宋体" w:hint="default"/>
                <w:b/>
                <w:bCs/>
                <w:sz w:val="18"/>
                <w:szCs w:val="18"/>
              </w:rPr>
              <w:t>时间</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台湾积体电路制造股份有限公司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4,392,621.98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70.35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中国海关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624,051.30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9.99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63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1"/>
              <w:jc w:val="left"/>
              <w:rPr>
                <w:rFonts w:ascii="宋体" w:hAnsi="宋体" w:cs="宋体" w:eastAsia="宋体" w:hint="default"/>
                <w:sz w:val="18"/>
                <w:szCs w:val="18"/>
              </w:rPr>
            </w:pPr>
            <w:r>
              <w:rPr>
                <w:rFonts w:ascii="宋体" w:hAnsi="宋体" w:cs="宋体" w:eastAsia="宋体" w:hint="default"/>
                <w:sz w:val="18"/>
                <w:szCs w:val="18"/>
              </w:rPr>
              <w:t>中芯国际集成电路制造（上海）有限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244,443.42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3.91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946"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北京君挚知识产权代理有限公司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96,000.00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1.54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3"/>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合肥高新股份有限公司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87,486.00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1.40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尚未达到结算时点</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5,444,602.70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87.19</w:t>
            </w:r>
          </w:p>
        </w:tc>
        <w:tc>
          <w:tcPr>
            <w:tcW w:w="87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20" w:right="980"/>
        </w:sectPr>
      </w:pPr>
    </w:p>
    <w:p>
      <w:pPr>
        <w:spacing w:line="240" w:lineRule="auto" w:before="9"/>
        <w:rPr>
          <w:rFonts w:ascii="宋体" w:hAnsi="宋体" w:cs="宋体" w:eastAsia="宋体" w:hint="default"/>
          <w:b/>
          <w:bCs/>
          <w:sz w:val="25"/>
          <w:szCs w:val="25"/>
        </w:rPr>
      </w:pPr>
    </w:p>
    <w:p>
      <w:pPr>
        <w:pStyle w:val="BodyText"/>
        <w:spacing w:line="360" w:lineRule="auto" w:before="44"/>
        <w:ind w:right="5184"/>
        <w:jc w:val="left"/>
      </w:pPr>
      <w:r>
        <w:rPr/>
        <w:t>其他说明： 注：其中</w:t>
      </w:r>
      <w:r>
        <w:rPr>
          <w:rFonts w:ascii="Times New Roman" w:hAnsi="Times New Roman" w:cs="Times New Roman" w:eastAsia="Times New Roman" w:hint="default"/>
        </w:rPr>
        <w:t>2017</w:t>
      </w:r>
      <w:r>
        <w:rPr/>
        <w:t>年预付</w:t>
      </w:r>
      <w:r>
        <w:rPr>
          <w:rFonts w:ascii="Times New Roman" w:hAnsi="Times New Roman" w:cs="Times New Roman" w:eastAsia="Times New Roman" w:hint="default"/>
        </w:rPr>
        <w:t>5,000.00</w:t>
      </w:r>
      <w:r>
        <w:rPr/>
        <w:t>元，</w:t>
      </w:r>
      <w:r>
        <w:rPr>
          <w:rFonts w:ascii="Times New Roman" w:hAnsi="Times New Roman" w:cs="Times New Roman" w:eastAsia="Times New Roman" w:hint="default"/>
        </w:rPr>
        <w:t>2016</w:t>
      </w:r>
      <w:r>
        <w:rPr/>
        <w:t>年预付</w:t>
      </w:r>
      <w:r>
        <w:rPr>
          <w:rFonts w:ascii="Times New Roman" w:hAnsi="Times New Roman" w:cs="Times New Roman" w:eastAsia="Times New Roman" w:hint="default"/>
        </w:rPr>
        <w:t>91,000.00</w:t>
      </w:r>
      <w:r>
        <w:rPr/>
        <w:t>元。</w:t>
      </w:r>
    </w:p>
    <w:p>
      <w:pPr>
        <w:spacing w:line="240" w:lineRule="auto" w:before="7"/>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5,037,18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4,446,453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1,343,2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1,165,383.1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5,037,18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590,726.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4,446,453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1,343,2</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23.43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177,840.2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1,165,383.1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4,149,226.87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207,461.34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4,149,226.87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207,461.34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652,656.24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233,611.90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187,299.52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5,037,180.01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590,726.23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spacing w:after="0" w:line="357"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w:t>
      </w:r>
      <w:r>
        <w:rPr>
          <w:spacing w:val="-47"/>
        </w:rPr>
        <w:t> </w:t>
      </w:r>
      <w:r>
        <w:rPr>
          <w:rFonts w:ascii="Times New Roman" w:hAnsi="Times New Roman" w:cs="Times New Roman" w:eastAsia="Times New Roman" w:hint="default"/>
        </w:rPr>
        <w:t>412,885.97</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3,509,317.40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1,162,481.68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232,646.90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11,858.52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105,636.75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1,283,357.19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5,037,180.01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1,343,223.43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中国证券登记结算 有限责任公司深圳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股权行权款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2,858,920.70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142,946.04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合肥高新区国家税 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924,718.10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46,235.91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何建波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648,334.03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194,500.21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北京市海淀区国家 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352,211.09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17,610.55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深圳市创维建设发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158,541.90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126,833.52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4,942,725.82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528,126.23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1,136,112.77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1,136,112.77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1,132,199.45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1,132,199.45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74,133,023.63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11,556,351.21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62,576,672.42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63,474,723.64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9,190,250.31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54,284,473.33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44,776,041.31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3,185,373.58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41,590,667.73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33,391,836.23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4,277,717.38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29,114,118.85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120,045,177.71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14,741,724.79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105,303,452.92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97,998,759.32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13,467,967.69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84,530,791.63</w:t>
            </w:r>
          </w:p>
        </w:tc>
      </w:tr>
    </w:tbl>
    <w:p>
      <w:pPr>
        <w:pStyle w:val="BodyText"/>
        <w:spacing w:line="340" w:lineRule="auto" w:before="49"/>
        <w:ind w:right="1495"/>
        <w:jc w:val="left"/>
      </w:pPr>
      <w:r>
        <w:rPr/>
        <w:t>公司是否需遵守《深圳证券交易所行业信息披露指引第</w:t>
      </w:r>
      <w:r>
        <w:rPr>
          <w:spacing w:val="-46"/>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9,190,250.31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2,366,100.90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11,556,351.21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4,277,717.38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591,028.01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1,683,371.81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3,185,373.58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13,467,967.69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2,957,128.91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1,683,371.81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14,741,724.79</w:t>
            </w:r>
          </w:p>
        </w:tc>
      </w:tr>
    </w:tbl>
    <w:p>
      <w:pPr>
        <w:pStyle w:val="BodyText"/>
        <w:spacing w:line="300" w:lineRule="auto" w:before="49"/>
        <w:ind w:right="149" w:firstLine="360"/>
        <w:jc w:val="both"/>
      </w:pPr>
      <w:r>
        <w:rPr>
          <w:spacing w:val="-1"/>
        </w:rPr>
        <w:t>期末库存商品跌价准备系部分</w:t>
      </w:r>
      <w:r>
        <w:rPr>
          <w:rFonts w:ascii="Times New Roman" w:hAnsi="Times New Roman" w:cs="Times New Roman" w:eastAsia="Times New Roman" w:hint="default"/>
          <w:spacing w:val="-1"/>
        </w:rPr>
        <w:t>wifi</w:t>
      </w:r>
      <w:r>
        <w:rPr>
          <w:spacing w:val="-1"/>
        </w:rPr>
        <w:t>模块类产品由于丧失市场价值，已于</w:t>
      </w:r>
      <w:r>
        <w:rPr>
          <w:rFonts w:ascii="Times New Roman" w:hAnsi="Times New Roman" w:cs="Times New Roman" w:eastAsia="Times New Roman" w:hint="default"/>
          <w:spacing w:val="-1"/>
        </w:rPr>
        <w:t>2014</w:t>
      </w:r>
      <w:r>
        <w:rPr>
          <w:spacing w:val="-1"/>
        </w:rPr>
        <w:t>年度全额计提了跌价准备；期末在产品跌价</w:t>
      </w:r>
      <w:r>
        <w:rPr/>
        <w:t> 准备系对已停产的在产品余额全额计提了跌价准备；本期库存商品转销跌价准备</w:t>
      </w:r>
      <w:r>
        <w:rPr>
          <w:rFonts w:ascii="Times New Roman" w:hAnsi="Times New Roman" w:cs="Times New Roman" w:eastAsia="Times New Roman" w:hint="default"/>
        </w:rPr>
        <w:t>1,683,371.81</w:t>
      </w:r>
      <w:r>
        <w:rPr/>
        <w:t>元，系由于库存商品新增应用</w:t>
      </w:r>
      <w:r>
        <w:rPr>
          <w:spacing w:val="-44"/>
        </w:rPr>
        <w:t> </w:t>
      </w:r>
      <w:r>
        <w:rPr>
          <w:spacing w:val="-44"/>
        </w:rPr>
      </w:r>
      <w:r>
        <w:rPr/>
        <w:t>领域所致。</w:t>
      </w:r>
    </w:p>
    <w:p>
      <w:pPr>
        <w:spacing w:after="0" w:line="30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671,989,000.00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9,513,405.64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6,577,252.74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2,341,189.15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40,527.13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683,843,594.79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551,017,779.87</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162,407,377.60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162,407,377.60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145,040,507.02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145,040,507.02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162,407,377.60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162,407,377.60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145,040,507.02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145,040,507.02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162,407,377.60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162,407,377.60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145,040,507.02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145,040,507.02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352"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深圳市明</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108"/>
              <w:jc w:val="left"/>
              <w:rPr>
                <w:rFonts w:ascii="宋体" w:hAnsi="宋体" w:cs="宋体" w:eastAsia="宋体" w:hint="default"/>
                <w:sz w:val="18"/>
                <w:szCs w:val="18"/>
              </w:rPr>
            </w:pPr>
            <w:r>
              <w:rPr>
                <w:rFonts w:ascii="宋体" w:hAnsi="宋体" w:cs="宋体" w:eastAsia="宋体" w:hint="default"/>
                <w:sz w:val="18"/>
                <w:szCs w:val="18"/>
              </w:rPr>
              <w:t>道汇智投 资基金合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pacing w:val="-1"/>
                <w:sz w:val="18"/>
              </w:rPr>
              <w:t>45,831,763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pacing w:val="-1"/>
                <w:sz w:val="18"/>
              </w:rPr>
              <w:t>5,494,000.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40,337,763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79.49%</w:t>
            </w:r>
          </w:p>
        </w:tc>
        <w:tc>
          <w:tcPr>
            <w:tcW w:w="871" w:type="dxa"/>
            <w:vMerge/>
            <w:tcBorders>
              <w:left w:val="single" w:sz="4" w:space="0" w:color="000000"/>
              <w:right w:val="single" w:sz="4" w:space="0" w:color="000000"/>
            </w:tcBorders>
          </w:tcPr>
          <w:p>
            <w:pPr/>
          </w:p>
        </w:tc>
      </w:tr>
      <w:tr>
        <w:trPr>
          <w:trHeight w:val="319"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伙企业</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80" w:header="745" w:top="1060" w:bottom="116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北京柘益</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10,208,452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1,483,573.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8,724,878.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746,993.80</w:t>
            </w: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南昌建恩</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半导体产 业投资中 心（有限</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Times New Roman" w:hAnsi="Times New Roman" w:cs="Times New Roman" w:eastAsia="Times New Roman" w:hint="default"/>
                <w:sz w:val="18"/>
                <w:szCs w:val="18"/>
              </w:rPr>
            </w:pPr>
            <w:r>
              <w:rPr>
                <w:rFonts w:ascii="Times New Roman"/>
                <w:sz w:val="18"/>
              </w:rPr>
              <w:t>740,256.20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19,259,743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8.33%</w:t>
            </w:r>
          </w:p>
        </w:tc>
        <w:tc>
          <w:tcPr>
            <w:tcW w:w="871" w:type="dxa"/>
            <w:vMerge/>
            <w:tcBorders>
              <w:left w:val="single" w:sz="4" w:space="0" w:color="000000"/>
              <w:right w:val="single" w:sz="4" w:space="0" w:color="000000"/>
            </w:tcBorders>
          </w:tcPr>
          <w:p>
            <w:pPr/>
          </w:p>
        </w:tc>
      </w:tr>
      <w:tr>
        <w:trPr>
          <w:trHeight w:val="360"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6"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宁波鼎峰</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93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both"/>
              <w:rPr>
                <w:rFonts w:ascii="宋体" w:hAnsi="宋体" w:cs="宋体" w:eastAsia="宋体" w:hint="default"/>
                <w:sz w:val="18"/>
                <w:szCs w:val="18"/>
              </w:rPr>
            </w:pPr>
            <w:r>
              <w:rPr>
                <w:rFonts w:ascii="宋体" w:hAnsi="宋体" w:cs="宋体" w:eastAsia="宋体" w:hint="default"/>
                <w:sz w:val="18"/>
                <w:szCs w:val="18"/>
              </w:rPr>
              <w:t>明道汇正 投资合伙 企业（有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z w:val="18"/>
              </w:rPr>
              <w:t>43.07%</w:t>
            </w:r>
          </w:p>
        </w:tc>
        <w:tc>
          <w:tcPr>
            <w:tcW w:w="871" w:type="dxa"/>
            <w:vMerge/>
            <w:tcBorders>
              <w:left w:val="single" w:sz="4" w:space="0" w:color="000000"/>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深圳盛耀 微电子有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深圳普得 技术有限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北京捷联 微芯科技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5,084,700.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15,084,700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北京捷联</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4"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无线科技 中心（有</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291.17</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291.17</w:t>
            </w: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871" w:type="dxa"/>
            <w:vMerge/>
            <w:tcBorders>
              <w:left w:val="single" w:sz="4" w:space="0" w:color="000000"/>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55"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北京柘量</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18.96%</w:t>
            </w:r>
          </w:p>
        </w:tc>
        <w:tc>
          <w:tcPr>
            <w:tcW w:w="871" w:type="dxa"/>
            <w:vMerge/>
            <w:tcBorders>
              <w:left w:val="single" w:sz="4" w:space="0" w:color="000000"/>
              <w:right w:val="single" w:sz="4" w:space="0" w:color="000000"/>
            </w:tcBorders>
          </w:tcPr>
          <w:p>
            <w:pP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145,040,50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25,084,700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7,717,829.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162,407,37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746,993.80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北京君诚 易恒科技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2,164,489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2,164,489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-179,893.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2,164,489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-179,893.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35,288,212.70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35,288,212.70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35,288,212.70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35,288,212.70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2,340,399.45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2,340,399.45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741,665.67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741,665.67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741,665.67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741,665.67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3,082,065.12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3,082,065.12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32,206,147.58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32,206,147.58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32,947,813.25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32,947,813.25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34,867,653.04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19,048,299.59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55,189,715.25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601,743.43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601,743.43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601,743.43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601,743.43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34,867,653.04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19,642,043.02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1,273,762.62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55,783,458.68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2,295,414.87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12,674,397.57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1,054,661.93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16,024,474.37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743,657.85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2,745,952.03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3,578,402.22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743,657.85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2,745,952.03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3,578,402.22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7,600.00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3,039,072.72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15,412,749.60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1,143,454.27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19,595,276.59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31,828,580.32</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4,229,293.42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130,308.35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36,188,182.09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32,572,238.17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6,373,902.02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219,100.69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39,165,240.88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君正集成电路合 肥基地一期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24,961,130.24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24,961,130.24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1,922,518.92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1,922,518.92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24,961,130.24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24,961,130.24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1,922,518.92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1,922,518.92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6"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君正集</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56"/>
              <w:jc w:val="left"/>
              <w:rPr>
                <w:rFonts w:ascii="宋体" w:hAnsi="宋体" w:cs="宋体" w:eastAsia="宋体" w:hint="default"/>
                <w:sz w:val="18"/>
                <w:szCs w:val="18"/>
              </w:rPr>
            </w:pPr>
            <w:r>
              <w:rPr>
                <w:rFonts w:ascii="宋体" w:hAnsi="宋体" w:cs="宋体" w:eastAsia="宋体" w:hint="default"/>
                <w:sz w:val="18"/>
                <w:szCs w:val="18"/>
              </w:rPr>
              <w:t>成电路 合肥基</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1,922,51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23,038,6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11.32</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24,961,1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31.20%</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地一期</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1,922,51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23,038,6</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11.32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24,961,1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30.24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37,669,724.87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2,009,349.01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262,563.25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262,563.25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262,563.25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262,563.25</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37,669,724.87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2,271,912.26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39,941,637.13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3,579,499.18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1,915,854.85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5,495,354.03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753,394.44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35,739.27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789,133.71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753,394.44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789,133.71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4,332,893.62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1,951,594.12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6,284,487.74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33,336,831.25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320,318.14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33,657,149.39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34,090,225.69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93,494.16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34,183,719.85</w:t>
            </w:r>
          </w:p>
        </w:tc>
      </w:tr>
    </w:tbl>
    <w:p>
      <w:pPr>
        <w:pStyle w:val="BodyText"/>
        <w:spacing w:line="240" w:lineRule="auto" w:before="49"/>
        <w:ind w:right="15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技术授权费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2,248,105.96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1,504,606.84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2,248,105.96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1,504,606.84</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12,504,049.79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1,875,607.47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9,294,934.60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1,394,240.19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335,241.53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50,286.23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1,647,706.18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247,155.93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2,422,863.96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363,429.59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2,627,691.76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394,153.76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9,271,843.84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1,390,776.58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3,295,850.00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494,377.50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17,889,847.04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2,683,477.05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23,510,334.62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3,526,550.20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2,683,477.05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3,526,550.20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2,828,456.94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4,350,901.20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35,597,557.11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31,276,326.44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2,252,379.70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44,526,014.05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37,879,607.34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6,638,454.58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4,451,039.54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4,451,039.54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3,603,160.92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3,603,160.92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7,610,801.39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7,610,801.39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7,859,359.95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8,972,870.01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12,073,195.31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35,597,557.11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31,276,326.44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7,288,949.22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4,369,800.33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7,288,949.22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4,369,800.33</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3,216,226.58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6,168,588.96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182,091.39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344,960.32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7,729.19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3,400,967.97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6,521,278.47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2,607,573.37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3,318,600.56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268,127.64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157,592.30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157,982.30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3,046,005.41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3,491,514.96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5,898,072.17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46,886,515.57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47,757,315.41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5,027,272.33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288,266.21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5,108,128.89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5,098,353.69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298,041.41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6,186,338.38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51,994,644.46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52,855,669.10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5,325,313.74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5,548,229.70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38,898,124.24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39,786,363.94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4,659,990.00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6,408.00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1,160,498.36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1,166,906.36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2,690,282.09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2,692,220.07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165,900.15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145,921.10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2,437,504.26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2,432,587.86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150,837.50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75,751.56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82,927.14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3,028.24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11,713.21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177,026.27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176,705.07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12,034.41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3,551,541.48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3,527,598.48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97,136.00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102,403.34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586,069.40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584,226.56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104,246.18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5,898,072.17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46,886,515.57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47,757,315.41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5,027,272.33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276,600.86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4,920,081.02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4,910,668.42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286,013.46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11,665.35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188,047.87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187,685.27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288,266.21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5,108,128.89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5,098,353.69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298,041.41</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61,091.06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403,213.79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134,510.30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164,974.92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48,584.73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4,631.99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20,822.03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3,087.99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13,881.36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30,243.60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785,987.13</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23,637.48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收取的押金、保证金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4,811,713.97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3,192,364.30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250,894.82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224,146.37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5,066,791.87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3,477,868.15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16,771,843.84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8,694,852.08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14,727,691.76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16,771,843.84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8,694,852.08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14,727,691.76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205"/>
        <w:gridCol w:w="1136"/>
        <w:gridCol w:w="1274"/>
        <w:gridCol w:w="1064"/>
        <w:gridCol w:w="1063"/>
        <w:gridCol w:w="497"/>
        <w:gridCol w:w="1205"/>
        <w:gridCol w:w="1063"/>
      </w:tblGrid>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0"/>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高密度三维</w:t>
            </w:r>
          </w:p>
        </w:tc>
        <w:tc>
          <w:tcPr>
            <w:tcW w:w="1205"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9"/>
              <w:jc w:val="left"/>
              <w:rPr>
                <w:rFonts w:ascii="宋体" w:hAnsi="宋体" w:cs="宋体" w:eastAsia="宋体" w:hint="default"/>
                <w:sz w:val="18"/>
                <w:szCs w:val="18"/>
              </w:rPr>
            </w:pPr>
            <w:r>
              <w:rPr>
                <w:rFonts w:ascii="宋体" w:hAnsi="宋体" w:cs="宋体" w:eastAsia="宋体" w:hint="default"/>
                <w:sz w:val="18"/>
                <w:szCs w:val="18"/>
              </w:rPr>
              <w:t>系统集成技 术开发与产</w:t>
            </w:r>
          </w:p>
        </w:tc>
        <w:tc>
          <w:tcPr>
            <w:tcW w:w="1205"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1,666,700.00</w:t>
            </w: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1,666,700.00</w:t>
            </w: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业化注</w:t>
            </w:r>
            <w:r>
              <w:rPr>
                <w:rFonts w:ascii="Times New Roman" w:hAnsi="Times New Roman" w:cs="Times New Roman" w:eastAsia="Times New Roman" w:hint="default"/>
                <w:sz w:val="18"/>
                <w:szCs w:val="18"/>
              </w:rPr>
              <w:t>(1)</w:t>
            </w:r>
          </w:p>
        </w:tc>
        <w:tc>
          <w:tcPr>
            <w:tcW w:w="1205"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基于国产</w:t>
            </w:r>
          </w:p>
        </w:tc>
        <w:tc>
          <w:tcPr>
            <w:tcW w:w="1205" w:type="dxa"/>
            <w:tcBorders>
              <w:top w:val="single" w:sz="4" w:space="0" w:color="000000"/>
              <w:left w:val="single" w:sz="4" w:space="0" w:color="000000"/>
              <w:bottom w:val="nil" w:sz="6" w:space="0" w:color="auto"/>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tc>
        <w:tc>
          <w:tcPr>
            <w:tcW w:w="1205"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板电脑类产</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7" w:right="0"/>
              <w:jc w:val="left"/>
              <w:rPr>
                <w:rFonts w:ascii="Times New Roman" w:hAnsi="Times New Roman" w:cs="Times New Roman" w:eastAsia="Times New Roman" w:hint="default"/>
                <w:sz w:val="18"/>
                <w:szCs w:val="18"/>
              </w:rPr>
            </w:pPr>
            <w:r>
              <w:rPr>
                <w:rFonts w:ascii="Times New Roman"/>
                <w:sz w:val="18"/>
              </w:rPr>
              <w:t>1,491,874.84</w:t>
            </w: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1,183,453.08</w:t>
            </w: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362" w:right="0"/>
              <w:jc w:val="left"/>
              <w:rPr>
                <w:rFonts w:ascii="Times New Roman" w:hAnsi="Times New Roman" w:cs="Times New Roman" w:eastAsia="Times New Roman" w:hint="default"/>
                <w:sz w:val="18"/>
                <w:szCs w:val="18"/>
              </w:rPr>
            </w:pPr>
            <w:r>
              <w:rPr>
                <w:rFonts w:ascii="Times New Roman"/>
                <w:sz w:val="18"/>
              </w:rPr>
              <w:t>308,421.76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0"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品批量应用</w:t>
            </w:r>
          </w:p>
        </w:tc>
        <w:tc>
          <w:tcPr>
            <w:tcW w:w="1205"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05"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智能硬件软</w:t>
            </w:r>
          </w:p>
        </w:tc>
        <w:tc>
          <w:tcPr>
            <w:tcW w:w="1205" w:type="dxa"/>
            <w:tcBorders>
              <w:top w:val="single" w:sz="4" w:space="0" w:color="000000"/>
              <w:left w:val="single" w:sz="4" w:space="0" w:color="000000"/>
              <w:bottom w:val="nil" w:sz="6" w:space="0" w:color="auto"/>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2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硬件一体化</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27" w:right="0"/>
              <w:jc w:val="left"/>
              <w:rPr>
                <w:rFonts w:ascii="Times New Roman" w:hAnsi="Times New Roman" w:cs="Times New Roman" w:eastAsia="Times New Roman" w:hint="default"/>
                <w:sz w:val="18"/>
                <w:szCs w:val="18"/>
              </w:rPr>
            </w:pPr>
            <w:r>
              <w:rPr>
                <w:rFonts w:ascii="Times New Roman"/>
                <w:sz w:val="18"/>
              </w:rPr>
              <w:t>2,368,419.00</w:t>
            </w: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2,368,419.00</w:t>
            </w: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9"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安全芯片及</w:t>
            </w:r>
          </w:p>
        </w:tc>
        <w:tc>
          <w:tcPr>
            <w:tcW w:w="1205"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205"/>
        <w:gridCol w:w="1136"/>
        <w:gridCol w:w="1274"/>
        <w:gridCol w:w="1064"/>
        <w:gridCol w:w="1063"/>
        <w:gridCol w:w="497"/>
        <w:gridCol w:w="1205"/>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视频监控芯</w:t>
            </w:r>
          </w:p>
        </w:tc>
        <w:tc>
          <w:tcPr>
            <w:tcW w:w="1205" w:type="dxa"/>
            <w:tcBorders>
              <w:top w:val="single" w:sz="4" w:space="0" w:color="000000"/>
              <w:left w:val="single" w:sz="4" w:space="0" w:color="000000"/>
              <w:bottom w:val="nil" w:sz="6" w:space="0" w:color="auto"/>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9"/>
              <w:jc w:val="left"/>
              <w:rPr>
                <w:rFonts w:ascii="宋体" w:hAnsi="宋体" w:cs="宋体" w:eastAsia="宋体" w:hint="default"/>
                <w:sz w:val="18"/>
                <w:szCs w:val="18"/>
              </w:rPr>
            </w:pPr>
            <w:r>
              <w:rPr>
                <w:rFonts w:ascii="宋体" w:hAnsi="宋体" w:cs="宋体" w:eastAsia="宋体" w:hint="default"/>
                <w:sz w:val="18"/>
                <w:szCs w:val="18"/>
              </w:rPr>
              <w:t>片研发及产 业化项目注</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05"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年高精</w:t>
            </w:r>
          </w:p>
        </w:tc>
        <w:tc>
          <w:tcPr>
            <w:tcW w:w="1205" w:type="dxa"/>
            <w:tcBorders>
              <w:top w:val="single" w:sz="4" w:space="0" w:color="000000"/>
              <w:left w:val="single" w:sz="4" w:space="0" w:color="000000"/>
              <w:bottom w:val="nil" w:sz="6" w:space="0" w:color="auto"/>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29"/>
              <w:jc w:val="left"/>
              <w:rPr>
                <w:rFonts w:ascii="宋体" w:hAnsi="宋体" w:cs="宋体" w:eastAsia="宋体" w:hint="default"/>
                <w:sz w:val="18"/>
                <w:szCs w:val="18"/>
              </w:rPr>
            </w:pPr>
            <w:r>
              <w:rPr>
                <w:rFonts w:ascii="宋体" w:hAnsi="宋体" w:cs="宋体" w:eastAsia="宋体" w:hint="default"/>
                <w:sz w:val="18"/>
                <w:szCs w:val="18"/>
              </w:rPr>
              <w:t>尖产业发展 重点支撑项</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5,411,550.00</w:t>
            </w: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3,092,280.00</w:t>
            </w: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2,319,270.00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05"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智能视频分</w:t>
            </w:r>
          </w:p>
        </w:tc>
        <w:tc>
          <w:tcPr>
            <w:tcW w:w="1205" w:type="dxa"/>
            <w:tcBorders>
              <w:top w:val="single" w:sz="4" w:space="0" w:color="000000"/>
              <w:left w:val="single" w:sz="4" w:space="0" w:color="000000"/>
              <w:bottom w:val="nil" w:sz="6" w:space="0" w:color="auto"/>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29"/>
              <w:jc w:val="left"/>
              <w:rPr>
                <w:rFonts w:ascii="宋体" w:hAnsi="宋体" w:cs="宋体" w:eastAsia="宋体" w:hint="default"/>
                <w:sz w:val="18"/>
                <w:szCs w:val="18"/>
              </w:rPr>
            </w:pPr>
            <w:r>
              <w:rPr>
                <w:rFonts w:ascii="宋体" w:hAnsi="宋体" w:cs="宋体" w:eastAsia="宋体" w:hint="default"/>
                <w:sz w:val="18"/>
                <w:szCs w:val="18"/>
              </w:rPr>
              <w:t>析芯片的研 发及产业化</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205"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w:t>
            </w:r>
          </w:p>
        </w:tc>
        <w:tc>
          <w:tcPr>
            <w:tcW w:w="1205"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29"/>
              <w:jc w:val="left"/>
              <w:rPr>
                <w:rFonts w:ascii="宋体" w:hAnsi="宋体" w:cs="宋体" w:eastAsia="宋体" w:hint="default"/>
                <w:sz w:val="18"/>
                <w:szCs w:val="18"/>
              </w:rPr>
            </w:pPr>
            <w:r>
              <w:rPr>
                <w:rFonts w:ascii="宋体" w:hAnsi="宋体" w:cs="宋体" w:eastAsia="宋体" w:hint="default"/>
                <w:sz w:val="18"/>
                <w:szCs w:val="18"/>
              </w:rPr>
              <w:t>村集成电路 涉及企业发</w:t>
            </w:r>
          </w:p>
        </w:tc>
        <w:tc>
          <w:tcPr>
            <w:tcW w:w="1205"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384,000.00</w:t>
            </w:r>
          </w:p>
        </w:tc>
        <w:tc>
          <w:tcPr>
            <w:tcW w:w="1274"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384,000.00</w:t>
            </w: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展基金</w:t>
            </w:r>
          </w:p>
        </w:tc>
        <w:tc>
          <w:tcPr>
            <w:tcW w:w="1205"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集成电路产</w:t>
            </w:r>
          </w:p>
        </w:tc>
        <w:tc>
          <w:tcPr>
            <w:tcW w:w="1205"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业集聚发展</w:t>
            </w:r>
          </w:p>
        </w:tc>
        <w:tc>
          <w:tcPr>
            <w:tcW w:w="1205"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基地</w:t>
            </w:r>
            <w:r>
              <w:rPr>
                <w:rFonts w:ascii="Times New Roman" w:hAnsi="Times New Roman" w:cs="Times New Roman" w:eastAsia="Times New Roman" w:hint="default"/>
                <w:sz w:val="18"/>
                <w:szCs w:val="18"/>
              </w:rPr>
              <w:t>"</w:t>
            </w:r>
            <w:r>
              <w:rPr>
                <w:rFonts w:ascii="宋体" w:hAnsi="宋体" w:cs="宋体" w:eastAsia="宋体" w:hint="default"/>
                <w:sz w:val="18"/>
                <w:szCs w:val="18"/>
              </w:rPr>
              <w:t>借转补</w:t>
            </w:r>
          </w:p>
        </w:tc>
        <w:tc>
          <w:tcPr>
            <w:tcW w:w="1205"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4,400,000.00</w:t>
            </w:r>
          </w:p>
        </w:tc>
        <w:tc>
          <w:tcPr>
            <w:tcW w:w="127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专项财政扶</w:t>
            </w:r>
          </w:p>
        </w:tc>
        <w:tc>
          <w:tcPr>
            <w:tcW w:w="1205"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127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05"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自主创新政</w:t>
            </w:r>
          </w:p>
        </w:tc>
        <w:tc>
          <w:tcPr>
            <w:tcW w:w="1205" w:type="dxa"/>
            <w:vMerge w:val="restart"/>
            <w:tcBorders>
              <w:top w:val="single" w:sz="4" w:space="0" w:color="000000"/>
              <w:left w:val="single" w:sz="4" w:space="0" w:color="000000"/>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策兑现补贴</w:t>
            </w:r>
          </w:p>
        </w:tc>
        <w:tc>
          <w:tcPr>
            <w:tcW w:w="1205" w:type="dxa"/>
            <w:vMerge/>
            <w:tcBorders>
              <w:left w:val="single" w:sz="4" w:space="0" w:color="000000"/>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27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0"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vMerge/>
            <w:tcBorders>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16,771,843.84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6,650,700.00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8,694,852.08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14,727,691.76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t>其他说明：</w:t>
      </w:r>
    </w:p>
    <w:p>
      <w:pPr>
        <w:pStyle w:val="BodyText"/>
        <w:spacing w:line="300" w:lineRule="auto" w:before="117"/>
        <w:ind w:right="190" w:firstLine="360"/>
        <w:jc w:val="both"/>
      </w:pPr>
      <w:r>
        <w:rPr>
          <w:spacing w:val="-5"/>
        </w:rPr>
        <w:t>注</w:t>
      </w:r>
      <w:r>
        <w:rPr>
          <w:rFonts w:ascii="Times New Roman" w:hAnsi="Times New Roman" w:cs="Times New Roman" w:eastAsia="Times New Roman" w:hint="default"/>
          <w:spacing w:val="-5"/>
        </w:rPr>
        <w:t>(1)</w:t>
      </w:r>
      <w:r>
        <w:rPr>
          <w:spacing w:val="-5"/>
        </w:rPr>
        <w:t>：本公司于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10</w:t>
      </w:r>
      <w:r>
        <w:rPr>
          <w:spacing w:val="-5"/>
        </w:rPr>
        <w:t>月收到公司承担的《智能终端处理器芯片研发及先进封装技术导入》项目的部分补助资金</w:t>
      </w:r>
      <w:r>
        <w:rPr>
          <w:rFonts w:ascii="Times New Roman" w:hAnsi="Times New Roman" w:cs="Times New Roman" w:eastAsia="Times New Roman" w:hint="default"/>
          <w:spacing w:val="-5"/>
        </w:rPr>
        <w:t>333.33</w:t>
      </w:r>
      <w:r>
        <w:rPr>
          <w:rFonts w:ascii="Times New Roman" w:hAnsi="Times New Roman" w:cs="Times New Roman" w:eastAsia="Times New Roman" w:hint="default"/>
        </w:rPr>
        <w:t> </w:t>
      </w:r>
      <w:r>
        <w:rPr>
          <w:spacing w:val="-4"/>
        </w:rPr>
        <w:t>万元。该项目执行期为自收到该笔资金起至</w:t>
      </w:r>
      <w:r>
        <w:rPr>
          <w:rFonts w:ascii="Times New Roman" w:hAnsi="Times New Roman" w:cs="Times New Roman" w:eastAsia="Times New Roman" w:hint="default"/>
          <w:spacing w:val="-4"/>
        </w:rPr>
        <w:t>2016</w:t>
      </w:r>
      <w:r>
        <w:rPr>
          <w:spacing w:val="-4"/>
        </w:rPr>
        <w:t>年底，根据项目已完成情况，</w:t>
      </w:r>
      <w:r>
        <w:rPr>
          <w:rFonts w:ascii="Times New Roman" w:hAnsi="Times New Roman" w:cs="Times New Roman" w:eastAsia="Times New Roman" w:hint="default"/>
          <w:spacing w:val="-4"/>
        </w:rPr>
        <w:t>2017</w:t>
      </w:r>
      <w:r>
        <w:rPr>
          <w:spacing w:val="-4"/>
        </w:rPr>
        <w:t>年公司收到了该项目的剩余补助资金</w:t>
      </w:r>
      <w:r>
        <w:rPr>
          <w:rFonts w:ascii="Times New Roman" w:hAnsi="Times New Roman" w:cs="Times New Roman" w:eastAsia="Times New Roman" w:hint="default"/>
          <w:spacing w:val="-4"/>
        </w:rPr>
        <w:t>166.67</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万元。上述补助资金一次性结转至其他收益；</w:t>
      </w:r>
    </w:p>
    <w:p>
      <w:pPr>
        <w:pStyle w:val="BodyText"/>
        <w:spacing w:line="300" w:lineRule="auto" w:before="70"/>
        <w:ind w:right="84" w:firstLine="36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月，中华人民共和国工业和信息化部下发文件《关于批复核心电子器件高端通用芯片及基础软件产品科 </w:t>
      </w:r>
      <w:r>
        <w:rPr>
          <w:spacing w:val="-2"/>
        </w:rPr>
        <w:t>技重大专项</w:t>
      </w:r>
      <w:r>
        <w:rPr>
          <w:rFonts w:ascii="Times New Roman" w:hAnsi="Times New Roman" w:cs="Times New Roman" w:eastAsia="Times New Roman" w:hint="default"/>
          <w:spacing w:val="-2"/>
        </w:rPr>
        <w:t>2015</w:t>
      </w:r>
      <w:r>
        <w:rPr>
          <w:spacing w:val="-2"/>
        </w:rPr>
        <w:t>年立项课题（非涉密部分）中央财政资金预算以及</w:t>
      </w:r>
      <w:r>
        <w:rPr>
          <w:rFonts w:ascii="Times New Roman" w:hAnsi="Times New Roman" w:cs="Times New Roman" w:eastAsia="Times New Roman" w:hint="default"/>
          <w:spacing w:val="-2"/>
        </w:rPr>
        <w:t>2015</w:t>
      </w:r>
      <w:r>
        <w:rPr>
          <w:spacing w:val="-2"/>
        </w:rPr>
        <w:t>年度资金下达的通知》（工信专项一简</w:t>
      </w:r>
      <w:r>
        <w:rPr>
          <w:rFonts w:ascii="Times New Roman" w:hAnsi="Times New Roman" w:cs="Times New Roman" w:eastAsia="Times New Roman" w:hint="default"/>
          <w:spacing w:val="-2"/>
        </w:rPr>
        <w:t>[2015]48</w:t>
      </w:r>
      <w:r>
        <w:rPr>
          <w:spacing w:val="-2"/>
        </w:rPr>
        <w:t>号），</w:t>
      </w:r>
      <w:r>
        <w:rPr>
          <w:spacing w:val="-85"/>
        </w:rPr>
        <w:t> </w:t>
      </w:r>
      <w:r>
        <w:rPr>
          <w:spacing w:val="-85"/>
        </w:rPr>
      </w:r>
      <w:r>
        <w:rPr/>
        <w:t>文件中声名补助方式为事后立项事后补助；本公司于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月收到中华人民共和国工业和信息化部拨款</w:t>
      </w:r>
      <w:r>
        <w:rPr>
          <w:rFonts w:ascii="Times New Roman" w:hAnsi="Times New Roman" w:cs="Times New Roman" w:eastAsia="Times New Roman" w:hint="default"/>
        </w:rPr>
        <w:t>46,999,600.00</w:t>
      </w:r>
      <w:r>
        <w:rPr/>
        <w:t>元；</w:t>
      </w:r>
      <w:r>
        <w:rPr>
          <w:spacing w:val="-47"/>
        </w:rPr>
        <w:t> </w:t>
      </w:r>
      <w:r>
        <w:rPr/>
        <w:t>其中与收益相关的政府补助为</w:t>
      </w:r>
      <w:r>
        <w:rPr>
          <w:rFonts w:ascii="Times New Roman" w:hAnsi="Times New Roman" w:cs="Times New Roman" w:eastAsia="Times New Roman" w:hint="default"/>
        </w:rPr>
        <w:t>40,770,900.00</w:t>
      </w:r>
      <w:r>
        <w:rPr>
          <w:rFonts w:ascii="Times New Roman" w:hAnsi="Times New Roman" w:cs="Times New Roman" w:eastAsia="Times New Roman" w:hint="default"/>
          <w:spacing w:val="35"/>
        </w:rPr>
        <w:t> </w:t>
      </w:r>
      <w:r>
        <w:rPr/>
        <w:t>元，与资产相关的政府补助为</w:t>
      </w:r>
      <w:r>
        <w:rPr>
          <w:rFonts w:ascii="Times New Roman" w:hAnsi="Times New Roman" w:cs="Times New Roman" w:eastAsia="Times New Roman" w:hint="default"/>
        </w:rPr>
        <w:t>6,228,700.00</w:t>
      </w:r>
      <w:r>
        <w:rPr/>
        <w:t>元。依据项目中固定资产收益年限分</w:t>
      </w:r>
      <w:r>
        <w:rPr>
          <w:spacing w:val="-83"/>
        </w:rPr>
        <w:t> </w:t>
      </w:r>
      <w:r>
        <w:rPr>
          <w:spacing w:val="-83"/>
        </w:rPr>
      </w:r>
      <w:r>
        <w:rPr/>
        <w:t>摊该款项，本期计入其他收益金额为</w:t>
      </w:r>
      <w:r>
        <w:rPr>
          <w:rFonts w:ascii="Times New Roman" w:hAnsi="Times New Roman" w:cs="Times New Roman" w:eastAsia="Times New Roman" w:hint="default"/>
        </w:rPr>
        <w:t>1,183,453.08</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308,421.76</w:t>
      </w:r>
      <w:r>
        <w:rPr/>
        <w:t>元；</w:t>
      </w:r>
    </w:p>
    <w:p>
      <w:pPr>
        <w:pStyle w:val="BodyText"/>
        <w:spacing w:line="240" w:lineRule="auto" w:before="53"/>
        <w:ind w:left="513" w:right="84"/>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月，本公司与工业和信息化部签订《</w:t>
      </w:r>
      <w:r>
        <w:rPr>
          <w:rFonts w:ascii="Times New Roman" w:hAnsi="Times New Roman" w:cs="Times New Roman" w:eastAsia="Times New Roman" w:hint="default"/>
        </w:rPr>
        <w:t>2015</w:t>
      </w:r>
      <w:r>
        <w:rPr/>
        <w:t>年工业转型升级智能制造和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行动支撑保障能力工程</w:t>
      </w:r>
    </w:p>
    <w:p>
      <w:pPr>
        <w:pStyle w:val="BodyText"/>
        <w:spacing w:line="300" w:lineRule="auto" w:before="63"/>
        <w:ind w:right="191"/>
        <w:jc w:val="both"/>
      </w:pPr>
      <w:r>
        <w:rPr>
          <w:rFonts w:ascii="Times New Roman" w:hAnsi="Times New Roman" w:cs="Times New Roman" w:eastAsia="Times New Roman" w:hint="default"/>
        </w:rPr>
        <w:t>--</w:t>
      </w:r>
      <w:r>
        <w:rPr/>
        <w:t>安全芯片能力提升及应用方向》合同书，合同约定：工业和信息化部为本公司</w:t>
      </w:r>
      <w:r>
        <w:rPr>
          <w:rFonts w:ascii="Times New Roman" w:hAnsi="Times New Roman" w:cs="Times New Roman" w:eastAsia="Times New Roman" w:hint="default"/>
        </w:rPr>
        <w:t>“</w:t>
      </w:r>
      <w:r>
        <w:rPr/>
        <w:t>智能硬件软硬件一体化安全芯片及</w:t>
      </w:r>
      <w:r>
        <w:rPr>
          <w:rFonts w:ascii="Times New Roman" w:hAnsi="Times New Roman" w:cs="Times New Roman" w:eastAsia="Times New Roman" w:hint="default"/>
        </w:rPr>
        <w:t>IP</w:t>
      </w:r>
      <w:r>
        <w:rPr/>
        <w:t>核</w:t>
      </w:r>
      <w:r>
        <w:rPr>
          <w:rFonts w:ascii="Times New Roman" w:hAnsi="Times New Roman" w:cs="Times New Roman" w:eastAsia="Times New Roman" w:hint="default"/>
        </w:rPr>
        <w:t>”</w:t>
      </w:r>
      <w:r>
        <w:rPr/>
        <w:t>项</w:t>
      </w:r>
      <w:r>
        <w:rPr>
          <w:spacing w:val="-74"/>
        </w:rPr>
        <w:t> </w:t>
      </w:r>
      <w:r>
        <w:rPr>
          <w:spacing w:val="2"/>
        </w:rPr>
        <w:t>目提供经费资助</w:t>
      </w:r>
      <w:r>
        <w:rPr>
          <w:rFonts w:ascii="Times New Roman" w:hAnsi="Times New Roman" w:cs="Times New Roman" w:eastAsia="Times New Roman" w:hint="default"/>
          <w:spacing w:val="2"/>
        </w:rPr>
        <w:t>7,500,000.00</w:t>
      </w:r>
      <w:r>
        <w:rPr>
          <w:spacing w:val="2"/>
        </w:rPr>
        <w:t>元，项目实施年限为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月收到工业和信息化部拨款</w:t>
      </w:r>
      <w:r>
        <w:rPr>
          <w:spacing w:val="-26"/>
        </w:rPr>
        <w:t> </w:t>
      </w:r>
      <w:r>
        <w:rPr>
          <w:spacing w:val="-26"/>
        </w:rPr>
      </w:r>
      <w:r>
        <w:rPr>
          <w:rFonts w:ascii="Times New Roman" w:hAnsi="Times New Roman" w:cs="Times New Roman" w:eastAsia="Times New Roman" w:hint="default"/>
          <w:spacing w:val="-1"/>
        </w:rPr>
        <w:t>7,500,000.00</w:t>
      </w:r>
      <w:r>
        <w:rPr>
          <w:spacing w:val="-1"/>
        </w:rPr>
        <w:t>元，按照收款日至研发结束的期间。本公司</w:t>
      </w:r>
      <w:r>
        <w:rPr>
          <w:rFonts w:ascii="Times New Roman" w:hAnsi="Times New Roman" w:cs="Times New Roman" w:eastAsia="Times New Roman" w:hint="default"/>
          <w:spacing w:val="-1"/>
        </w:rPr>
        <w:t>2017</w:t>
      </w:r>
      <w:r>
        <w:rPr>
          <w:spacing w:val="-1"/>
        </w:rPr>
        <w:t>年结转其他收益</w:t>
      </w:r>
      <w:r>
        <w:rPr>
          <w:rFonts w:ascii="Times New Roman" w:hAnsi="Times New Roman" w:cs="Times New Roman" w:eastAsia="Times New Roman" w:hint="default"/>
          <w:spacing w:val="-1"/>
        </w:rPr>
        <w:t>2,368,419.00</w:t>
      </w:r>
      <w:r>
        <w:rPr>
          <w:spacing w:val="-1"/>
        </w:rPr>
        <w:t>元，累计结转</w:t>
      </w:r>
      <w:r>
        <w:rPr>
          <w:rFonts w:ascii="Times New Roman" w:hAnsi="Times New Roman" w:cs="Times New Roman" w:eastAsia="Times New Roman" w:hint="default"/>
          <w:spacing w:val="-1"/>
        </w:rPr>
        <w:t>7,500,000.00</w:t>
      </w:r>
      <w:r>
        <w:rPr>
          <w:spacing w:val="-1"/>
        </w:rPr>
        <w:t>元，截至</w:t>
      </w:r>
    </w:p>
    <w:p>
      <w:pPr>
        <w:pStyle w:val="BodyText"/>
        <w:spacing w:line="340" w:lineRule="auto" w:before="13"/>
        <w:ind w:left="513" w:right="84" w:hanging="36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0</w:t>
      </w:r>
      <w:r>
        <w:rPr/>
        <w:t>元； 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w:t>
      </w:r>
    </w:p>
    <w:p>
      <w:pPr>
        <w:pStyle w:val="BodyText"/>
        <w:spacing w:line="228" w:lineRule="exact"/>
        <w:ind w:right="0"/>
        <w:jc w:val="both"/>
      </w:pPr>
      <w:r>
        <w:rPr/>
        <w:t>局（以下简称为</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）签订《安徽省集成电路产业集聚发展合肥基地</w:t>
      </w:r>
      <w:r>
        <w:rPr>
          <w:rFonts w:ascii="Times New Roman" w:hAnsi="Times New Roman" w:cs="Times New Roman" w:eastAsia="Times New Roman" w:hint="default"/>
        </w:rPr>
        <w:t>2015</w:t>
      </w:r>
      <w:r>
        <w:rPr/>
        <w:t>年度专项引导资金使用协议书》，协议约定：甲</w:t>
      </w:r>
    </w:p>
    <w:p>
      <w:pPr>
        <w:spacing w:after="0" w:line="228" w:lineRule="exact"/>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1"/>
        <w:jc w:val="both"/>
      </w:pPr>
      <w:r>
        <w:rPr/>
        <w:t>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6,000,000.00</w:t>
      </w:r>
      <w:r>
        <w:rPr/>
        <w:t>元拨付给乙方，乙方专款专用于视频监控芯片研发及产业化，专项资金使</w:t>
      </w:r>
      <w:r>
        <w:rPr>
          <w:spacing w:val="-36"/>
        </w:rPr>
        <w:t> </w:t>
      </w:r>
      <w:r>
        <w:rPr>
          <w:spacing w:val="-36"/>
        </w:rPr>
      </w:r>
      <w:r>
        <w:rPr>
          <w:spacing w:val="-2"/>
        </w:rPr>
        <w:t>用期限为：自资金拨付之日至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日。在此期间，乙方使用专项资金，甲方不计收利息，期满后，甲方按协议约定</w:t>
      </w:r>
      <w:r>
        <w:rPr>
          <w:spacing w:val="-62"/>
        </w:rPr>
        <w:t> </w:t>
      </w:r>
      <w:r>
        <w:rPr>
          <w:spacing w:val="-62"/>
        </w:rPr>
      </w:r>
      <w:r>
        <w:rPr>
          <w:spacing w:val="-2"/>
        </w:rPr>
        <w:t>绩效考核目标，组织对乙方项目验收。合肥君正科技有限公司于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月收到合肥高新技术产业开发区招商局拨付的补贴</w:t>
      </w:r>
      <w:r>
        <w:rPr>
          <w:spacing w:val="-60"/>
        </w:rPr>
        <w:t> </w:t>
      </w:r>
      <w:r>
        <w:rPr>
          <w:spacing w:val="-60"/>
        </w:rPr>
      </w:r>
      <w:r>
        <w:rPr/>
        <w:t>款</w:t>
      </w:r>
      <w:r>
        <w:rPr>
          <w:rFonts w:ascii="Times New Roman" w:hAnsi="Times New Roman" w:cs="Times New Roman" w:eastAsia="Times New Roman" w:hint="default"/>
        </w:rPr>
        <w:t>6,000,000.00</w:t>
      </w:r>
      <w:r>
        <w:rPr/>
        <w:t>元；</w:t>
      </w:r>
    </w:p>
    <w:p>
      <w:pPr>
        <w:pStyle w:val="BodyText"/>
        <w:spacing w:line="300" w:lineRule="auto" w:before="53"/>
        <w:ind w:right="189" w:firstLine="360"/>
        <w:jc w:val="both"/>
      </w:pPr>
      <w:r>
        <w:rPr>
          <w:spacing w:val="-1"/>
        </w:rPr>
        <w:t>注</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2015</w:t>
      </w:r>
      <w:r>
        <w:rPr>
          <w:spacing w:val="-1"/>
        </w:rPr>
        <w:t>年本公司与经信委签订《北京市高精尖产业发展资金拨款项目合同书》，合同约定经信委为本公司</w:t>
      </w:r>
      <w:r>
        <w:rPr>
          <w:rFonts w:ascii="Times New Roman" w:hAnsi="Times New Roman" w:cs="Times New Roman" w:eastAsia="Times New Roman" w:hint="default"/>
          <w:spacing w:val="-1"/>
        </w:rPr>
        <w:t>“</w:t>
      </w:r>
      <w:r>
        <w:rPr>
          <w:spacing w:val="-1"/>
        </w:rPr>
        <w:t>智能硬</w:t>
      </w:r>
      <w:r>
        <w:rPr/>
        <w:t> 件</w:t>
      </w:r>
      <w:r>
        <w:rPr>
          <w:rFonts w:ascii="Times New Roman" w:hAnsi="Times New Roman" w:cs="Times New Roman" w:eastAsia="Times New Roman" w:hint="default"/>
        </w:rPr>
        <w:t>CPU</w:t>
      </w:r>
      <w:r>
        <w:rPr/>
        <w:t>芯片研发及产业化</w:t>
      </w:r>
      <w:r>
        <w:rPr>
          <w:rFonts w:ascii="Times New Roman" w:hAnsi="Times New Roman" w:cs="Times New Roman" w:eastAsia="Times New Roman" w:hint="default"/>
        </w:rPr>
        <w:t>”</w:t>
      </w:r>
      <w:r>
        <w:rPr/>
        <w:t>项目提供经费资助</w:t>
      </w:r>
      <w:r>
        <w:rPr>
          <w:rFonts w:ascii="Times New Roman" w:hAnsi="Times New Roman" w:cs="Times New Roman" w:eastAsia="Times New Roman" w:hint="default"/>
        </w:rPr>
        <w:t>670</w:t>
      </w:r>
      <w:r>
        <w:rPr/>
        <w:t>万元，项目实施年限为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月收到</w:t>
      </w:r>
      <w:r>
        <w:rPr>
          <w:spacing w:val="-48"/>
        </w:rPr>
        <w:t> </w:t>
      </w:r>
      <w:r>
        <w:rPr>
          <w:spacing w:val="-48"/>
        </w:rPr>
      </w:r>
      <w:r>
        <w:rPr>
          <w:spacing w:val="-2"/>
        </w:rPr>
        <w:t>经信委拨款</w:t>
      </w:r>
      <w:r>
        <w:rPr>
          <w:rFonts w:ascii="Times New Roman" w:hAnsi="Times New Roman" w:cs="Times New Roman" w:eastAsia="Times New Roman" w:hint="default"/>
          <w:spacing w:val="-2"/>
        </w:rPr>
        <w:t>670</w:t>
      </w:r>
      <w:r>
        <w:rPr>
          <w:spacing w:val="-2"/>
        </w:rPr>
        <w:t>万元，按照拨款日至项目结束日共</w:t>
      </w:r>
      <w:r>
        <w:rPr>
          <w:rFonts w:ascii="Times New Roman" w:hAnsi="Times New Roman" w:cs="Times New Roman" w:eastAsia="Times New Roman" w:hint="default"/>
          <w:spacing w:val="-2"/>
        </w:rPr>
        <w:t>26</w:t>
      </w:r>
      <w:r>
        <w:rPr>
          <w:spacing w:val="-2"/>
        </w:rPr>
        <w:t>个月。本公司</w:t>
      </w:r>
      <w:r>
        <w:rPr>
          <w:rFonts w:ascii="Times New Roman" w:hAnsi="Times New Roman" w:cs="Times New Roman" w:eastAsia="Times New Roman" w:hint="default"/>
          <w:spacing w:val="-2"/>
        </w:rPr>
        <w:t>2017</w:t>
      </w:r>
      <w:r>
        <w:rPr>
          <w:spacing w:val="-2"/>
        </w:rPr>
        <w:t>年结转其他收益</w:t>
      </w:r>
      <w:r>
        <w:rPr>
          <w:rFonts w:ascii="Times New Roman" w:hAnsi="Times New Roman" w:cs="Times New Roman" w:eastAsia="Times New Roman" w:hint="default"/>
          <w:spacing w:val="-2"/>
        </w:rPr>
        <w:t>3,092,280.00</w:t>
      </w:r>
      <w:r>
        <w:rPr>
          <w:spacing w:val="-2"/>
        </w:rPr>
        <w:t>元，累计结转</w:t>
      </w:r>
      <w:r>
        <w:rPr>
          <w:rFonts w:ascii="Times New Roman" w:hAnsi="Times New Roman" w:cs="Times New Roman" w:eastAsia="Times New Roman" w:hint="default"/>
          <w:spacing w:val="-2"/>
        </w:rPr>
        <w:t>4,380,730.00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日余额为</w:t>
      </w:r>
      <w:r>
        <w:rPr>
          <w:rFonts w:ascii="Times New Roman" w:hAnsi="Times New Roman" w:cs="Times New Roman" w:eastAsia="Times New Roman" w:hint="default"/>
        </w:rPr>
        <w:t>2,319,270.00</w:t>
      </w:r>
      <w:r>
        <w:rPr/>
        <w:t>元；</w:t>
      </w:r>
    </w:p>
    <w:p>
      <w:pPr>
        <w:pStyle w:val="BodyText"/>
        <w:spacing w:line="300" w:lineRule="auto" w:before="51"/>
        <w:ind w:right="94" w:firstLine="360"/>
        <w:jc w:val="left"/>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 局（以下简称为</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）签订《智能视频分析芯片的研发及产业化项目使用集成电路产业集聚发展基地</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专项财政扶 持资金协议书》，协议约定：甲方以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1,500,000.00</w:t>
      </w:r>
      <w:r>
        <w:rPr/>
        <w:t>元拨付给乙方，乙方专款专用于智能视频</w:t>
      </w:r>
      <w:r>
        <w:rPr>
          <w:spacing w:val="-33"/>
        </w:rPr>
        <w:t> </w:t>
      </w:r>
      <w:r>
        <w:rPr>
          <w:spacing w:val="-33"/>
        </w:rPr>
      </w:r>
      <w:r>
        <w:rPr/>
        <w:t>分析芯片的研发及产业化项目，专项资金使用期限为：自资金拨付之日至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日。在此期间，乙方使用专项资金， </w:t>
      </w:r>
      <w:r>
        <w:rPr>
          <w:spacing w:val="-2"/>
        </w:rPr>
        <w:t>甲方不计收利息，期满后，甲方按协议约定绩效考核目标，组织对乙方项目验收。合肥君正科技有限公司于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月收到</w:t>
      </w:r>
      <w:r>
        <w:rPr>
          <w:spacing w:val="-59"/>
        </w:rPr>
        <w:t> </w:t>
      </w:r>
      <w:r>
        <w:rPr>
          <w:spacing w:val="-59"/>
        </w:rPr>
      </w:r>
      <w:r>
        <w:rPr/>
        <w:t>合肥高新技术产业开发区招商局拨付的补贴款</w:t>
      </w:r>
      <w:r>
        <w:rPr>
          <w:rFonts w:ascii="Times New Roman" w:hAnsi="Times New Roman" w:cs="Times New Roman" w:eastAsia="Times New Roman" w:hint="default"/>
        </w:rPr>
        <w:t>1,500,000.00</w:t>
      </w:r>
      <w:r>
        <w:rPr/>
        <w:t>元；</w:t>
      </w:r>
    </w:p>
    <w:p>
      <w:pPr>
        <w:pStyle w:val="BodyText"/>
        <w:spacing w:line="240" w:lineRule="auto" w:before="53"/>
        <w:ind w:left="513" w:right="84"/>
        <w:jc w:val="left"/>
      </w:pPr>
      <w:r>
        <w:rPr/>
        <w:t>注</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月，本公司全资子公司合肥君正科技有限公司（以下简称为</w:t>
      </w:r>
      <w:r>
        <w:rPr>
          <w:rFonts w:ascii="Times New Roman" w:hAnsi="Times New Roman" w:cs="Times New Roman" w:eastAsia="Times New Roman" w:hint="default"/>
        </w:rPr>
        <w:t>“</w:t>
      </w:r>
      <w:r>
        <w:rPr/>
        <w:t>乙方</w:t>
      </w:r>
      <w:r>
        <w:rPr>
          <w:rFonts w:ascii="Times New Roman" w:hAnsi="Times New Roman" w:cs="Times New Roman" w:eastAsia="Times New Roman" w:hint="default"/>
        </w:rPr>
        <w:t>”</w:t>
      </w:r>
      <w:r>
        <w:rPr/>
        <w:t>）与合肥高新技术产业开发区招商局</w:t>
      </w:r>
    </w:p>
    <w:p>
      <w:pPr>
        <w:pStyle w:val="BodyText"/>
        <w:spacing w:line="300" w:lineRule="auto" w:before="63"/>
        <w:ind w:right="191"/>
        <w:jc w:val="both"/>
      </w:pPr>
      <w:r>
        <w:rPr>
          <w:spacing w:val="-1"/>
        </w:rPr>
        <w:t>（以下简称为</w:t>
      </w:r>
      <w:r>
        <w:rPr>
          <w:rFonts w:ascii="Times New Roman" w:hAnsi="Times New Roman" w:cs="Times New Roman" w:eastAsia="Times New Roman" w:hint="default"/>
          <w:spacing w:val="-1"/>
        </w:rPr>
        <w:t>“</w:t>
      </w:r>
      <w:r>
        <w:rPr>
          <w:spacing w:val="-1"/>
        </w:rPr>
        <w:t>甲方</w:t>
      </w:r>
      <w:r>
        <w:rPr>
          <w:rFonts w:ascii="Times New Roman" w:hAnsi="Times New Roman" w:cs="Times New Roman" w:eastAsia="Times New Roman" w:hint="default"/>
          <w:spacing w:val="-1"/>
        </w:rPr>
        <w:t>”</w:t>
      </w:r>
      <w:r>
        <w:rPr>
          <w:spacing w:val="-1"/>
        </w:rPr>
        <w:t>）签订《智能视频分析芯片的研发及产业化项目使用集成电路产业集聚发展基地</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专项财政扶持</w:t>
      </w:r>
      <w:r>
        <w:rPr>
          <w:spacing w:val="-77"/>
        </w:rPr>
        <w:t> </w:t>
      </w:r>
      <w:r>
        <w:rPr>
          <w:spacing w:val="-77"/>
        </w:rPr>
      </w:r>
      <w:r>
        <w:rPr/>
        <w:t>资金协议书》，协议约定：甲方以</w:t>
      </w:r>
      <w:r>
        <w:rPr>
          <w:rFonts w:ascii="Times New Roman" w:hAnsi="Times New Roman" w:cs="Times New Roman" w:eastAsia="Times New Roman" w:hint="default"/>
        </w:rPr>
        <w:t>“</w:t>
      </w:r>
      <w:r>
        <w:rPr/>
        <w:t>借转补</w:t>
      </w:r>
      <w:r>
        <w:rPr>
          <w:rFonts w:ascii="Times New Roman" w:hAnsi="Times New Roman" w:cs="Times New Roman" w:eastAsia="Times New Roman" w:hint="default"/>
        </w:rPr>
        <w:t>”</w:t>
      </w:r>
      <w:r>
        <w:rPr/>
        <w:t>的方式将专项引导资金</w:t>
      </w:r>
      <w:r>
        <w:rPr>
          <w:rFonts w:ascii="Times New Roman" w:hAnsi="Times New Roman" w:cs="Times New Roman" w:eastAsia="Times New Roman" w:hint="default"/>
        </w:rPr>
        <w:t>4,400,000.00</w:t>
      </w:r>
      <w:r>
        <w:rPr/>
        <w:t>元拨付给乙方，乙方专款专用于智能视频分</w:t>
      </w:r>
      <w:r>
        <w:rPr>
          <w:spacing w:val="-32"/>
        </w:rPr>
        <w:t> </w:t>
      </w:r>
      <w:r>
        <w:rPr>
          <w:spacing w:val="-32"/>
        </w:rPr>
      </w:r>
      <w:r>
        <w:rPr>
          <w:spacing w:val="-2"/>
        </w:rPr>
        <w:t>析芯片的研发及产业化项目，专项资金使用期限为：自资金拨付之日至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日。在此期间，乙方使用专项资金，甲</w:t>
      </w:r>
      <w:r>
        <w:rPr>
          <w:spacing w:val="-62"/>
        </w:rPr>
        <w:t> </w:t>
      </w:r>
      <w:r>
        <w:rPr>
          <w:spacing w:val="-62"/>
        </w:rPr>
      </w:r>
      <w:r>
        <w:rPr/>
        <w:t>方不计收利息，期满后，甲方按协议约定绩效考核目标，组织对乙方项目验收。合肥君正科技有限公司于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月收到合</w:t>
      </w:r>
      <w:r>
        <w:rPr>
          <w:spacing w:val="-84"/>
        </w:rPr>
        <w:t> </w:t>
      </w:r>
      <w:r>
        <w:rPr>
          <w:spacing w:val="-84"/>
        </w:rPr>
      </w:r>
      <w:r>
        <w:rPr/>
        <w:t>肥高新技术产业开发区招商局拨付的补贴款</w:t>
      </w:r>
      <w:r>
        <w:rPr>
          <w:rFonts w:ascii="Times New Roman" w:hAnsi="Times New Roman" w:cs="Times New Roman" w:eastAsia="Times New Roman" w:hint="default"/>
        </w:rPr>
        <w:t>4,400,000.00</w:t>
      </w:r>
      <w:r>
        <w:rPr/>
        <w:t>元；</w:t>
      </w:r>
    </w:p>
    <w:p>
      <w:pPr>
        <w:pStyle w:val="BodyText"/>
        <w:spacing w:line="300" w:lineRule="auto" w:before="53"/>
        <w:ind w:right="189" w:firstLine="360"/>
        <w:jc w:val="both"/>
      </w:pPr>
      <w:r>
        <w:rPr>
          <w:spacing w:val="-1"/>
        </w:rPr>
        <w:t>注</w:t>
      </w: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月合肥市科技局下发《</w:t>
      </w:r>
      <w:r>
        <w:rPr>
          <w:rFonts w:ascii="Times New Roman" w:hAnsi="Times New Roman" w:cs="Times New Roman" w:eastAsia="Times New Roman" w:hint="default"/>
          <w:spacing w:val="-1"/>
        </w:rPr>
        <w:t>2017</w:t>
      </w:r>
      <w:r>
        <w:rPr>
          <w:spacing w:val="-1"/>
        </w:rPr>
        <w:t>年合肥市促进自主创新政策》，本公司全资子公司合肥君正科技有限公司根</w:t>
      </w:r>
      <w:r>
        <w:rPr/>
        <w:t> </w:t>
      </w:r>
      <w:r>
        <w:rPr>
          <w:spacing w:val="-1"/>
        </w:rPr>
        <w:t>据《合肥市财政资金</w:t>
      </w:r>
      <w:r>
        <w:rPr>
          <w:rFonts w:ascii="Times New Roman" w:hAnsi="Times New Roman" w:cs="Times New Roman" w:eastAsia="Times New Roman" w:hint="default"/>
          <w:spacing w:val="-1"/>
        </w:rPr>
        <w:t>"</w:t>
      </w:r>
      <w:r>
        <w:rPr>
          <w:spacing w:val="-1"/>
        </w:rPr>
        <w:t>借转补</w:t>
      </w:r>
      <w:r>
        <w:rPr>
          <w:rFonts w:ascii="Times New Roman" w:hAnsi="Times New Roman" w:cs="Times New Roman" w:eastAsia="Times New Roman" w:hint="default"/>
          <w:spacing w:val="-1"/>
        </w:rPr>
        <w:t>"</w:t>
      </w:r>
      <w:r>
        <w:rPr>
          <w:spacing w:val="-1"/>
        </w:rPr>
        <w:t>操作细则》，作为新认定的国家级高新技术企业享受借转补优惠政策，合肥君正科技有限公司</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日收到补贴款</w:t>
      </w:r>
      <w:r>
        <w:rPr>
          <w:rFonts w:ascii="Times New Roman" w:hAnsi="Times New Roman" w:cs="Times New Roman" w:eastAsia="Times New Roman" w:hint="default"/>
        </w:rPr>
        <w:t>200,000.00</w:t>
      </w:r>
      <w:r>
        <w:rPr/>
        <w:t>元。</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166,400,000.00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646,173.00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646,173.00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167,046,173.00</w:t>
            </w:r>
          </w:p>
        </w:tc>
      </w:tr>
    </w:tbl>
    <w:p>
      <w:pPr>
        <w:pStyle w:val="BodyText"/>
        <w:spacing w:line="240" w:lineRule="auto" w:before="49"/>
        <w:ind w:right="84"/>
        <w:jc w:val="left"/>
      </w:pPr>
      <w:r>
        <w:rPr/>
        <w:t>其他说明：</w:t>
      </w:r>
    </w:p>
    <w:p>
      <w:pPr>
        <w:pStyle w:val="BodyText"/>
        <w:spacing w:line="300" w:lineRule="auto" w:before="115"/>
        <w:ind w:right="84"/>
        <w:jc w:val="left"/>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日，本公司授予</w:t>
      </w:r>
      <w:r>
        <w:rPr>
          <w:rFonts w:ascii="Times New Roman" w:hAnsi="Times New Roman" w:cs="Times New Roman" w:eastAsia="Times New Roman" w:hint="default"/>
          <w:spacing w:val="-2"/>
        </w:rPr>
        <w:t>101</w:t>
      </w:r>
      <w:r>
        <w:rPr>
          <w:spacing w:val="-2"/>
        </w:rPr>
        <w:t>名公司员工</w:t>
      </w:r>
      <w:r>
        <w:rPr>
          <w:rFonts w:ascii="Times New Roman" w:hAnsi="Times New Roman" w:cs="Times New Roman" w:eastAsia="Times New Roman" w:hint="default"/>
          <w:spacing w:val="-2"/>
        </w:rPr>
        <w:t>2,610,000.00</w:t>
      </w:r>
      <w:r>
        <w:rPr>
          <w:spacing w:val="-2"/>
        </w:rPr>
        <w:t>份股票期权，截至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日，由于部分员工已离职，</w:t>
      </w:r>
      <w:r>
        <w:rPr>
          <w:spacing w:val="-85"/>
        </w:rPr>
        <w:t> </w:t>
      </w:r>
      <w:r>
        <w:rPr>
          <w:spacing w:val="-85"/>
        </w:rPr>
      </w:r>
      <w:r>
        <w:rPr/>
        <w:t>可行权的股票期权数量变更为</w:t>
      </w:r>
      <w:r>
        <w:rPr>
          <w:rFonts w:ascii="Times New Roman" w:hAnsi="Times New Roman" w:cs="Times New Roman" w:eastAsia="Times New Roman" w:hint="default"/>
        </w:rPr>
        <w:t>2,227,598.00</w:t>
      </w:r>
      <w:r>
        <w:rPr/>
        <w:t>份。授予的股票期权自授予日起满</w:t>
      </w:r>
      <w:r>
        <w:rPr>
          <w:rFonts w:ascii="Times New Roman" w:hAnsi="Times New Roman" w:cs="Times New Roman" w:eastAsia="Times New Roman" w:hint="default"/>
        </w:rPr>
        <w:t>12</w:t>
      </w:r>
      <w:r>
        <w:rPr/>
        <w:t>个月后在未来</w:t>
      </w:r>
      <w:r>
        <w:rPr>
          <w:rFonts w:ascii="Times New Roman" w:hAnsi="Times New Roman" w:cs="Times New Roman" w:eastAsia="Times New Roman" w:hint="default"/>
        </w:rPr>
        <w:t>36</w:t>
      </w:r>
      <w:r>
        <w:rPr/>
        <w:t>个月内分三期行权。</w:t>
      </w:r>
      <w:r>
        <w:rPr>
          <w:rFonts w:ascii="Times New Roman" w:hAnsi="Times New Roman" w:cs="Times New Roman" w:eastAsia="Times New Roman" w:hint="default"/>
        </w:rPr>
        <w:t>2017</w:t>
      </w:r>
      <w:r>
        <w:rPr/>
        <w:t>年</w:t>
      </w:r>
      <w:r>
        <w:rPr>
          <w:spacing w:val="-44"/>
        </w:rPr>
        <w:t> </w:t>
      </w:r>
      <w:r>
        <w:rPr/>
        <w:t>度被授予员工共行权</w:t>
      </w:r>
      <w:r>
        <w:rPr>
          <w:rFonts w:ascii="Times New Roman" w:hAnsi="Times New Roman" w:cs="Times New Roman" w:eastAsia="Times New Roman" w:hint="default"/>
        </w:rPr>
        <w:t>646,173.00</w:t>
      </w:r>
      <w:r>
        <w:rPr/>
        <w:t>股。</w:t>
      </w:r>
    </w:p>
    <w:p>
      <w:pPr>
        <w:pStyle w:val="BodyText"/>
        <w:spacing w:line="300" w:lineRule="auto" w:before="53"/>
        <w:ind w:right="1669"/>
        <w:jc w:val="left"/>
      </w:pPr>
      <w:r>
        <w:rPr/>
        <w:t>注（</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日，本公司控股股东李杰累计质押给中泰证券股份有限公司</w:t>
      </w:r>
      <w:r>
        <w:rPr>
          <w:rFonts w:ascii="Times New Roman" w:hAnsi="Times New Roman" w:cs="Times New Roman" w:eastAsia="Times New Roman" w:hint="default"/>
        </w:rPr>
        <w:t>18,890,000.00</w:t>
      </w:r>
      <w:r>
        <w:rPr/>
        <w:t>股； 注（</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日，本公司控股股东刘强累计质押给中泰证券股份有限公司</w:t>
      </w:r>
      <w:r>
        <w:rPr>
          <w:rFonts w:ascii="Times New Roman" w:hAnsi="Times New Roman" w:cs="Times New Roman" w:eastAsia="Times New Roman" w:hint="default"/>
        </w:rPr>
        <w:t>4,310,000.00</w:t>
      </w:r>
      <w:r>
        <w:rPr/>
        <w:t>股。</w:t>
      </w:r>
    </w:p>
    <w:p>
      <w:pPr>
        <w:spacing w:after="0" w:line="30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733,417,178.85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19,274,784.25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752,691,963.10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3,824,787.82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6,846,612.18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739,400,078.85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23,963,284.25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3,824,787.82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759,538,575.28</w:t>
            </w:r>
          </w:p>
        </w:tc>
      </w:tr>
    </w:tbl>
    <w:p>
      <w:pPr>
        <w:pStyle w:val="BodyText"/>
        <w:spacing w:line="240" w:lineRule="auto" w:before="49"/>
        <w:ind w:right="153"/>
        <w:jc w:val="left"/>
      </w:pPr>
      <w:r>
        <w:rPr/>
        <w:t>其他说明，包括本期增减变动情况、变动原因说明：</w:t>
      </w:r>
    </w:p>
    <w:p>
      <w:pPr>
        <w:pStyle w:val="BodyText"/>
        <w:spacing w:line="302" w:lineRule="auto" w:before="115"/>
        <w:ind w:right="148"/>
        <w:jc w:val="left"/>
      </w:pPr>
      <w:r>
        <w:rPr>
          <w:spacing w:val="-2"/>
        </w:rPr>
        <w:t>注（</w:t>
      </w:r>
      <w:r>
        <w:rPr>
          <w:rFonts w:ascii="Times New Roman" w:hAnsi="Times New Roman" w:cs="Times New Roman" w:eastAsia="Times New Roman" w:hint="default"/>
          <w:spacing w:val="-2"/>
        </w:rPr>
        <w:t>1</w:t>
      </w:r>
      <w:r>
        <w:rPr>
          <w:spacing w:val="-2"/>
        </w:rPr>
        <w:t>）本期其他资本公积增加主要为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日，本公司授予</w:t>
      </w:r>
      <w:r>
        <w:rPr>
          <w:rFonts w:ascii="Times New Roman" w:hAnsi="Times New Roman" w:cs="Times New Roman" w:eastAsia="Times New Roman" w:hint="default"/>
          <w:spacing w:val="-2"/>
        </w:rPr>
        <w:t>101</w:t>
      </w:r>
      <w:r>
        <w:rPr>
          <w:spacing w:val="-2"/>
        </w:rPr>
        <w:t>名公司员工</w:t>
      </w:r>
      <w:r>
        <w:rPr>
          <w:rFonts w:ascii="Times New Roman" w:hAnsi="Times New Roman" w:cs="Times New Roman" w:eastAsia="Times New Roman" w:hint="default"/>
          <w:spacing w:val="-2"/>
        </w:rPr>
        <w:t>261</w:t>
      </w:r>
      <w:r>
        <w:rPr>
          <w:spacing w:val="-2"/>
        </w:rPr>
        <w:t>万份股票期权，授予的股票期权自授予</w:t>
      </w:r>
      <w:r>
        <w:rPr>
          <w:spacing w:val="-59"/>
        </w:rPr>
        <w:t> </w:t>
      </w:r>
      <w:r>
        <w:rPr>
          <w:spacing w:val="-59"/>
        </w:rPr>
      </w:r>
      <w:r>
        <w:rPr/>
        <w:t>日起满</w:t>
      </w:r>
      <w:r>
        <w:rPr>
          <w:rFonts w:ascii="Times New Roman" w:hAnsi="Times New Roman" w:cs="Times New Roman" w:eastAsia="Times New Roman" w:hint="default"/>
        </w:rPr>
        <w:t>12</w:t>
      </w:r>
      <w:r>
        <w:rPr/>
        <w:t>个月后在未来</w:t>
      </w:r>
      <w:r>
        <w:rPr>
          <w:rFonts w:ascii="Times New Roman" w:hAnsi="Times New Roman" w:cs="Times New Roman" w:eastAsia="Times New Roman" w:hint="default"/>
        </w:rPr>
        <w:t>36</w:t>
      </w:r>
      <w:r>
        <w:rPr/>
        <w:t>个月内分三期行权。公司采用</w:t>
      </w:r>
      <w:r>
        <w:rPr>
          <w:rFonts w:ascii="Times New Roman" w:hAnsi="Times New Roman" w:cs="Times New Roman" w:eastAsia="Times New Roman" w:hint="default"/>
        </w:rPr>
        <w:t>Black-Scholes</w:t>
      </w:r>
      <w:r>
        <w:rPr>
          <w:rFonts w:ascii="Times New Roman" w:hAnsi="Times New Roman" w:cs="Times New Roman" w:eastAsia="Times New Roman" w:hint="default"/>
          <w:spacing w:val="25"/>
        </w:rPr>
        <w:t> </w:t>
      </w:r>
      <w:r>
        <w:rPr/>
        <w:t>模型于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日（期权授予日）对授予的</w:t>
      </w:r>
      <w:r>
        <w:rPr>
          <w:rFonts w:ascii="Times New Roman" w:hAnsi="Times New Roman" w:cs="Times New Roman" w:eastAsia="Times New Roman" w:hint="default"/>
        </w:rPr>
        <w:t>261</w:t>
      </w:r>
      <w:r>
        <w:rPr/>
        <w:t>万 </w:t>
      </w:r>
      <w:r>
        <w:rPr>
          <w:spacing w:val="-1"/>
        </w:rPr>
        <w:t>份股票期权的公允价值进行测算：授予的</w:t>
      </w:r>
      <w:r>
        <w:rPr>
          <w:rFonts w:ascii="Times New Roman" w:hAnsi="Times New Roman" w:cs="Times New Roman" w:eastAsia="Times New Roman" w:hint="default"/>
          <w:spacing w:val="-1"/>
        </w:rPr>
        <w:t>261</w:t>
      </w:r>
      <w:r>
        <w:rPr>
          <w:spacing w:val="-1"/>
        </w:rPr>
        <w:t>万份股票期权总价值为</w:t>
      </w:r>
      <w:r>
        <w:rPr>
          <w:rFonts w:ascii="Times New Roman" w:hAnsi="Times New Roman" w:cs="Times New Roman" w:eastAsia="Times New Roman" w:hint="default"/>
          <w:spacing w:val="-1"/>
        </w:rPr>
        <w:t>1,615.57</w:t>
      </w:r>
      <w:r>
        <w:rPr>
          <w:spacing w:val="-1"/>
        </w:rPr>
        <w:t>万元，每份股票期权公允价值为</w:t>
      </w:r>
      <w:r>
        <w:rPr>
          <w:rFonts w:ascii="Times New Roman" w:hAnsi="Times New Roman" w:cs="Times New Roman" w:eastAsia="Times New Roman" w:hint="default"/>
          <w:spacing w:val="-1"/>
        </w:rPr>
        <w:t>6.19</w:t>
      </w:r>
      <w:r>
        <w:rPr>
          <w:spacing w:val="-1"/>
        </w:rPr>
        <w:t>元。公司将</w:t>
      </w:r>
      <w:r>
        <w:rPr>
          <w:spacing w:val="-77"/>
        </w:rPr>
        <w:t> </w:t>
      </w:r>
      <w:r>
        <w:rPr>
          <w:spacing w:val="-77"/>
        </w:rPr>
      </w:r>
      <w:r>
        <w:rPr>
          <w:spacing w:val="-2"/>
        </w:rPr>
        <w:t>在等待期的每个资产负债表日，根据最新取得的可行权人数变动、业绩指标完成情况等后续信息，修正预计可行权的股票期</w:t>
      </w:r>
      <w:r>
        <w:rPr>
          <w:spacing w:val="-63"/>
        </w:rPr>
        <w:t> </w:t>
      </w:r>
      <w:r>
        <w:rPr>
          <w:spacing w:val="-63"/>
        </w:rPr>
      </w:r>
      <w:r>
        <w:rPr>
          <w:spacing w:val="-2"/>
        </w:rPr>
        <w:t>权数量，并按照股票期权授权日的公允价值，将当期取得的服务计入相关成本或费用和资本公积。截至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w:t>
      </w:r>
      <w:r>
        <w:rPr>
          <w:spacing w:val="-58"/>
        </w:rPr>
        <w:t> </w:t>
      </w:r>
      <w:r>
        <w:rPr>
          <w:spacing w:val="-58"/>
        </w:rPr>
      </w:r>
      <w:r>
        <w:rPr/>
        <w:t>行权的股票期权数量</w:t>
      </w:r>
      <w:r>
        <w:rPr>
          <w:rFonts w:ascii="Times New Roman" w:hAnsi="Times New Roman" w:cs="Times New Roman" w:eastAsia="Times New Roman" w:hint="default"/>
        </w:rPr>
        <w:t>222.76</w:t>
      </w:r>
      <w:r>
        <w:rPr/>
        <w:t>万份，总价值</w:t>
      </w:r>
      <w:r>
        <w:rPr>
          <w:rFonts w:ascii="Times New Roman" w:hAnsi="Times New Roman" w:cs="Times New Roman" w:eastAsia="Times New Roman" w:hint="default"/>
        </w:rPr>
        <w:t>1,381.88</w:t>
      </w:r>
      <w:r>
        <w:rPr>
          <w:rFonts w:ascii="Times New Roman" w:hAnsi="Times New Roman" w:cs="Times New Roman" w:eastAsia="Times New Roman" w:hint="default"/>
          <w:spacing w:val="27"/>
        </w:rPr>
        <w:t> </w:t>
      </w:r>
      <w:r>
        <w:rPr/>
        <w:t>万元，本期计入管理费用和其他资本公积</w:t>
      </w:r>
      <w:r>
        <w:rPr>
          <w:rFonts w:ascii="Times New Roman" w:hAnsi="Times New Roman" w:cs="Times New Roman" w:eastAsia="Times New Roman" w:hint="default"/>
        </w:rPr>
        <w:t>468.85</w:t>
      </w:r>
      <w:r>
        <w:rPr/>
        <w:t>万元； 注（</w:t>
      </w:r>
      <w:r>
        <w:rPr>
          <w:rFonts w:ascii="Times New Roman" w:hAnsi="Times New Roman" w:cs="Times New Roman" w:eastAsia="Times New Roman" w:hint="default"/>
        </w:rPr>
        <w:t>2</w:t>
      </w:r>
      <w:r>
        <w:rPr/>
        <w:t>）本期其他资本公积减少系结转股权激励计划发行的限制性股票已行权部分在等待期内确认的其他资本公积转至股本 溢价；</w:t>
      </w:r>
    </w:p>
    <w:p>
      <w:pPr>
        <w:pStyle w:val="BodyText"/>
        <w:spacing w:line="240" w:lineRule="auto" w:before="29"/>
        <w:ind w:right="153"/>
        <w:jc w:val="left"/>
      </w:pPr>
      <w:r>
        <w:rPr/>
        <w:t>注（</w:t>
      </w:r>
      <w:r>
        <w:rPr>
          <w:rFonts w:ascii="Times New Roman" w:hAnsi="Times New Roman" w:cs="Times New Roman" w:eastAsia="Times New Roman" w:hint="default"/>
        </w:rPr>
        <w:t>3</w:t>
      </w:r>
      <w:r>
        <w:rPr/>
        <w:t>）本期增加的股本溢价系向激励对象授予的限制性股票行权所致。</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6"/>
        <w:gridCol w:w="937"/>
        <w:gridCol w:w="797"/>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-813,227.62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-51,818.00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-51,818.00</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163"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-813,227.62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-51,818.00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-51,818.00</w:t>
            </w:r>
          </w:p>
        </w:tc>
        <w:tc>
          <w:tcPr>
            <w:tcW w:w="93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-865,045.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-813,227.62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-51,818.00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-51,818.00</w:t>
            </w:r>
          </w:p>
        </w:tc>
        <w:tc>
          <w:tcPr>
            <w:tcW w:w="93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32,065,231.58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1,426,471.80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33,491,703.38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32,065,231.58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1,426,471.80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33,491,703.38</w:t>
            </w:r>
          </w:p>
        </w:tc>
      </w:tr>
    </w:tbl>
    <w:p>
      <w:pPr>
        <w:pStyle w:val="BodyText"/>
        <w:spacing w:line="240" w:lineRule="auto" w:before="49"/>
        <w:ind w:right="0"/>
        <w:jc w:val="left"/>
        <w:rPr>
          <w:rFonts w:ascii="Times New Roman" w:hAnsi="Times New Roman" w:cs="Times New Roman" w:eastAsia="Times New Roman" w:hint="default"/>
        </w:rPr>
      </w:pPr>
      <w:r>
        <w:rPr/>
        <w:t>盈余公积说明</w:t>
      </w:r>
      <w:r>
        <w:rPr>
          <w:spacing w:val="-77"/>
        </w:rPr>
        <w:t>，</w:t>
      </w:r>
      <w:r>
        <w:rPr/>
        <w:t>包括本期增减变动情况</w:t>
      </w:r>
      <w:r>
        <w:rPr>
          <w:spacing w:val="-77"/>
        </w:rPr>
        <w:t>、</w:t>
      </w:r>
      <w:r>
        <w:rPr/>
        <w:t>变动原因说明</w:t>
      </w:r>
      <w:r>
        <w:rPr>
          <w:spacing w:val="-76"/>
        </w:rPr>
        <w:t>：</w:t>
      </w:r>
      <w:r>
        <w:rPr/>
        <w:t>本期新增法定盈余公积</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71</w:t>
      </w:r>
      <w:r>
        <w:rPr>
          <w:rFonts w:ascii="Times New Roman" w:hAnsi="Times New Roman" w:cs="Times New Roman" w:eastAsia="Times New Roman" w:hint="default"/>
          <w:spacing w:val="-2"/>
        </w:rPr>
        <w:t>.8</w:t>
      </w:r>
      <w:r>
        <w:rPr>
          <w:rFonts w:ascii="Times New Roman" w:hAnsi="Times New Roman" w:cs="Times New Roman" w:eastAsia="Times New Roman" w:hint="default"/>
        </w:rPr>
        <w:t>0 </w:t>
      </w:r>
      <w:r>
        <w:rPr/>
        <w:t>元系按母公司本期净利润的</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p>
    <w:p>
      <w:pPr>
        <w:pStyle w:val="BodyText"/>
        <w:spacing w:line="240" w:lineRule="auto" w:before="60"/>
        <w:ind w:right="153"/>
        <w:jc w:val="left"/>
      </w:pPr>
      <w:r>
        <w:rPr/>
        <w:t>计提。</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160,541,593.90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160,992,823.14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160,541,593.90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160,992,823.14</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6,501,097.82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7,052,089.65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1,426,471.80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2,511,318.91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4,991,999.98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165,616,219.92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160,541,593.90</w:t>
            </w:r>
          </w:p>
        </w:tc>
      </w:tr>
    </w:tbl>
    <w:p>
      <w:pPr>
        <w:pStyle w:val="BodyText"/>
        <w:spacing w:line="240" w:lineRule="auto" w:before="49"/>
        <w:ind w:right="153"/>
        <w:jc w:val="left"/>
      </w:pPr>
      <w:r>
        <w:rPr/>
        <w:t>调整期初未分配利润明细：</w:t>
      </w:r>
    </w:p>
    <w:p>
      <w:pPr>
        <w:pStyle w:val="BodyText"/>
        <w:spacing w:line="240" w:lineRule="auto" w:before="117"/>
        <w:ind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5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174,177,203.61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115,458,612.65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102,843,493.11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59,158,142.15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10,289,815.71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741,665.67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8,842,346.98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745,386.86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184,467,019.32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116,200,278.32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111,685,840.09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59,903,529.01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505,008.85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383,476.33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216,432.37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164,343.02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2,844,689.06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633,041.71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281,779.67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173,952.70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106,206.86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115,555.15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109,562.05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7,766.63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515,308.38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476,893.51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4,709,252.54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2,045,955.26</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3,062,245.37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181,084.92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4,092,923.56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1,357,071.80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202,770.67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173,194.93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133,208.69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53,024.83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7,339,752.88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1,927,160.91</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247,175.51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260,594.85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828,145.88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968,875.83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780,526.05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10,657,472.16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10,847,110.32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1,339,047.61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1,492,353.53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4,746,899.21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4,291,613.48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370,507.84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2,677,047.99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2,149,418.25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56,740,130.85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49,454,741.53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741,589.04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5,982,900.00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122,332.91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199,545.26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83,795,173.16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77,399,046.03</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-728,123.12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-1,215,865.36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349,544.42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-88,421.09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130,655.39</w:t>
            </w:r>
            <w:r>
              <w:rPr>
                <w:rFonts w:ascii="Times New Roman"/>
                <w:sz w:val="20"/>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84,634.89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12,943.48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-247,405.86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-1,206,708.08</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412,913.83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94,085.07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2,957,128.91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5,767,045.41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3,370,042.74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5,861,130.48</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-179,893.48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159,919.79</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746,993.80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3,677,031.64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23,576,041.10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24,667,781.15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24,143,141.42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28,504,732.58</w:t>
            </w:r>
          </w:p>
        </w:tc>
      </w:tr>
    </w:tbl>
    <w:p>
      <w:pPr>
        <w:pStyle w:val="BodyText"/>
        <w:spacing w:line="240" w:lineRule="auto" w:before="49"/>
        <w:ind w:right="153"/>
        <w:jc w:val="left"/>
      </w:pPr>
      <w:r>
        <w:rPr/>
        <w:t>其他说明：无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212"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12,094,158.55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1,183,453.08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49"/>
        <w:ind w:left="212" w:right="0"/>
        <w:jc w:val="left"/>
        <w:rPr>
          <w:b w:val="0"/>
          <w:bCs w:val="0"/>
        </w:rPr>
      </w:pPr>
      <w:r>
        <w:rPr/>
        <w:t>（一）与资产相关的政府补助</w:t>
      </w:r>
      <w:r>
        <w:rPr>
          <w:b w:val="0"/>
          <w:bCs w:val="0"/>
        </w:rPr>
      </w:r>
    </w:p>
    <w:p>
      <w:pPr>
        <w:spacing w:line="240" w:lineRule="auto" w:before="4"/>
        <w:rPr>
          <w:rFonts w:ascii="宋体" w:hAnsi="宋体" w:cs="宋体" w:eastAsia="宋体"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6469"/>
        <w:gridCol w:w="3404"/>
      </w:tblGrid>
      <w:tr>
        <w:trPr>
          <w:trHeight w:val="401" w:hRule="exact"/>
        </w:trPr>
        <w:tc>
          <w:tcPr>
            <w:tcW w:w="6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5"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6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CPU/OS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平板电脑类产品批量应用</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1,183,453.08</w:t>
            </w:r>
          </w:p>
        </w:tc>
      </w:tr>
      <w:tr>
        <w:trPr>
          <w:trHeight w:val="401" w:hRule="exact"/>
        </w:trPr>
        <w:tc>
          <w:tcPr>
            <w:tcW w:w="6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1,183,453.08</w:t>
            </w:r>
          </w:p>
        </w:tc>
      </w:tr>
    </w:tbl>
    <w:p>
      <w:pPr>
        <w:spacing w:line="240" w:lineRule="auto" w:before="12"/>
        <w:rPr>
          <w:rFonts w:ascii="宋体" w:hAnsi="宋体" w:cs="宋体" w:eastAsia="宋体" w:hint="default"/>
          <w:b/>
          <w:bCs/>
          <w:sz w:val="24"/>
          <w:szCs w:val="24"/>
        </w:rPr>
      </w:pPr>
    </w:p>
    <w:p>
      <w:pPr>
        <w:pStyle w:val="Heading3"/>
        <w:spacing w:line="240" w:lineRule="auto" w:before="36"/>
        <w:ind w:left="212" w:right="0"/>
        <w:jc w:val="left"/>
        <w:rPr>
          <w:b w:val="0"/>
          <w:bCs w:val="0"/>
        </w:rPr>
      </w:pPr>
      <w:r>
        <w:rPr/>
        <w:t>（二）与收益相关的政府补助</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6493"/>
        <w:gridCol w:w="3346"/>
      </w:tblGrid>
      <w:tr>
        <w:trPr>
          <w:trHeight w:val="324"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9"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中关村企业信用促进会补贴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66,900.77</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北京市商务委员会贴息款</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109,190.00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年中关村集成电路涉及企业发展基金</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384,000.00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年高精尖产业发展重点支撑项目</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3,092,280.00</w:t>
            </w:r>
          </w:p>
        </w:tc>
      </w:tr>
      <w:tr>
        <w:trPr>
          <w:trHeight w:val="324"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智能硬件软硬件一体化安全芯片及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核</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2,368,419.00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高密度三维系统集成技术开发与产业化</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1,666,700.00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高新科技局知识产权奖</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38,800.00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高新区人事局领军人才引进补贴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中共合肥市委组织部第五批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228 </w:t>
            </w:r>
            <w:r>
              <w:rPr>
                <w:rFonts w:ascii="宋体" w:hAnsi="宋体" w:cs="宋体" w:eastAsia="宋体" w:hint="default"/>
                <w:sz w:val="18"/>
                <w:szCs w:val="18"/>
              </w:rPr>
              <w:t>团队资助</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岗位补贴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37,720.00</w:t>
            </w:r>
          </w:p>
        </w:tc>
      </w:tr>
      <w:tr>
        <w:trPr>
          <w:trHeight w:val="324"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高新区经贸局市级外贸促进政策资金</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70,701.00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事后奖补</w:t>
            </w:r>
            <w:r>
              <w:rPr>
                <w:rFonts w:ascii="Times New Roman" w:hAnsi="Times New Roman" w:cs="Times New Roman" w:eastAsia="Times New Roman" w:hint="default"/>
                <w:sz w:val="18"/>
                <w:szCs w:val="18"/>
              </w:rPr>
              <w:t>”</w:t>
            </w:r>
            <w:r>
              <w:rPr>
                <w:rFonts w:ascii="宋体" w:hAnsi="宋体" w:cs="宋体" w:eastAsia="宋体" w:hint="default"/>
                <w:sz w:val="18"/>
                <w:szCs w:val="18"/>
              </w:rPr>
              <w:t>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设计企业流片费用补贴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41,206.00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5,443.48</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深证市市场和质量监督委员会公司软件著作权补贴款</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1,800.00</w:t>
            </w:r>
          </w:p>
        </w:tc>
      </w:tr>
      <w:tr>
        <w:trPr>
          <w:trHeight w:val="322"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3,200,998.30</w:t>
            </w:r>
          </w:p>
        </w:tc>
      </w:tr>
      <w:tr>
        <w:trPr>
          <w:trHeight w:val="324" w:hRule="exact"/>
        </w:trPr>
        <w:tc>
          <w:tcPr>
            <w:tcW w:w="6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b/>
                <w:spacing w:val="-1"/>
                <w:sz w:val="18"/>
              </w:rPr>
              <w:t>12,094,158.55</w:t>
            </w:r>
            <w:r>
              <w:rPr>
                <w:rFonts w:ascii="Times New Roman"/>
                <w:spacing w:val="-1"/>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87"/>
        <w:gridCol w:w="2396"/>
        <w:gridCol w:w="2393"/>
        <w:gridCol w:w="2393"/>
      </w:tblGrid>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5" w:footer="980" w:top="1060" w:bottom="1160" w:left="920" w:right="8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14,115,895.28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2,801,931.32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109,617.31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119,476.94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109,617.31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391,617.31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17,037,303.54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391,617.31</w:t>
            </w:r>
          </w:p>
        </w:tc>
      </w:tr>
    </w:tbl>
    <w:p>
      <w:pPr>
        <w:pStyle w:val="BodyText"/>
        <w:spacing w:line="240" w:lineRule="auto" w:before="49"/>
        <w:ind w:right="153"/>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3"/>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中关村管委</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7"/>
              <w:jc w:val="right"/>
              <w:rPr>
                <w:rFonts w:ascii="宋体" w:hAnsi="宋体" w:cs="宋体" w:eastAsia="宋体" w:hint="default"/>
                <w:sz w:val="18"/>
                <w:szCs w:val="18"/>
              </w:rPr>
            </w:pPr>
            <w:r>
              <w:rPr>
                <w:rFonts w:ascii="宋体" w:hAnsi="宋体" w:cs="宋体" w:eastAsia="宋体" w:hint="default"/>
                <w:sz w:val="18"/>
                <w:szCs w:val="18"/>
              </w:rPr>
              <w:t>中关村科技</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spacing w:val="-24"/>
                <w:sz w:val="18"/>
                <w:szCs w:val="18"/>
              </w:rPr>
              <w:t>特定行业、产</w:t>
            </w:r>
            <w:r>
              <w:rPr>
                <w:rFonts w:ascii="宋体" w:hAnsi="宋体" w:cs="宋体" w:eastAsia="宋体" w:hint="default"/>
                <w:sz w:val="18"/>
                <w:szCs w:val="18"/>
              </w:rPr>
            </w:r>
          </w:p>
        </w:tc>
        <w:tc>
          <w:tcPr>
            <w:tcW w:w="1061"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会党员活动</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7"/>
              <w:jc w:val="right"/>
              <w:rPr>
                <w:rFonts w:ascii="宋体" w:hAnsi="宋体" w:cs="宋体" w:eastAsia="宋体" w:hint="default"/>
                <w:sz w:val="18"/>
                <w:szCs w:val="18"/>
              </w:rPr>
            </w:pPr>
            <w:r>
              <w:rPr>
                <w:rFonts w:ascii="宋体" w:hAnsi="宋体" w:cs="宋体" w:eastAsia="宋体" w:hint="default"/>
                <w:sz w:val="18"/>
                <w:szCs w:val="18"/>
              </w:rPr>
              <w:t>园区海淀园</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3"/>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27"/>
              <w:jc w:val="right"/>
              <w:rPr>
                <w:rFonts w:ascii="宋体" w:hAnsi="宋体" w:cs="宋体" w:eastAsia="宋体" w:hint="default"/>
                <w:sz w:val="18"/>
                <w:szCs w:val="18"/>
              </w:rPr>
            </w:pPr>
            <w:r>
              <w:rPr>
                <w:rFonts w:ascii="宋体" w:hAnsi="宋体" w:cs="宋体" w:eastAsia="宋体" w:hint="default"/>
                <w:sz w:val="18"/>
                <w:szCs w:val="18"/>
              </w:rPr>
              <w:t>管理委员会</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3"/>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年度市 级创新型企 业表彰奖金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合肥市科学 技术局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合肥高新区 经贸局企业 标准化体系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合肥市高新 区管委会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高新区科技 局首次认定 国家级高新 技术企业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合肥市科技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49,327.49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49,327.49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223,386.82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223,386.82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273,114.31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108,140.93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273,114.31</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4,717,931.47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843,073.15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-580,399.45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338,083.77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4,137,532.02</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6,839,181.59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1,025,877.23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-3,940.00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-504,989.38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-225,521.75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227,110.77</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2,568,458.44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-2,748,911.54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338,083.77</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详见附注。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8,676,322.04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844,786.04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377,968.23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4,563,860.67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1,344,041.25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728,123.12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1,227,947.55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17,777,154.64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14,836,594.26</w:t>
            </w:r>
          </w:p>
        </w:tc>
      </w:tr>
    </w:tbl>
    <w:p>
      <w:pPr>
        <w:pStyle w:val="BodyText"/>
        <w:spacing w:line="240" w:lineRule="auto" w:before="49"/>
        <w:ind w:right="153"/>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4,293,811.68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1,747,633.08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18,768,241.48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17,851,001.21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102,076.01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82,501.58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1,027,122.06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6,668,649.24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24,353,376.23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26,438,685.11</w:t>
            </w:r>
          </w:p>
        </w:tc>
      </w:tr>
    </w:tbl>
    <w:p>
      <w:pPr>
        <w:pStyle w:val="BodyText"/>
        <w:spacing w:line="240" w:lineRule="auto" w:before="49"/>
        <w:ind w:right="153"/>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收到的财产保全担保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收到的其他与投资活动有关的现金说明：无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90.100006pt;margin-top:522.789978pt;width:185.6pt;height:19.7pt;mso-position-horizontal-relative:page;mso-position-vertical-relative:page;z-index:-1025656"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支付的财产保全担保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代缴股权个税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61,261.82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61,261.82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r>
    </w:tbl>
    <w:p>
      <w:pPr>
        <w:pStyle w:val="BodyText"/>
        <w:spacing w:line="240" w:lineRule="auto" w:before="49"/>
        <w:ind w:right="153"/>
        <w:jc w:val="left"/>
      </w:pPr>
      <w:r>
        <w:rPr/>
        <w:t>支付的其他与投资活动有关的现金说明：无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6,501,097.82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7,052,089.65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3,370,042.74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5,861,130.48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4,320,067.89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4,409,701.83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789,133.71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950,898.52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810,099.12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859,569.90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19,240.93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224,095.78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-14,753.05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-24,143,141.42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-28,504,732.58</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8"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843,073.15</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-580,399.45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-23,729,790.20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-37,923,195.24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445,104.77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-24,204,900.91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-4,812,721.05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369,119.39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4,688,500.00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5,982,900.00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-30,694,037.69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-65,723,330.53</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40,799,054.96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205,096,388.15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205,096,388.15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43,400,406.14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-164,297,333.19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161,695,982.01</w:t>
            </w:r>
          </w:p>
        </w:tc>
      </w:tr>
    </w:tbl>
    <w:p>
      <w:pPr>
        <w:spacing w:line="240" w:lineRule="auto" w:before="3"/>
        <w:rPr>
          <w:rFonts w:ascii="宋体" w:hAnsi="宋体" w:cs="宋体" w:eastAsia="宋体" w:hint="default"/>
          <w:sz w:val="19"/>
          <w:szCs w:val="19"/>
        </w:rPr>
      </w:pPr>
    </w:p>
    <w:p>
      <w:pPr>
        <w:pStyle w:val="Heading3"/>
        <w:spacing w:line="240" w:lineRule="auto" w:before="36"/>
        <w:ind w:left="212" w:right="209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40,799,054.96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205,096,388.15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463,281.59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117,344.15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40,335,773.37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204,979,044.00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40,799,054.96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205,096,388.15</w:t>
            </w:r>
          </w:p>
        </w:tc>
      </w:tr>
    </w:tbl>
    <w:p>
      <w:pPr>
        <w:pStyle w:val="BodyText"/>
        <w:spacing w:line="240" w:lineRule="auto" w:before="49"/>
        <w:ind w:left="212" w:right="2094"/>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left="212" w:right="2094"/>
        <w:jc w:val="left"/>
        <w:rPr>
          <w:b w:val="0"/>
          <w:bCs w:val="0"/>
        </w:rPr>
      </w:pPr>
      <w:r>
        <w:rPr>
          <w:rFonts w:ascii="Times New Roman" w:hAnsi="Times New Roman" w:cs="Times New Roman" w:eastAsia="Times New Roman" w:hint="default"/>
        </w:rPr>
        <w:t>77</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2094"/>
        <w:jc w:val="left"/>
        <w:rPr>
          <w:b w:val="0"/>
          <w:bCs w:val="0"/>
        </w:rPr>
      </w:pPr>
      <w:r>
        <w:rPr>
          <w:rFonts w:ascii="Times New Roman" w:hAnsi="Times New Roman" w:cs="Times New Roman" w:eastAsia="Times New Roman" w:hint="default"/>
        </w:rPr>
        <w:t>78</w:t>
      </w:r>
      <w:r>
        <w:rPr/>
        <w:t>、所有权或使用权受到限制的资产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2094"/>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209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pStyle w:val="BodyText"/>
        <w:tabs>
          <w:tab w:pos="3206" w:val="left" w:leader="none"/>
          <w:tab w:pos="5729" w:val="left" w:leader="none"/>
          <w:tab w:pos="7668" w:val="left" w:leader="none"/>
        </w:tabs>
        <w:spacing w:line="240" w:lineRule="auto" w:before="158"/>
        <w:ind w:left="1173" w:right="113"/>
        <w:jc w:val="left"/>
      </w:pPr>
      <w:r>
        <w:rPr/>
        <w:t>项目</w:t>
        <w:tab/>
        <w:t>期末外币余额</w:t>
        <w:tab/>
        <w:t>折算汇率</w:t>
        <w:tab/>
        <w:t>期末折算人民币余额</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1,694,222.97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259,281.48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1,694,222.97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5,842.17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38,173.91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5,842.17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38,173.91</w:t>
            </w:r>
          </w:p>
        </w:tc>
      </w:tr>
    </w:tbl>
    <w:p>
      <w:pPr>
        <w:pStyle w:val="BodyText"/>
        <w:spacing w:line="240" w:lineRule="auto" w:before="49"/>
        <w:ind w:left="212" w:right="2094"/>
        <w:jc w:val="left"/>
      </w:pPr>
      <w:r>
        <w:rPr/>
        <w:t>其他说明：无</w:t>
      </w:r>
    </w:p>
    <w:p>
      <w:pPr>
        <w:spacing w:line="240" w:lineRule="auto" w:before="0"/>
        <w:rPr>
          <w:rFonts w:ascii="宋体" w:hAnsi="宋体" w:cs="宋体" w:eastAsia="宋体" w:hint="default"/>
          <w:sz w:val="18"/>
          <w:szCs w:val="18"/>
        </w:rPr>
      </w:pPr>
    </w:p>
    <w:p>
      <w:pPr>
        <w:pStyle w:val="Heading3"/>
        <w:spacing w:line="259" w:lineRule="auto" w:before="118"/>
        <w:ind w:left="212" w:right="11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328" w:lineRule="auto"/>
        <w:ind w:left="212" w:right="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本公司全资子公司北京君正集成电路（香港）集团有限公司经营地在香港，因其设立目的主要为办理出口业务，故选取美金</w:t>
      </w:r>
      <w:r>
        <w:rPr>
          <w:spacing w:val="-64"/>
        </w:rPr>
        <w:t> </w:t>
      </w:r>
      <w:r>
        <w:rPr>
          <w:spacing w:val="-64"/>
        </w:rPr>
      </w:r>
      <w:r>
        <w:rPr/>
        <w:t>作为本位币。</w:t>
      </w:r>
    </w:p>
    <w:p>
      <w:pPr>
        <w:spacing w:after="0" w:line="328" w:lineRule="auto"/>
        <w:jc w:val="left"/>
        <w:sectPr>
          <w:pgSz w:w="11910" w:h="16840"/>
          <w:pgMar w:header="745" w:footer="980" w:top="1060" w:bottom="1160" w:left="92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是否存在通过多次交易分步实现企业合并且在报告期内取得控制权的交易</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是否存在单次处置对子公司投资即丧失控制权的情形</w:t>
      </w:r>
    </w:p>
    <w:p>
      <w:pPr>
        <w:pStyle w:val="BodyText"/>
        <w:spacing w:line="340" w:lineRule="auto" w:before="115"/>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2"/>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53"/>
        <w:jc w:val="left"/>
        <w:rPr>
          <w:b w:val="0"/>
          <w:bCs w:val="0"/>
        </w:rPr>
      </w:pPr>
      <w:r>
        <w:rPr/>
        <w:pict>
          <v:shape style="position:absolute;margin-left:288.53299pt;margin-top:76.103668pt;width:109.95pt;height:50.8pt;mso-position-horizontal-relative:page;mso-position-vertical-relative:paragraph;z-index:-102563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技术开发、</w:t>
                  </w:r>
                </w:p>
              </w:txbxContent>
            </v:textbox>
            <w10:wrap type="none"/>
          </v:shape>
        </w:pict>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北京君正集成电 路（香港）集团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集成电路开发、 销售、</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集成电路开发、 销售、</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集成电路开发、 销售、</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1674"/>
        <w:jc w:val="left"/>
      </w:pPr>
      <w:r>
        <w:rPr/>
        <w:pict>
          <v:shape style="position:absolute;margin-left:288.53299pt;margin-top:-102.598282pt;width:109.95pt;height:50.9pt;mso-position-horizontal-relative:page;mso-position-vertical-relative:paragraph;z-index:-102560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技术开发、</w:t>
                  </w:r>
                </w:p>
              </w:txbxContent>
            </v:textbox>
            <w10:wrap type="none"/>
          </v:shape>
        </w:pict>
      </w:r>
      <w:r>
        <w:rPr/>
        <w:pict>
          <v:shape style="position:absolute;margin-left:288.529999pt;margin-top:-51.238281pt;width:109.95pt;height:50.8pt;mso-position-horizontal-relative:page;mso-position-vertical-relative:paragraph;z-index:-102558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技术开发、</w:t>
                  </w:r>
                </w:p>
              </w:txbxContent>
            </v:textbox>
            <w10:wrap type="none"/>
          </v:shape>
        </w:pict>
      </w:r>
      <w:r>
        <w:rPr/>
        <w:pict>
          <v:group style="position:absolute;margin-left:330.670013pt;margin-top:-153.838287pt;width:67.8pt;height:153.4pt;mso-position-horizontal-relative:page;mso-position-vertical-relative:paragraph;z-index:-1025560" coordorigin="6613,-3077" coordsize="1356,3068">
            <v:group style="position:absolute;left:6613;top:-3077;width:1356;height:1016" coordorigin="6613,-3077" coordsize="1356,1016">
              <v:shape style="position:absolute;left:6613;top:-3077;width:1356;height:1016" coordorigin="6613,-3077" coordsize="1356,1016" path="m6613,-2062l7969,-2062,7969,-3077,6613,-3077,6613,-2062xe" filled="true" fillcolor="#ffffff" stroked="false">
                <v:path arrowok="t"/>
                <v:fill type="solid"/>
              </v:shape>
            </v:group>
            <v:group style="position:absolute;left:6635;top:-2765;width:1311;height:392" coordorigin="6635,-2765" coordsize="1311,392">
              <v:shape style="position:absolute;left:6635;top:-2765;width:1311;height:392" coordorigin="6635,-2765" coordsize="1311,392" path="m6635,-2374l7945,-2374,7945,-2765,6635,-2765,6635,-2374xe" filled="true" fillcolor="#ffffff" stroked="false">
                <v:path arrowok="t"/>
                <v:fill type="solid"/>
              </v:shape>
            </v:group>
            <v:group style="position:absolute;left:6613;top:-2052;width:1356;height:1018" coordorigin="6613,-2052" coordsize="1356,1018">
              <v:shape style="position:absolute;left:6613;top:-2052;width:1356;height:1018" coordorigin="6613,-2052" coordsize="1356,1018" path="m6613,-1034l7969,-1034,7969,-2052,6613,-2052,6613,-1034xe" filled="true" fillcolor="#ffffff" stroked="false">
                <v:path arrowok="t"/>
                <v:fill type="solid"/>
              </v:shape>
            </v:group>
            <v:group style="position:absolute;left:6635;top:-1740;width:1311;height:394" coordorigin="6635,-1740" coordsize="1311,394">
              <v:shape style="position:absolute;left:6635;top:-1740;width:1311;height:394" coordorigin="6635,-1740" coordsize="1311,394" path="m6635,-1346l7945,-1346,7945,-1740,6635,-1740,6635,-1346xe" filled="true" fillcolor="#ffffff" stroked="false">
                <v:path arrowok="t"/>
                <v:fill type="solid"/>
              </v:shape>
            </v:group>
            <v:group style="position:absolute;left:6613;top:-1025;width:1356;height:1016" coordorigin="6613,-1025" coordsize="1356,1016">
              <v:shape style="position:absolute;left:6613;top:-1025;width:1356;height:1016" coordorigin="6613,-1025" coordsize="1356,1016" path="m6613,-10l7969,-10,7969,-1025,6613,-1025,6613,-10xe" filled="true" fillcolor="#ffffff" stroked="false">
                <v:path arrowok="t"/>
                <v:fill type="solid"/>
              </v:shape>
            </v:group>
            <v:group style="position:absolute;left:6635;top:-713;width:1311;height:392" coordorigin="6635,-713" coordsize="1311,392">
              <v:shape style="position:absolute;left:6635;top:-713;width:1311;height:392" coordorigin="6635,-713" coordsize="1311,392" path="m6635,-322l7945,-322,7945,-713,6635,-713,6635,-322xe" filled="true" fillcolor="#ffffff" stroked="false">
                <v:path arrowok="t"/>
                <v:fill type="solid"/>
              </v:shape>
            </v:group>
            <w10:wrap type="none"/>
          </v:group>
        </w:pict>
      </w: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9"/>
        <w:ind w:right="6534"/>
        <w:jc w:val="left"/>
      </w:pPr>
      <w:r>
        <w:rPr/>
        <w:t>确定公司是代理人还是委托人的依据：无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1,984,595.85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2,164,489.33</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-179,893.48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159,919.79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-179,893.48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159,919.79</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84"/>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84"/>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4"/>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84"/>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6" w:lineRule="auto" w:before="59"/>
        <w:ind w:right="84" w:firstLine="360"/>
        <w:jc w:val="left"/>
      </w:pPr>
      <w:r>
        <w:rPr>
          <w:spacing w:val="-2"/>
        </w:rPr>
        <w:t>本公司的金融工具面临的主要风险是信用风险、流动风险及市场风险。管理层已审议并批准管理这些风险的政策，概括</w:t>
      </w:r>
      <w:r>
        <w:rPr/>
        <w:t> 如下：</w:t>
      </w:r>
    </w:p>
    <w:p>
      <w:pPr>
        <w:pStyle w:val="BodyText"/>
        <w:spacing w:line="360" w:lineRule="auto" w:before="57"/>
        <w:ind w:left="513" w:right="2973"/>
        <w:jc w:val="left"/>
      </w:pPr>
      <w:r>
        <w:rPr/>
        <w:t>（一）信用风险 信用风险，是指金融工具的一方不能履行义务，造成另一方发生财务损失的风险。</w:t>
      </w:r>
    </w:p>
    <w:p>
      <w:pPr>
        <w:pStyle w:val="BodyText"/>
        <w:spacing w:line="240" w:lineRule="auto" w:before="27"/>
        <w:ind w:left="513" w:right="84"/>
        <w:jc w:val="left"/>
      </w:pPr>
      <w:r>
        <w:rPr/>
        <w:t>本公司的信用风险主要来自银行存款和应收款项。为控制上述相关风险，本公司分别采取了以下措施：</w:t>
      </w:r>
    </w:p>
    <w:p>
      <w:pPr>
        <w:pStyle w:val="BodyText"/>
        <w:spacing w:line="350" w:lineRule="auto" w:before="115"/>
        <w:ind w:left="513" w:right="3693"/>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、应收账款、应收票据</w:t>
      </w:r>
    </w:p>
    <w:p>
      <w:pPr>
        <w:pStyle w:val="BodyText"/>
        <w:spacing w:line="312" w:lineRule="auto" w:before="9"/>
        <w:ind w:right="191" w:firstLine="360"/>
        <w:jc w:val="both"/>
      </w:pPr>
      <w:r>
        <w:rPr>
          <w:spacing w:val="-2"/>
        </w:rPr>
        <w:t>本公司仅与经认可的、信誉良好的第三方进行交易。由于业务的特殊性，公司的销售渠道较为固定，与主要客户的关系</w:t>
      </w:r>
      <w:r>
        <w:rPr/>
        <w:t> 长期且稳定，截至</w:t>
      </w:r>
      <w:r>
        <w:rPr>
          <w:spacing w:val="20"/>
        </w:rPr>
        <w:t> </w:t>
      </w:r>
      <w:r>
        <w:rPr>
          <w:rFonts w:ascii="Times New Roman" w:hAnsi="Times New Roman" w:cs="Times New Roman" w:eastAsia="Times New Roman" w:hint="default"/>
        </w:rPr>
        <w:t>2017</w:t>
      </w:r>
      <w:r>
        <w:rPr/>
        <w:t>年</w:t>
      </w:r>
      <w:r>
        <w:rPr>
          <w:spacing w:val="22"/>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w:t>
      </w:r>
      <w:r>
        <w:rPr>
          <w:rFonts w:ascii="Times New Roman" w:hAnsi="Times New Roman" w:cs="Times New Roman" w:eastAsia="Times New Roman" w:hint="default"/>
        </w:rPr>
        <w:t>99.95%</w:t>
      </w:r>
      <w:r>
        <w:rPr/>
        <w:t>源于前五大客户（</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w:t>
      </w:r>
      <w:r>
        <w:rPr>
          <w:rFonts w:ascii="Times New Roman" w:hAnsi="Times New Roman" w:cs="Times New Roman" w:eastAsia="Times New Roman" w:hint="default"/>
        </w:rPr>
        <w:t>99.83%</w:t>
      </w:r>
      <w:r>
        <w:rPr/>
        <w:t>源于前五</w:t>
      </w:r>
      <w:r>
        <w:rPr>
          <w:spacing w:val="-85"/>
        </w:rPr>
        <w:t> </w:t>
      </w:r>
      <w:r>
        <w:rPr>
          <w:spacing w:val="-85"/>
        </w:rPr>
      </w:r>
      <w:r>
        <w:rPr>
          <w:spacing w:val="-2"/>
        </w:rPr>
        <w:t>大客户）。另外，本公司对应收账款余额进行持续监控，以确保本公司不致面临重大坏账风险。除应收账款前五名外，本公</w:t>
      </w:r>
      <w:r>
        <w:rPr>
          <w:spacing w:val="-68"/>
        </w:rPr>
        <w:t> </w:t>
      </w:r>
      <w:r>
        <w:rPr>
          <w:spacing w:val="-68"/>
        </w:rPr>
      </w:r>
      <w:r>
        <w:rPr/>
        <w:t>司无其他重大信用集中风险。</w:t>
      </w:r>
    </w:p>
    <w:p>
      <w:pPr>
        <w:pStyle w:val="BodyText"/>
        <w:spacing w:line="340" w:lineRule="auto" w:before="63"/>
        <w:ind w:left="513" w:right="93"/>
        <w:jc w:val="left"/>
      </w:pPr>
      <w:r>
        <w:rPr>
          <w:rFonts w:ascii="Times New Roman" w:hAnsi="Times New Roman" w:cs="Times New Roman" w:eastAsia="Times New Roman" w:hint="default"/>
        </w:rPr>
        <w:t>3</w:t>
      </w:r>
      <w:r>
        <w:rPr/>
        <w:t>、其他应收款 本公司的其他应收款主要系应收押金、保证金及部门备用金等，公司对此等款项与相关经济业务一并管理并持续监控，</w:t>
      </w:r>
    </w:p>
    <w:p>
      <w:pPr>
        <w:pStyle w:val="BodyText"/>
        <w:spacing w:line="240" w:lineRule="auto" w:before="1"/>
        <w:ind w:right="84"/>
        <w:jc w:val="left"/>
      </w:pPr>
      <w:r>
        <w:rPr/>
        <w:t>以确保本公司不致面临重大坏账风险。</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left="513" w:right="84"/>
        <w:jc w:val="left"/>
      </w:pPr>
      <w:r>
        <w:rPr/>
        <w:t>（二）流动风险 </w:t>
      </w:r>
      <w:r>
        <w:rPr>
          <w:spacing w:val="-2"/>
        </w:rPr>
        <w:t>流动性风险是指企业在履行以交付现金或其他金融资产的方式结算的义务时发生资金短缺的风险。本公司的政策是确保</w:t>
      </w:r>
    </w:p>
    <w:p>
      <w:pPr>
        <w:pStyle w:val="BodyText"/>
        <w:spacing w:line="236" w:lineRule="exact"/>
        <w:ind w:right="0"/>
        <w:jc w:val="left"/>
      </w:pPr>
      <w:r>
        <w:rPr/>
        <w:t>拥有充足的现金以偿还到期债务</w:t>
      </w:r>
      <w:r>
        <w:rPr>
          <w:spacing w:val="-87"/>
        </w:rPr>
        <w:t>。</w:t>
      </w:r>
      <w:r>
        <w:rPr/>
        <w:t>本公司通过监控现</w:t>
      </w:r>
      <w:r>
        <w:rPr>
          <w:spacing w:val="1"/>
        </w:rPr>
        <w:t>金</w:t>
      </w:r>
      <w:r>
        <w:rPr/>
        <w:t>余额</w:t>
      </w:r>
      <w:r>
        <w:rPr>
          <w:spacing w:val="-87"/>
        </w:rPr>
        <w:t>、</w:t>
      </w:r>
      <w:r>
        <w:rPr/>
        <w:t>可随时变现的有价证券以及对未来</w:t>
      </w:r>
      <w:r>
        <w:rPr>
          <w:rFonts w:ascii="Times New Roman" w:hAnsi="Times New Roman" w:cs="Times New Roman" w:eastAsia="Times New Roman" w:hint="default"/>
          <w:spacing w:val="1"/>
        </w:rPr>
        <w:t>12</w:t>
      </w:r>
      <w:r>
        <w:rPr/>
        <w:t>个月现金流量的滚动</w:t>
      </w:r>
      <w:r>
        <w:rPr>
          <w:spacing w:val="-3"/>
        </w:rPr>
        <w:t>预</w:t>
      </w:r>
      <w:r>
        <w:rPr/>
        <w:t>测，</w:t>
      </w:r>
    </w:p>
    <w:p>
      <w:pPr>
        <w:pStyle w:val="BodyText"/>
        <w:spacing w:line="240" w:lineRule="auto" w:before="63"/>
        <w:ind w:right="84"/>
        <w:jc w:val="left"/>
      </w:pPr>
      <w:r>
        <w:rPr/>
        <w:t>确保公司在所有合理预测的情况下拥有充足的资金偿还债务。本公司定期分析负债结构和期限，以确保有充裕的资金。</w:t>
      </w:r>
    </w:p>
    <w:p>
      <w:pPr>
        <w:pStyle w:val="BodyText"/>
        <w:spacing w:line="360" w:lineRule="auto" w:before="115"/>
        <w:ind w:left="513" w:right="84"/>
        <w:jc w:val="left"/>
      </w:pPr>
      <w:r>
        <w:rPr/>
        <w:t>（三）市场风险 </w:t>
      </w:r>
      <w:r>
        <w:rPr>
          <w:spacing w:val="-2"/>
        </w:rPr>
        <w:t>市场风险，是指金融工具的公允价值或未来现金流量因市场价格变动而发生波动的风险。市场风险主要包括利率风险和</w:t>
      </w:r>
    </w:p>
    <w:p>
      <w:pPr>
        <w:pStyle w:val="BodyText"/>
        <w:spacing w:line="222" w:lineRule="exact"/>
        <w:ind w:right="84"/>
        <w:jc w:val="left"/>
      </w:pPr>
      <w:r>
        <w:rPr/>
        <w:t>外汇风险。</w:t>
      </w:r>
    </w:p>
    <w:p>
      <w:pPr>
        <w:pStyle w:val="BodyText"/>
        <w:spacing w:line="338" w:lineRule="auto" w:before="117"/>
        <w:ind w:left="513" w:right="84"/>
        <w:jc w:val="left"/>
      </w:pP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利率风险，是指金融工具的公允价值或未来现金流量因市场利率变动而发生波动的风险。本公司借款均为固定利率，将</w:t>
      </w:r>
    </w:p>
    <w:p>
      <w:pPr>
        <w:pStyle w:val="BodyText"/>
        <w:spacing w:line="240" w:lineRule="auto" w:before="2"/>
        <w:ind w:right="84"/>
        <w:jc w:val="left"/>
      </w:pPr>
      <w:r>
        <w:rPr/>
        <w:t>不会对本公司的利润总额和股东权益产生重大的影响。</w:t>
      </w:r>
    </w:p>
    <w:p>
      <w:pPr>
        <w:pStyle w:val="BodyText"/>
        <w:spacing w:line="340" w:lineRule="auto" w:before="117"/>
        <w:ind w:left="513" w:right="84"/>
        <w:jc w:val="left"/>
      </w:pPr>
      <w:r>
        <w:rPr>
          <w:rFonts w:ascii="Times New Roman" w:hAnsi="Times New Roman" w:cs="Times New Roman" w:eastAsia="Times New Roman" w:hint="default"/>
        </w:rPr>
        <w:t>2</w:t>
      </w:r>
      <w:r>
        <w:rPr/>
        <w:t>、外汇风险 </w:t>
      </w:r>
      <w:r>
        <w:rPr>
          <w:spacing w:val="-2"/>
        </w:rPr>
        <w:t>外汇风险是因汇率变动产生的风险。本公司面临的汇率变动的风险主要与本公司外币货币性资产和负债有关。本公司于</w:t>
      </w:r>
    </w:p>
    <w:p>
      <w:pPr>
        <w:pStyle w:val="BodyText"/>
        <w:spacing w:line="357" w:lineRule="auto" w:before="1"/>
        <w:ind w:left="513" w:right="813" w:hanging="361"/>
        <w:jc w:val="left"/>
      </w:pPr>
      <w:r>
        <w:rPr/>
        <w:t>中国内地经营，且其主要活动以人民币计价。因此，本公司所承担的外汇变动市场风险不重大。 本公司期末外币金融资产和外币金融负债列示见本附注项目注释其他之六、（三十九）外币货币性项目说明。</w:t>
      </w:r>
    </w:p>
    <w:p>
      <w:pPr>
        <w:spacing w:line="240" w:lineRule="auto" w:before="7"/>
        <w:rPr>
          <w:rFonts w:ascii="宋体" w:hAnsi="宋体" w:cs="宋体" w:eastAsia="宋体" w:hint="default"/>
          <w:sz w:val="18"/>
          <w:szCs w:val="18"/>
        </w:rPr>
      </w:pPr>
    </w:p>
    <w:p>
      <w:pPr>
        <w:spacing w:line="477" w:lineRule="auto" w:before="0"/>
        <w:ind w:left="152" w:right="7164" w:firstLine="0"/>
        <w:jc w:val="left"/>
        <w:rPr>
          <w:rFonts w:ascii="宋体" w:hAnsi="宋体" w:cs="宋体" w:eastAsia="宋体" w:hint="default"/>
          <w:sz w:val="21"/>
          <w:szCs w:val="21"/>
        </w:rPr>
      </w:pP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20.20%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13.51%</w:t>
            </w:r>
          </w:p>
        </w:tc>
      </w:tr>
    </w:tbl>
    <w:p>
      <w:pPr>
        <w:pStyle w:val="BodyText"/>
        <w:spacing w:line="297" w:lineRule="auto" w:before="49"/>
        <w:ind w:right="130"/>
        <w:jc w:val="left"/>
      </w:pPr>
      <w:r>
        <w:rPr>
          <w:spacing w:val="-2"/>
        </w:rPr>
        <w:t>本企业的母公司情况的说明：刘强与李杰是本公司前二名股东，且已签署《一致行动人协议》，二人控股比例合计</w:t>
      </w:r>
      <w:r>
        <w:rPr>
          <w:spacing w:val="-34"/>
        </w:rPr>
        <w:t> </w:t>
      </w:r>
      <w:r>
        <w:rPr>
          <w:rFonts w:ascii="Times New Roman" w:hAnsi="Times New Roman" w:cs="Times New Roman" w:eastAsia="Times New Roman" w:hint="default"/>
          <w:spacing w:val="-1"/>
        </w:rPr>
        <w:t>33.71%</w:t>
      </w:r>
      <w:r>
        <w:rPr>
          <w:spacing w:val="-1"/>
        </w:rPr>
        <w:t>，</w:t>
      </w:r>
      <w:r>
        <w:rPr>
          <w:spacing w:val="-88"/>
        </w:rPr>
        <w:t> </w:t>
      </w:r>
      <w:r>
        <w:rPr/>
        <w:t>故认定二人是本公司实际控制人。</w:t>
      </w:r>
    </w:p>
    <w:p>
      <w:pPr>
        <w:spacing w:line="240" w:lineRule="auto" w:before="12"/>
        <w:rPr>
          <w:rFonts w:ascii="宋体" w:hAnsi="宋体" w:cs="宋体" w:eastAsia="宋体" w:hint="default"/>
          <w:sz w:val="23"/>
          <w:szCs w:val="23"/>
        </w:rPr>
      </w:pPr>
    </w:p>
    <w:p>
      <w:pPr>
        <w:pStyle w:val="Heading3"/>
        <w:spacing w:line="240" w:lineRule="auto"/>
        <w:ind w:right="8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4"/>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18"/>
        <w:ind w:right="84"/>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北京君诚易恒科技有限公司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北京庚顿数据科技有限公司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本公司实际控制人李杰任董事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拉萨君品创业投资有限公司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本公司实际控制人刘强控制的公司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240" w:lineRule="auto" w:before="44"/>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7,029,642.52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5,379,264.79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2,852,000.00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北京华如科技股份有限公司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1,159,315.99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904,558.46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left="0" w:right="163"/>
        <w:jc w:val="right"/>
      </w:pPr>
      <w:r>
        <w:rPr/>
        <w:pict>
          <v:shape style="position:absolute;margin-left:56.459999pt;margin-top:-61.118263pt;width:479.2pt;height:116.7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16,096,169.43</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1,494,573.33</w:t>
                        </w:r>
                        <w:r>
                          <w:rPr>
                            <w:rFonts w:ascii="Times New Roman"/>
                            <w:sz w:val="18"/>
                          </w:rPr>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公司期末发行在外的股票期权行权价格为 </w:t>
                        </w:r>
                        <w:r>
                          <w:rPr>
                            <w:rFonts w:ascii="Times New Roman" w:hAnsi="Times New Roman" w:cs="Times New Roman" w:eastAsia="Times New Roman" w:hint="default"/>
                            <w:sz w:val="18"/>
                            <w:szCs w:val="18"/>
                          </w:rPr>
                          <w:t>24.91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最晚行权时间为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模型</w:t>
            </w:r>
          </w:p>
        </w:tc>
      </w:tr>
      <w:tr>
        <w:trPr>
          <w:trHeight w:val="71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根据《北京君正集成电路股份有限公司股票期权激励计划</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》的相关规定</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26,121,396.43</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4,688,500.00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212" w:right="74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5"/>
        <w:ind w:left="212" w:right="7445"/>
        <w:jc w:val="left"/>
      </w:pPr>
      <w:r>
        <w:rPr/>
        <w:t>资产负债表日存在的重要承诺</w:t>
      </w:r>
    </w:p>
    <w:p>
      <w:pPr>
        <w:spacing w:line="240" w:lineRule="auto" w:before="0"/>
        <w:rPr>
          <w:rFonts w:ascii="宋体" w:hAnsi="宋体" w:cs="宋体" w:eastAsia="宋体" w:hint="default"/>
          <w:sz w:val="18"/>
          <w:szCs w:val="18"/>
        </w:rPr>
      </w:pPr>
    </w:p>
    <w:p>
      <w:pPr>
        <w:pStyle w:val="Heading3"/>
        <w:spacing w:line="240" w:lineRule="auto" w:before="118"/>
        <w:ind w:left="212" w:right="744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212" w:right="69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4"/>
        <w:ind w:left="212" w:right="7445"/>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27"/>
        <w:gridCol w:w="4928"/>
      </w:tblGrid>
      <w:tr>
        <w:trPr>
          <w:trHeight w:val="403"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3,341,341.46</w:t>
            </w:r>
          </w:p>
        </w:tc>
      </w:tr>
      <w:tr>
        <w:trPr>
          <w:trHeight w:val="401"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3,341,341.46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900"/>
        </w:sectPr>
      </w:pPr>
    </w:p>
    <w:p>
      <w:pPr>
        <w:spacing w:line="240" w:lineRule="auto" w:before="10"/>
        <w:rPr>
          <w:rFonts w:ascii="宋体" w:hAnsi="宋体" w:cs="宋体" w:eastAsia="宋体" w:hint="default"/>
          <w:sz w:val="24"/>
          <w:szCs w:val="24"/>
        </w:rPr>
      </w:pPr>
    </w:p>
    <w:p>
      <w:pPr>
        <w:pStyle w:val="Heading3"/>
        <w:spacing w:line="240" w:lineRule="auto" w:before="36"/>
        <w:ind w:left="212" w:right="7445"/>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212" w:right="68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left="212" w:right="744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744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2" w:right="7445"/>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7445"/>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7445"/>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7445"/>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12" w:right="7445"/>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0"/>
        <w:jc w:val="left"/>
      </w:pPr>
      <w:r>
        <w:rPr/>
        <w:t>本公司以产品市场分部为基础，由于各分部共同使用同一资产，资产、负债无法在不同的分部之间分配。</w:t>
      </w:r>
    </w:p>
    <w:p>
      <w:pPr>
        <w:spacing w:line="240" w:lineRule="auto" w:before="0"/>
        <w:rPr>
          <w:rFonts w:ascii="宋体" w:hAnsi="宋体" w:cs="宋体" w:eastAsia="宋体" w:hint="default"/>
          <w:sz w:val="18"/>
          <w:szCs w:val="18"/>
        </w:rPr>
      </w:pPr>
    </w:p>
    <w:p>
      <w:pPr>
        <w:pStyle w:val="Heading3"/>
        <w:spacing w:line="240" w:lineRule="auto" w:before="120"/>
        <w:ind w:left="212"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644"/>
        <w:gridCol w:w="1642"/>
        <w:gridCol w:w="1642"/>
        <w:gridCol w:w="1644"/>
        <w:gridCol w:w="1642"/>
        <w:gridCol w:w="1642"/>
      </w:tblGrid>
      <w:tr>
        <w:trPr>
          <w:trHeight w:val="40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微处理器芯片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智能视频芯片</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90,268,384.71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81,223,331.57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1,047,951.46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1,637,535.87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174,177,203.61</w:t>
            </w:r>
          </w:p>
        </w:tc>
      </w:tr>
      <w:tr>
        <w:trPr>
          <w:trHeight w:val="40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49,635,773.50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65,510,499.72</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312,339.43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115,458,612.65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20" w:right="90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2"/>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3,537,26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3,537,214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28,997,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944.58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28,997,916.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3,537,26</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3,537,214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3" w:right="0"/>
              <w:jc w:val="left"/>
              <w:rPr>
                <w:rFonts w:ascii="Times New Roman" w:hAnsi="Times New Roman" w:cs="Times New Roman" w:eastAsia="Times New Roman" w:hint="default"/>
                <w:sz w:val="18"/>
                <w:szCs w:val="18"/>
              </w:rPr>
            </w:pPr>
            <w:r>
              <w:rPr>
                <w:rFonts w:ascii="Times New Roman"/>
                <w:sz w:val="18"/>
              </w:rPr>
              <w:t>28,997,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944.58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28,997,916.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3,536,712.67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3,536,712.67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3,537,269.75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240" w:lineRule="auto" w:before="2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组合中，采用其他方法计提坏账准备的应收账款：</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5"/>
        </w:rPr>
        <w:t> </w:t>
      </w:r>
      <w:r>
        <w:rPr>
          <w:rFonts w:ascii="Times New Roman" w:hAnsi="Times New Roman" w:cs="Times New Roman" w:eastAsia="Times New Roman" w:hint="default"/>
        </w:rPr>
        <w:t>27.86</w:t>
      </w:r>
      <w:r>
        <w:rPr>
          <w:rFonts w:ascii="Times New Roman" w:hAnsi="Times New Roman" w:cs="Times New Roman" w:eastAsia="Times New Roman" w:hint="default"/>
          <w:spacing w:val="-2"/>
        </w:rPr>
        <w:t> </w:t>
      </w:r>
      <w:r>
        <w:rPr/>
        <w:t>元；本期收回或转回坏账准备金额</w:t>
      </w:r>
      <w:r>
        <w:rPr>
          <w:spacing w:val="-45"/>
        </w:rPr>
        <w:t> </w:t>
      </w:r>
      <w:r>
        <w:rPr>
          <w:rFonts w:ascii="Times New Roman" w:hAnsi="Times New Roman" w:cs="Times New Roman" w:eastAsia="Times New Roman" w:hint="default"/>
        </w:rPr>
        <w:t>0 </w:t>
      </w:r>
      <w:r>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220"/>
        <w:jc w:val="left"/>
      </w:pPr>
      <w:r>
        <w:rPr/>
        <w:t>本报告期按欠款方归集的期末余额前五名应收账款汇总金额</w:t>
      </w:r>
      <w:r>
        <w:rPr>
          <w:spacing w:val="-46"/>
        </w:rPr>
        <w:t> </w:t>
      </w:r>
      <w:r>
        <w:rPr>
          <w:rFonts w:ascii="Times New Roman" w:hAnsi="Times New Roman" w:cs="Times New Roman" w:eastAsia="Times New Roman" w:hint="default"/>
        </w:rPr>
        <w:t>3,534,719.46</w:t>
      </w:r>
      <w:r>
        <w:rPr>
          <w:rFonts w:ascii="Times New Roman" w:hAnsi="Times New Roman" w:cs="Times New Roman" w:eastAsia="Times New Roman" w:hint="default"/>
          <w:spacing w:val="1"/>
        </w:rPr>
        <w:t> </w:t>
      </w:r>
      <w:r>
        <w:rPr/>
        <w:t>元，占应收账款期末余额合计数的比例</w:t>
      </w:r>
      <w:r>
        <w:rPr>
          <w:spacing w:val="-46"/>
        </w:rPr>
        <w:t> </w:t>
      </w:r>
      <w:r>
        <w:rPr>
          <w:rFonts w:ascii="Times New Roman" w:hAnsi="Times New Roman" w:cs="Times New Roman" w:eastAsia="Times New Roman" w:hint="default"/>
        </w:rPr>
        <w:t>99.93%</w:t>
      </w:r>
      <w:r>
        <w:rPr/>
        <w:t>， 相应计提的坏账准备期末余额汇总金额为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3,870,01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356,614.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1,076,5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06.53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971,850.09</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3,870,01</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6.03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356,614.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3,513,401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1,076,5</w:t>
            </w:r>
          </w:p>
          <w:p>
            <w:pPr>
              <w:pStyle w:val="TableParagraph"/>
              <w:spacing w:line="240" w:lineRule="auto" w:before="103"/>
              <w:ind w:left="197" w:right="0"/>
              <w:jc w:val="center"/>
              <w:rPr>
                <w:rFonts w:ascii="Times New Roman" w:hAnsi="Times New Roman" w:cs="Times New Roman" w:eastAsia="Times New Roman" w:hint="default"/>
                <w:sz w:val="18"/>
                <w:szCs w:val="18"/>
              </w:rPr>
            </w:pPr>
            <w:r>
              <w:rPr>
                <w:rFonts w:ascii="Times New Roman"/>
                <w:sz w:val="18"/>
              </w:rPr>
              <w:t>06.53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104,656.4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971,850.09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3,217,559.79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160,877.99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3,217,559.79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160,877.99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652,456.24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195,736.87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3,870,016.03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356,614.86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本期计提坏账准备金额</w:t>
      </w:r>
      <w:r>
        <w:rPr>
          <w:spacing w:val="-46"/>
        </w:rPr>
        <w:t> </w:t>
      </w:r>
      <w:r>
        <w:rPr>
          <w:rFonts w:ascii="Times New Roman" w:hAnsi="Times New Roman" w:cs="Times New Roman" w:eastAsia="Times New Roman" w:hint="default"/>
        </w:rPr>
        <w:t>251,958.42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3,507,254.73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1,003,089.78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4,122.21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73,416.75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358,639.09</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3,870,016.03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1,076,506.53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551"/>
        <w:gridCol w:w="1553"/>
        <w:gridCol w:w="1292"/>
        <w:gridCol w:w="1615"/>
        <w:gridCol w:w="1616"/>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中国证券登记结算有限 责任公司深圳分公司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股权行权款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2,858,920.70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73.87%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142,946.04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何建波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648,334.03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194,500.21</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352,211.09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17,610.55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艾明明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唐琼</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3,862,465.82</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355,956.80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178,700,871.41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178,700,871.41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178,700,871.41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178,700,871.41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1,984,595.85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1,984,595.85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2,164,489.33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2,164,489.33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180,685,467.26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180,685,467.26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180,865,360.74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180,865,360.74</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北京君正集成电 </w:t>
            </w:r>
            <w:r>
              <w:rPr>
                <w:rFonts w:ascii="宋体" w:hAnsi="宋体" w:cs="宋体" w:eastAsia="宋体" w:hint="default"/>
                <w:spacing w:val="-6"/>
                <w:sz w:val="18"/>
                <w:szCs w:val="18"/>
              </w:rPr>
              <w:t>路（香港）集团有</w:t>
            </w:r>
            <w:r>
              <w:rPr>
                <w:rFonts w:ascii="宋体" w:hAnsi="宋体" w:cs="宋体" w:eastAsia="宋体" w:hint="default"/>
                <w:sz w:val="18"/>
                <w:szCs w:val="18"/>
              </w:rPr>
              <w:t>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5,700,871.41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5,700,871.41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深圳君正时代集 成电路有限公司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合肥君正科技有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178,700,871.41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178,700,871.41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2" w:right="41"/>
              <w:jc w:val="left"/>
              <w:rPr>
                <w:rFonts w:ascii="宋体" w:hAnsi="宋体" w:cs="宋体" w:eastAsia="宋体" w:hint="default"/>
                <w:sz w:val="18"/>
                <w:szCs w:val="18"/>
              </w:rPr>
            </w:pPr>
            <w:r>
              <w:rPr>
                <w:rFonts w:ascii="宋体" w:hAnsi="宋体" w:cs="宋体" w:eastAsia="宋体" w:hint="default"/>
                <w:sz w:val="18"/>
                <w:szCs w:val="18"/>
              </w:rPr>
              <w:t>北京君诚 易恒科技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2,164,489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2,164,489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2,164,489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1,984,595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92,120,923.77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59,313,886.80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78,549,766.90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42,426,322.86</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10,289,815.71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741,665.67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8,842,346.98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745,386.86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102,410,739.48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60,055,552.47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87,392,113.88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43,171,709.72</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-179,893.48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159,919.79</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746,993.80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3,677,031.64</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22,840,188.50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21,887,337.30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23,407,288.82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25,724,288.73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5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10,358,613.33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67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49"/>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60" w:type="dxa"/>
            <w:tcBorders>
              <w:top w:val="single" w:sz="4" w:space="0" w:color="000000"/>
              <w:left w:val="single" w:sz="4" w:space="0" w:color="000000"/>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24,323,034.90</w:t>
            </w:r>
          </w:p>
        </w:tc>
        <w:tc>
          <w:tcPr>
            <w:tcW w:w="3185" w:type="dxa"/>
            <w:vMerge/>
            <w:tcBorders>
              <w:left w:val="single" w:sz="4" w:space="0" w:color="000000"/>
              <w:right w:val="single" w:sz="4" w:space="0" w:color="000000"/>
            </w:tcBorders>
          </w:tcPr>
          <w:p>
            <w:pPr/>
          </w:p>
        </w:tc>
      </w:tr>
      <w:tr>
        <w:trPr>
          <w:trHeight w:val="30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60" w:type="dxa"/>
            <w:tcBorders>
              <w:top w:val="nil" w:sz="6" w:space="0" w:color="auto"/>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-163,097.00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-4,688,500.00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4,884,104.97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24,945,546.26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0.0388</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-0.1107</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15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5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149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四、在其他证券市场公布的年度报告。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7"/>
        <w:ind w:left="6463" w:right="0" w:firstLine="808"/>
        <w:jc w:val="left"/>
      </w:pPr>
      <w:r>
        <w:rPr/>
        <w:t>北京君正集成电路股份有限公司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tabs>
          <w:tab w:pos="9833" w:val="left" w:leader="none"/>
        </w:tabs>
        <w:spacing w:line="240" w:lineRule="auto"/>
        <w:ind w:left="6463" w:right="153"/>
        <w:jc w:val="left"/>
        <w:rPr>
          <w:rFonts w:ascii="Times New Roman" w:hAnsi="Times New Roman" w:cs="Times New Roman" w:eastAsia="Times New Roman" w:hint="default"/>
        </w:rPr>
      </w:pPr>
      <w:r>
        <w:rPr/>
        <w:t>法定代表人：刘强</w:t>
      </w:r>
      <w:r>
        <w:rPr>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0" w:right="151"/>
        <w:jc w:val="right"/>
      </w:pPr>
      <w:r>
        <w:rPr/>
        <w:t>二○一八年三月二十九日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026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26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26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0265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2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26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026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26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265610pt;width:213.75pt;height:11.5pt;mso-position-horizontal-relative:page;mso-position-vertical-relative:page;z-index:-1026616" type="#_x0000_t202" filled="false" stroked="false">
          <v:textbox inset="0,0,0,0">
            <w:txbxContent>
              <w:p>
                <w:pPr>
                  <w:pStyle w:val="BodyText"/>
                  <w:spacing w:line="214" w:lineRule="exact"/>
                  <w:ind w:left="20" w:right="0"/>
                  <w:jc w:val="left"/>
                </w:pPr>
                <w:r>
                  <w:rPr/>
                  <w:t>北京君正集成电路股份有限公司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ingenic.com/" TargetMode="External"/><Relationship Id="rId11" Type="http://schemas.openxmlformats.org/officeDocument/2006/relationships/hyperlink" Target="mailto:investors@ingenic.com"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北京君正集成电路股份有限公司</dc:creator>
  <dc:title>北京君正集成电路股份有限公司2017年年度报告全文</dc:title>
  <dcterms:created xsi:type="dcterms:W3CDTF">2020-05-03T00:16:18Z</dcterms:created>
  <dcterms:modified xsi:type="dcterms:W3CDTF">2020-05-03T00:16:18Z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Word 2010</vt:lpwstr>
  </property>
  <property fmtid="{D5CDD505-2E9C-101B-9397-08002B2CF9AE}" pid="4" name="LastSaved">
    <vt:filetime>2020-05-02T00:00:00Z</vt:filetime>
  </property>
</Properties>
</file>