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960"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drawing>
          <wp:inline distT="0" distB="0" distL="0" distR="0">
            <wp:extent cx="1409700" cy="6096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700" cy="609600"/>
                    </a:xfrm>
                    <a:prstGeom prst="rect">
                      <a:avLst/>
                    </a:prstGeom>
                  </pic:spPr>
                </pic:pic>
              </a:graphicData>
            </a:graphic>
          </wp:inline>
        </w:drawing>
      </w:r>
      <w:r>
        <w:rPr>
          <w:rFonts w:ascii="Times New Roman" w:hAnsi="Times New Roman" w:cs="Times New Roman" w:eastAsia="Times New Roman" w:hint="default"/>
          <w:position w:val="-18"/>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406" w:right="1390" w:firstLine="0"/>
        <w:jc w:val="center"/>
        <w:rPr>
          <w:rFonts w:ascii="宋体" w:hAnsi="宋体" w:cs="宋体" w:eastAsia="宋体" w:hint="default"/>
          <w:sz w:val="36"/>
          <w:szCs w:val="36"/>
        </w:rPr>
      </w:pPr>
      <w:r>
        <w:rPr>
          <w:rFonts w:ascii="宋体" w:hAnsi="宋体" w:cs="宋体" w:eastAsia="宋体" w:hint="default"/>
          <w:b/>
          <w:bCs/>
          <w:sz w:val="36"/>
          <w:szCs w:val="36"/>
        </w:rPr>
        <w:t>北京君正集成电路股份有限公司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406" w:right="1387"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5"/>
        <w:rPr>
          <w:rFonts w:ascii="宋体" w:hAnsi="宋体" w:cs="宋体" w:eastAsia="宋体" w:hint="default"/>
          <w:b/>
          <w:bCs/>
          <w:sz w:val="32"/>
          <w:szCs w:val="32"/>
        </w:rPr>
      </w:pPr>
    </w:p>
    <w:p>
      <w:pPr>
        <w:spacing w:before="0"/>
        <w:ind w:left="406" w:right="1384" w:firstLine="0"/>
        <w:jc w:val="center"/>
        <w:rPr>
          <w:rFonts w:ascii="Times New Roman" w:hAnsi="Times New Roman" w:cs="Times New Roman" w:eastAsia="Times New Roman" w:hint="default"/>
          <w:sz w:val="22"/>
          <w:szCs w:val="22"/>
        </w:rPr>
      </w:pPr>
      <w:r>
        <w:rPr>
          <w:rFonts w:ascii="Times New Roman"/>
          <w:b/>
          <w:sz w:val="22"/>
        </w:rPr>
        <w:t>2020-013</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30"/>
        <w:ind w:left="406" w:right="138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79"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85" w:right="1133"/>
        <w:jc w:val="left"/>
        <w:rPr>
          <w:b w:val="0"/>
          <w:bCs w:val="0"/>
        </w:rPr>
      </w:pPr>
      <w:bookmarkStart w:name="_bookmark0" w:id="1"/>
      <w:bookmarkEnd w:id="1"/>
      <w:r>
        <w:rPr>
          <w:b w:val="0"/>
          <w:bCs w:val="0"/>
        </w:rPr>
      </w:r>
      <w:r>
        <w:rPr/>
        <w:t>第一节重要提示、目录和释义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3"/>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公司负责人刘强、主管会计工作负责人叶飞及会计机构负责人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会计主管人</w:t>
      </w:r>
      <w:r>
        <w:rPr>
          <w:rFonts w:ascii="宋体" w:hAnsi="宋体" w:cs="宋体" w:eastAsia="宋体" w:hint="default"/>
          <w:b/>
          <w:bCs/>
          <w:w w:val="99"/>
          <w:sz w:val="28"/>
          <w:szCs w:val="28"/>
        </w:rPr>
        <w:t> </w:t>
      </w:r>
      <w:r>
        <w:rPr>
          <w:rFonts w:ascii="宋体" w:hAnsi="宋体" w:cs="宋体" w:eastAsia="宋体" w:hint="default"/>
          <w:b/>
          <w:bCs/>
          <w:sz w:val="28"/>
          <w:szCs w:val="28"/>
        </w:rPr>
        <w:t>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李莉声明：保证年度报告中财务报告的真实、准确、完整。</w:t>
      </w:r>
      <w:r>
        <w:rPr>
          <w:rFonts w:ascii="宋体" w:hAnsi="宋体" w:cs="宋体" w:eastAsia="宋体" w:hint="default"/>
          <w:sz w:val="28"/>
          <w:szCs w:val="28"/>
        </w:rPr>
      </w:r>
    </w:p>
    <w:p>
      <w:pPr>
        <w:spacing w:line="475" w:lineRule="auto" w:before="148"/>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本公司请投资者认真阅读本年度报告全文，并特别注意下列风险因素：</w:t>
      </w:r>
      <w:r>
        <w:rPr>
          <w:rFonts w:ascii="宋体" w:hAnsi="宋体" w:cs="宋体" w:eastAsia="宋体" w:hint="default"/>
          <w:b/>
          <w:bCs/>
          <w:w w:val="99"/>
          <w:sz w:val="28"/>
          <w:szCs w:val="28"/>
        </w:rPr>
        <w:t> </w:t>
      </w:r>
      <w:r>
        <w:rPr>
          <w:rFonts w:ascii="宋体" w:hAnsi="宋体" w:cs="宋体" w:eastAsia="宋体" w:hint="default"/>
          <w:b/>
          <w:bCs/>
          <w:sz w:val="28"/>
          <w:szCs w:val="28"/>
        </w:rPr>
        <w:t>一、产品开发风险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集成电路行业技术更新快、市场竞争激烈，需要公司不断推出新产品，同</w:t>
      </w:r>
      <w:r>
        <w:rPr>
          <w:rFonts w:ascii="宋体" w:hAnsi="宋体" w:cs="宋体" w:eastAsia="宋体" w:hint="default"/>
          <w:spacing w:val="2"/>
          <w:sz w:val="28"/>
          <w:szCs w:val="28"/>
        </w:rPr>
      </w:r>
    </w:p>
    <w:p>
      <w:pPr>
        <w:spacing w:line="350" w:lineRule="exact" w:before="0"/>
        <w:ind w:left="152" w:right="0" w:firstLine="0"/>
        <w:jc w:val="both"/>
        <w:rPr>
          <w:rFonts w:ascii="宋体" w:hAnsi="宋体" w:cs="宋体" w:eastAsia="宋体" w:hint="default"/>
          <w:sz w:val="28"/>
          <w:szCs w:val="28"/>
        </w:rPr>
      </w:pPr>
      <w:r>
        <w:rPr>
          <w:rFonts w:ascii="宋体" w:hAnsi="宋体" w:cs="宋体" w:eastAsia="宋体" w:hint="default"/>
          <w:b/>
          <w:bCs/>
          <w:spacing w:val="2"/>
          <w:sz w:val="28"/>
          <w:szCs w:val="28"/>
        </w:rPr>
        <w:t>时集成电路生产工艺不断发展，新工艺产品需要的资金投入不断提高，产品研</w:t>
      </w:r>
      <w:r>
        <w:rPr>
          <w:rFonts w:ascii="宋体" w:hAnsi="宋体" w:cs="宋体" w:eastAsia="宋体" w:hint="default"/>
          <w:spacing w:val="2"/>
          <w:sz w:val="28"/>
          <w:szCs w:val="28"/>
        </w:rPr>
      </w:r>
    </w:p>
    <w:p>
      <w:pPr>
        <w:spacing w:line="240" w:lineRule="auto" w:before="9"/>
        <w:rPr>
          <w:rFonts w:ascii="宋体" w:hAnsi="宋体" w:cs="宋体" w:eastAsia="宋体" w:hint="default"/>
          <w:b/>
          <w:bCs/>
          <w:sz w:val="19"/>
          <w:szCs w:val="19"/>
        </w:rPr>
      </w:pPr>
    </w:p>
    <w:p>
      <w:pPr>
        <w:spacing w:line="408" w:lineRule="auto" w:before="0"/>
        <w:ind w:left="152" w:right="1141" w:firstLine="0"/>
        <w:jc w:val="both"/>
        <w:rPr>
          <w:rFonts w:ascii="宋体" w:hAnsi="宋体" w:cs="宋体" w:eastAsia="宋体" w:hint="default"/>
          <w:sz w:val="28"/>
          <w:szCs w:val="28"/>
        </w:rPr>
      </w:pPr>
      <w:r>
        <w:rPr>
          <w:rFonts w:ascii="宋体" w:hAnsi="宋体" w:cs="宋体" w:eastAsia="宋体" w:hint="default"/>
          <w:b/>
          <w:bCs/>
          <w:spacing w:val="2"/>
          <w:sz w:val="28"/>
          <w:szCs w:val="28"/>
        </w:rPr>
        <w:t>发难度也不断增大，如公司开发的产品不能很好地符合市场需求，则可能对公</w:t>
      </w:r>
      <w:r>
        <w:rPr>
          <w:rFonts w:ascii="宋体" w:hAnsi="宋体" w:cs="宋体" w:eastAsia="宋体" w:hint="default"/>
          <w:b/>
          <w:bCs/>
          <w:w w:val="99"/>
          <w:sz w:val="28"/>
          <w:szCs w:val="28"/>
        </w:rPr>
        <w:t> </w:t>
      </w:r>
      <w:r>
        <w:rPr>
          <w:rFonts w:ascii="宋体" w:hAnsi="宋体" w:cs="宋体" w:eastAsia="宋体" w:hint="default"/>
          <w:b/>
          <w:bCs/>
          <w:sz w:val="28"/>
          <w:szCs w:val="28"/>
        </w:rPr>
        <w:t>司的市场销售带来不利影响，使经营风险随之加大。</w:t>
      </w:r>
      <w:r>
        <w:rPr>
          <w:rFonts w:ascii="宋体" w:hAnsi="宋体" w:cs="宋体" w:eastAsia="宋体" w:hint="default"/>
          <w:sz w:val="28"/>
          <w:szCs w:val="28"/>
        </w:rPr>
      </w:r>
    </w:p>
    <w:p>
      <w:pPr>
        <w:spacing w:line="475" w:lineRule="auto" w:before="160"/>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二、市场拓展风险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目前公司重点布局物联网和智能视频领域，在这两类市场中主要面向消费</w:t>
      </w:r>
      <w:r>
        <w:rPr>
          <w:rFonts w:ascii="宋体" w:hAnsi="宋体" w:cs="宋体" w:eastAsia="宋体" w:hint="default"/>
          <w:spacing w:val="2"/>
          <w:sz w:val="28"/>
          <w:szCs w:val="28"/>
        </w:rPr>
      </w:r>
    </w:p>
    <w:p>
      <w:pPr>
        <w:spacing w:line="350" w:lineRule="exact" w:before="0"/>
        <w:ind w:left="152" w:right="0" w:firstLine="0"/>
        <w:jc w:val="both"/>
        <w:rPr>
          <w:rFonts w:ascii="宋体" w:hAnsi="宋体" w:cs="宋体" w:eastAsia="宋体" w:hint="default"/>
          <w:sz w:val="28"/>
          <w:szCs w:val="28"/>
        </w:rPr>
      </w:pPr>
      <w:r>
        <w:rPr>
          <w:rFonts w:ascii="宋体" w:hAnsi="宋体" w:cs="宋体" w:eastAsia="宋体" w:hint="default"/>
          <w:b/>
          <w:bCs/>
          <w:spacing w:val="2"/>
          <w:sz w:val="28"/>
          <w:szCs w:val="28"/>
        </w:rPr>
        <w:t>类客户。消费类市场具有需求变化快、产品生命周期短等特点，从而给公司的</w:t>
      </w:r>
      <w:r>
        <w:rPr>
          <w:rFonts w:ascii="宋体" w:hAnsi="宋体" w:cs="宋体" w:eastAsia="宋体" w:hint="default"/>
          <w:spacing w:val="2"/>
          <w:sz w:val="28"/>
          <w:szCs w:val="28"/>
        </w:rPr>
      </w:r>
    </w:p>
    <w:p>
      <w:pPr>
        <w:spacing w:line="240" w:lineRule="auto" w:before="9"/>
        <w:rPr>
          <w:rFonts w:ascii="宋体" w:hAnsi="宋体" w:cs="宋体" w:eastAsia="宋体" w:hint="default"/>
          <w:b/>
          <w:bCs/>
          <w:sz w:val="19"/>
          <w:szCs w:val="19"/>
        </w:rPr>
      </w:pPr>
    </w:p>
    <w:p>
      <w:pPr>
        <w:spacing w:line="408" w:lineRule="auto" w:before="0"/>
        <w:ind w:left="152" w:right="1136" w:firstLine="0"/>
        <w:jc w:val="both"/>
        <w:rPr>
          <w:rFonts w:ascii="宋体" w:hAnsi="宋体" w:cs="宋体" w:eastAsia="宋体" w:hint="default"/>
          <w:sz w:val="28"/>
          <w:szCs w:val="28"/>
        </w:rPr>
      </w:pPr>
      <w:r>
        <w:rPr>
          <w:rFonts w:ascii="宋体" w:hAnsi="宋体" w:cs="宋体" w:eastAsia="宋体" w:hint="default"/>
          <w:b/>
          <w:bCs/>
          <w:spacing w:val="2"/>
          <w:sz w:val="28"/>
          <w:szCs w:val="28"/>
        </w:rPr>
        <w:t>市场销售带来不确定性。报告期内，因物联网市场中的细分领域需求变化，公</w:t>
      </w:r>
      <w:r>
        <w:rPr>
          <w:rFonts w:ascii="宋体" w:hAnsi="宋体" w:cs="宋体" w:eastAsia="宋体" w:hint="default"/>
          <w:b/>
          <w:bCs/>
          <w:w w:val="99"/>
          <w:sz w:val="28"/>
          <w:szCs w:val="28"/>
        </w:rPr>
        <w:t> </w:t>
      </w:r>
      <w:r>
        <w:rPr>
          <w:rFonts w:ascii="宋体" w:hAnsi="宋体" w:cs="宋体" w:eastAsia="宋体" w:hint="default"/>
          <w:b/>
          <w:bCs/>
          <w:spacing w:val="2"/>
          <w:sz w:val="28"/>
          <w:szCs w:val="28"/>
        </w:rPr>
        <w:t>司在该市场未能保持良好的增长趋势。公司在重点市场的推广情况对公司未来</w:t>
      </w:r>
      <w:r>
        <w:rPr>
          <w:rFonts w:ascii="宋体" w:hAnsi="宋体" w:cs="宋体" w:eastAsia="宋体" w:hint="default"/>
          <w:b/>
          <w:bCs/>
          <w:w w:val="99"/>
          <w:sz w:val="28"/>
          <w:szCs w:val="28"/>
        </w:rPr>
        <w:t> </w:t>
      </w:r>
      <w:r>
        <w:rPr>
          <w:rFonts w:ascii="宋体" w:hAnsi="宋体" w:cs="宋体" w:eastAsia="宋体" w:hint="default"/>
          <w:b/>
          <w:bCs/>
          <w:spacing w:val="2"/>
          <w:sz w:val="28"/>
          <w:szCs w:val="28"/>
        </w:rPr>
        <w:t>发展至关重要，如在重点市场中不能获得良好的预期收入，将会对公司发展产</w:t>
      </w:r>
      <w:r>
        <w:rPr>
          <w:rFonts w:ascii="宋体" w:hAnsi="宋体" w:cs="宋体" w:eastAsia="宋体" w:hint="default"/>
          <w:b/>
          <w:bCs/>
          <w:w w:val="99"/>
          <w:sz w:val="28"/>
          <w:szCs w:val="28"/>
        </w:rPr>
        <w:t> </w:t>
      </w:r>
      <w:r>
        <w:rPr>
          <w:rFonts w:ascii="宋体" w:hAnsi="宋体" w:cs="宋体" w:eastAsia="宋体" w:hint="default"/>
          <w:b/>
          <w:bCs/>
          <w:sz w:val="28"/>
          <w:szCs w:val="28"/>
        </w:rPr>
        <w:t>生不利影响。</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footerReference w:type="default" r:id="rId8"/>
          <w:pgSz w:w="11910" w:h="16840"/>
          <w:pgMar w:footer="979"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9"/>
          <w:szCs w:val="29"/>
        </w:rPr>
      </w:pPr>
    </w:p>
    <w:p>
      <w:pPr>
        <w:spacing w:line="475" w:lineRule="auto" w:before="14"/>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三、新技术研发风险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基于公司对未来市场发展的需求预测，公司往往需要根据新兴市场机会对</w:t>
      </w:r>
      <w:r>
        <w:rPr>
          <w:rFonts w:ascii="宋体" w:hAnsi="宋体" w:cs="宋体" w:eastAsia="宋体" w:hint="default"/>
          <w:spacing w:val="2"/>
          <w:sz w:val="28"/>
          <w:szCs w:val="28"/>
        </w:rPr>
      </w:r>
    </w:p>
    <w:p>
      <w:pPr>
        <w:spacing w:line="350" w:lineRule="exact" w:before="0"/>
        <w:ind w:left="152" w:right="0" w:firstLine="0"/>
        <w:jc w:val="both"/>
        <w:rPr>
          <w:rFonts w:ascii="宋体" w:hAnsi="宋体" w:cs="宋体" w:eastAsia="宋体" w:hint="default"/>
          <w:sz w:val="28"/>
          <w:szCs w:val="28"/>
        </w:rPr>
      </w:pPr>
      <w:r>
        <w:rPr>
          <w:rFonts w:ascii="宋体" w:hAnsi="宋体" w:cs="宋体" w:eastAsia="宋体" w:hint="default"/>
          <w:b/>
          <w:bCs/>
          <w:spacing w:val="2"/>
          <w:sz w:val="28"/>
          <w:szCs w:val="28"/>
        </w:rPr>
        <w:t>技术和产品的需求情况，提早展开新技术与产品的研发。由于这类技术往往具</w:t>
      </w:r>
      <w:r>
        <w:rPr>
          <w:rFonts w:ascii="宋体" w:hAnsi="宋体" w:cs="宋体" w:eastAsia="宋体" w:hint="default"/>
          <w:spacing w:val="2"/>
          <w:sz w:val="28"/>
          <w:szCs w:val="28"/>
        </w:rPr>
      </w:r>
    </w:p>
    <w:p>
      <w:pPr>
        <w:spacing w:line="240" w:lineRule="auto" w:before="9"/>
        <w:rPr>
          <w:rFonts w:ascii="宋体" w:hAnsi="宋体" w:cs="宋体" w:eastAsia="宋体" w:hint="default"/>
          <w:b/>
          <w:bCs/>
          <w:sz w:val="19"/>
          <w:szCs w:val="19"/>
        </w:rPr>
      </w:pPr>
    </w:p>
    <w:p>
      <w:pPr>
        <w:spacing w:line="408" w:lineRule="auto" w:before="0"/>
        <w:ind w:left="152" w:right="1141" w:firstLine="0"/>
        <w:jc w:val="both"/>
        <w:rPr>
          <w:rFonts w:ascii="宋体" w:hAnsi="宋体" w:cs="宋体" w:eastAsia="宋体" w:hint="default"/>
          <w:sz w:val="28"/>
          <w:szCs w:val="28"/>
        </w:rPr>
      </w:pPr>
      <w:r>
        <w:rPr>
          <w:rFonts w:ascii="宋体" w:hAnsi="宋体" w:cs="宋体" w:eastAsia="宋体" w:hint="default"/>
          <w:b/>
          <w:bCs/>
          <w:spacing w:val="2"/>
          <w:sz w:val="28"/>
          <w:szCs w:val="28"/>
        </w:rPr>
        <w:t>有一定的前沿性和探索性，技术研发成果具有一定的不确定性，同时，公司对</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未来市场发展的需求预测也可能出现偏差，而新技术、新产品的研发将带来研</w:t>
      </w:r>
      <w:r>
        <w:rPr>
          <w:rFonts w:ascii="宋体" w:hAnsi="宋体" w:cs="宋体" w:eastAsia="宋体" w:hint="default"/>
          <w:b/>
          <w:bCs/>
          <w:w w:val="99"/>
          <w:sz w:val="28"/>
          <w:szCs w:val="28"/>
        </w:rPr>
        <w:t> </w:t>
      </w:r>
      <w:r>
        <w:rPr>
          <w:rFonts w:ascii="宋体" w:hAnsi="宋体" w:cs="宋体" w:eastAsia="宋体" w:hint="default"/>
          <w:b/>
          <w:bCs/>
          <w:sz w:val="28"/>
          <w:szCs w:val="28"/>
        </w:rPr>
        <w:t>发费用的增加，从而可能会对公司总体业绩情况带来不利影响。</w:t>
      </w:r>
      <w:r>
        <w:rPr>
          <w:rFonts w:ascii="宋体" w:hAnsi="宋体" w:cs="宋体" w:eastAsia="宋体" w:hint="default"/>
          <w:sz w:val="28"/>
          <w:szCs w:val="28"/>
        </w:rPr>
      </w:r>
    </w:p>
    <w:p>
      <w:pPr>
        <w:spacing w:line="475" w:lineRule="auto" w:before="160"/>
        <w:ind w:left="714" w:right="1118" w:firstLine="0"/>
        <w:jc w:val="left"/>
        <w:rPr>
          <w:rFonts w:ascii="宋体" w:hAnsi="宋体" w:cs="宋体" w:eastAsia="宋体" w:hint="default"/>
          <w:sz w:val="28"/>
          <w:szCs w:val="28"/>
        </w:rPr>
      </w:pPr>
      <w:r>
        <w:rPr>
          <w:rFonts w:ascii="宋体" w:hAnsi="宋体" w:cs="宋体" w:eastAsia="宋体" w:hint="default"/>
          <w:b/>
          <w:bCs/>
          <w:sz w:val="28"/>
          <w:szCs w:val="28"/>
        </w:rPr>
        <w:t>四、毛利率下降的风险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近几年来，电子行业竞争不断加剧，导致电子产品生命周期缩短、价格不</w:t>
      </w:r>
      <w:r>
        <w:rPr>
          <w:rFonts w:ascii="宋体" w:hAnsi="宋体" w:cs="宋体" w:eastAsia="宋体" w:hint="default"/>
          <w:spacing w:val="2"/>
          <w:sz w:val="28"/>
          <w:szCs w:val="28"/>
        </w:rPr>
      </w:r>
    </w:p>
    <w:p>
      <w:pPr>
        <w:spacing w:line="350" w:lineRule="exact" w:before="0"/>
        <w:ind w:left="152" w:right="0" w:firstLine="0"/>
        <w:jc w:val="both"/>
        <w:rPr>
          <w:rFonts w:ascii="宋体" w:hAnsi="宋体" w:cs="宋体" w:eastAsia="宋体" w:hint="default"/>
          <w:sz w:val="28"/>
          <w:szCs w:val="28"/>
        </w:rPr>
      </w:pPr>
      <w:r>
        <w:rPr>
          <w:rFonts w:ascii="宋体" w:hAnsi="宋体" w:cs="宋体" w:eastAsia="宋体" w:hint="default"/>
          <w:b/>
          <w:bCs/>
          <w:sz w:val="28"/>
          <w:szCs w:val="28"/>
        </w:rPr>
        <w:t>断下滑，芯片产品的价格也呈下降趋势，这种趋势在竞争较为激烈时尤为明显，</w:t>
      </w:r>
      <w:r>
        <w:rPr>
          <w:rFonts w:ascii="宋体" w:hAnsi="宋体" w:cs="宋体" w:eastAsia="宋体" w:hint="default"/>
          <w:sz w:val="28"/>
          <w:szCs w:val="28"/>
        </w:rPr>
      </w:r>
    </w:p>
    <w:p>
      <w:pPr>
        <w:spacing w:line="240" w:lineRule="auto" w:before="9"/>
        <w:rPr>
          <w:rFonts w:ascii="宋体" w:hAnsi="宋体" w:cs="宋体" w:eastAsia="宋体" w:hint="default"/>
          <w:b/>
          <w:bCs/>
          <w:sz w:val="19"/>
          <w:szCs w:val="19"/>
        </w:rPr>
      </w:pPr>
    </w:p>
    <w:p>
      <w:pPr>
        <w:spacing w:line="408" w:lineRule="auto" w:before="0"/>
        <w:ind w:left="152" w:right="1141" w:firstLine="0"/>
        <w:jc w:val="both"/>
        <w:rPr>
          <w:rFonts w:ascii="宋体" w:hAnsi="宋体" w:cs="宋体" w:eastAsia="宋体" w:hint="default"/>
          <w:sz w:val="28"/>
          <w:szCs w:val="28"/>
        </w:rPr>
      </w:pPr>
      <w:r>
        <w:rPr>
          <w:rFonts w:ascii="宋体" w:hAnsi="宋体" w:cs="宋体" w:eastAsia="宋体" w:hint="default"/>
          <w:b/>
          <w:bCs/>
          <w:spacing w:val="2"/>
          <w:sz w:val="28"/>
          <w:szCs w:val="28"/>
        </w:rPr>
        <w:t>从而可能导致芯片产品的毛利率不断下降，如未来公司重点布局的领域中市场</w:t>
      </w:r>
      <w:r>
        <w:rPr>
          <w:rFonts w:ascii="宋体" w:hAnsi="宋体" w:cs="宋体" w:eastAsia="宋体" w:hint="default"/>
          <w:b/>
          <w:bCs/>
          <w:w w:val="99"/>
          <w:sz w:val="28"/>
          <w:szCs w:val="28"/>
        </w:rPr>
        <w:t> </w:t>
      </w:r>
      <w:r>
        <w:rPr>
          <w:rFonts w:ascii="宋体" w:hAnsi="宋体" w:cs="宋体" w:eastAsia="宋体" w:hint="default"/>
          <w:b/>
          <w:bCs/>
          <w:sz w:val="28"/>
          <w:szCs w:val="28"/>
        </w:rPr>
        <w:t>竞争情况不断加剧，则可能会导致公司的销售毛利率不断下降。</w:t>
      </w:r>
      <w:r>
        <w:rPr>
          <w:rFonts w:ascii="宋体" w:hAnsi="宋体" w:cs="宋体" w:eastAsia="宋体" w:hint="default"/>
          <w:sz w:val="28"/>
          <w:szCs w:val="28"/>
        </w:rPr>
      </w:r>
    </w:p>
    <w:p>
      <w:pPr>
        <w:spacing w:line="472" w:lineRule="auto" w:before="162"/>
        <w:ind w:left="714" w:right="1118" w:firstLine="0"/>
        <w:jc w:val="left"/>
        <w:rPr>
          <w:rFonts w:ascii="宋体" w:hAnsi="宋体" w:cs="宋体" w:eastAsia="宋体" w:hint="default"/>
          <w:sz w:val="28"/>
          <w:szCs w:val="28"/>
        </w:rPr>
      </w:pPr>
      <w:r>
        <w:rPr>
          <w:rFonts w:ascii="宋体" w:hAnsi="宋体" w:cs="宋体" w:eastAsia="宋体" w:hint="default"/>
          <w:b/>
          <w:bCs/>
          <w:sz w:val="28"/>
          <w:szCs w:val="28"/>
        </w:rPr>
        <w:t>五、技术人员人力成本增加的风险</w:t>
      </w:r>
      <w:r>
        <w:rPr>
          <w:rFonts w:ascii="宋体" w:hAnsi="宋体" w:cs="宋体" w:eastAsia="宋体" w:hint="default"/>
          <w:b/>
          <w:bCs/>
          <w:w w:val="99"/>
          <w:sz w:val="28"/>
          <w:szCs w:val="28"/>
        </w:rPr>
        <w:t> </w:t>
      </w:r>
      <w:r>
        <w:rPr>
          <w:rFonts w:ascii="宋体" w:hAnsi="宋体" w:cs="宋体" w:eastAsia="宋体" w:hint="default"/>
          <w:b/>
          <w:bCs/>
          <w:spacing w:val="-3"/>
          <w:sz w:val="28"/>
          <w:szCs w:val="28"/>
        </w:rPr>
        <w:t>公司研发投入中技术人员的薪酬和福利费支出所占比重较大。近年来</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IC</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设</w:t>
      </w:r>
      <w:r>
        <w:rPr>
          <w:rFonts w:ascii="宋体" w:hAnsi="宋体" w:cs="宋体" w:eastAsia="宋体" w:hint="default"/>
          <w:sz w:val="28"/>
          <w:szCs w:val="28"/>
        </w:rPr>
      </w:r>
    </w:p>
    <w:p>
      <w:pPr>
        <w:spacing w:line="302" w:lineRule="exact" w:before="0"/>
        <w:ind w:left="152" w:right="0" w:firstLine="0"/>
        <w:jc w:val="both"/>
        <w:rPr>
          <w:rFonts w:ascii="宋体" w:hAnsi="宋体" w:cs="宋体" w:eastAsia="宋体" w:hint="default"/>
          <w:sz w:val="28"/>
          <w:szCs w:val="28"/>
        </w:rPr>
      </w:pPr>
      <w:r>
        <w:rPr>
          <w:rFonts w:ascii="宋体" w:hAnsi="宋体" w:cs="宋体" w:eastAsia="宋体" w:hint="default"/>
          <w:b/>
          <w:bCs/>
          <w:sz w:val="28"/>
          <w:szCs w:val="28"/>
        </w:rPr>
        <w:t>计领域高技术人才的薪酬水平不断提高，公司技术人力成本也不断增加；同时，</w:t>
      </w:r>
      <w:r>
        <w:rPr>
          <w:rFonts w:ascii="宋体" w:hAnsi="宋体" w:cs="宋体" w:eastAsia="宋体" w:hint="default"/>
          <w:sz w:val="28"/>
          <w:szCs w:val="28"/>
        </w:rPr>
      </w:r>
    </w:p>
    <w:p>
      <w:pPr>
        <w:spacing w:line="240" w:lineRule="auto" w:before="9"/>
        <w:rPr>
          <w:rFonts w:ascii="宋体" w:hAnsi="宋体" w:cs="宋体" w:eastAsia="宋体" w:hint="default"/>
          <w:b/>
          <w:bCs/>
          <w:sz w:val="19"/>
          <w:szCs w:val="19"/>
        </w:rPr>
      </w:pPr>
    </w:p>
    <w:p>
      <w:pPr>
        <w:spacing w:line="408" w:lineRule="auto" w:before="0"/>
        <w:ind w:left="152" w:right="1141" w:firstLine="0"/>
        <w:jc w:val="both"/>
        <w:rPr>
          <w:rFonts w:ascii="宋体" w:hAnsi="宋体" w:cs="宋体" w:eastAsia="宋体" w:hint="default"/>
          <w:sz w:val="28"/>
          <w:szCs w:val="28"/>
        </w:rPr>
      </w:pPr>
      <w:r>
        <w:rPr>
          <w:rFonts w:ascii="宋体" w:hAnsi="宋体" w:cs="宋体" w:eastAsia="宋体" w:hint="default"/>
          <w:b/>
          <w:bCs/>
          <w:spacing w:val="2"/>
          <w:sz w:val="28"/>
          <w:szCs w:val="28"/>
        </w:rPr>
        <w:t>在公司业务规模不断发展的情况下，公司对技术人才的需求也会不断加大，从</w:t>
      </w:r>
      <w:r>
        <w:rPr>
          <w:rFonts w:ascii="宋体" w:hAnsi="宋体" w:cs="宋体" w:eastAsia="宋体" w:hint="default"/>
          <w:b/>
          <w:bCs/>
          <w:w w:val="99"/>
          <w:sz w:val="28"/>
          <w:szCs w:val="28"/>
        </w:rPr>
        <w:t> </w:t>
      </w:r>
      <w:r>
        <w:rPr>
          <w:rFonts w:ascii="宋体" w:hAnsi="宋体" w:cs="宋体" w:eastAsia="宋体" w:hint="default"/>
          <w:b/>
          <w:bCs/>
          <w:sz w:val="28"/>
          <w:szCs w:val="28"/>
        </w:rPr>
        <w:t>而导致公司存在技术人员人力成本增加、研发支出增长的风险。</w:t>
      </w:r>
      <w:r>
        <w:rPr>
          <w:rFonts w:ascii="宋体" w:hAnsi="宋体" w:cs="宋体" w:eastAsia="宋体" w:hint="default"/>
          <w:sz w:val="28"/>
          <w:szCs w:val="28"/>
        </w:rPr>
      </w:r>
    </w:p>
    <w:p>
      <w:pPr>
        <w:spacing w:line="475" w:lineRule="auto" w:before="162"/>
        <w:ind w:left="714" w:right="1118" w:firstLine="0"/>
        <w:jc w:val="left"/>
        <w:rPr>
          <w:rFonts w:ascii="宋体" w:hAnsi="宋体" w:cs="宋体" w:eastAsia="宋体" w:hint="default"/>
          <w:sz w:val="28"/>
          <w:szCs w:val="28"/>
        </w:rPr>
      </w:pPr>
      <w:r>
        <w:rPr>
          <w:rFonts w:ascii="宋体" w:hAnsi="宋体" w:cs="宋体" w:eastAsia="宋体" w:hint="default"/>
          <w:b/>
          <w:bCs/>
          <w:sz w:val="28"/>
          <w:szCs w:val="28"/>
        </w:rPr>
        <w:t>六、对北京矽成的并购风险</w:t>
      </w:r>
      <w:r>
        <w:rPr>
          <w:rFonts w:ascii="宋体" w:hAnsi="宋体" w:cs="宋体" w:eastAsia="宋体" w:hint="default"/>
          <w:b/>
          <w:bCs/>
          <w:w w:val="99"/>
          <w:sz w:val="28"/>
          <w:szCs w:val="28"/>
        </w:rPr>
        <w:t> </w:t>
      </w:r>
      <w:r>
        <w:rPr>
          <w:rFonts w:ascii="宋体" w:hAnsi="宋体" w:cs="宋体" w:eastAsia="宋体" w:hint="default"/>
          <w:b/>
          <w:bCs/>
          <w:spacing w:val="-3"/>
          <w:sz w:val="28"/>
          <w:szCs w:val="28"/>
        </w:rPr>
        <w:t>报告期内，公司及</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或其全资子公司合肥君正拟以发行股份及</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或支付现金的</w:t>
      </w:r>
      <w:r>
        <w:rPr>
          <w:rFonts w:ascii="宋体" w:hAnsi="宋体" w:cs="宋体" w:eastAsia="宋体" w:hint="default"/>
          <w:spacing w:val="-3"/>
          <w:sz w:val="28"/>
          <w:szCs w:val="28"/>
        </w:rPr>
      </w:r>
    </w:p>
    <w:p>
      <w:pPr>
        <w:spacing w:line="320" w:lineRule="exact" w:before="0"/>
        <w:ind w:left="152" w:right="0" w:firstLine="0"/>
        <w:jc w:val="both"/>
        <w:rPr>
          <w:rFonts w:ascii="宋体" w:hAnsi="宋体" w:cs="宋体" w:eastAsia="宋体" w:hint="default"/>
          <w:sz w:val="28"/>
          <w:szCs w:val="28"/>
        </w:rPr>
      </w:pPr>
      <w:r>
        <w:rPr>
          <w:rFonts w:ascii="宋体" w:hAnsi="宋体" w:cs="宋体" w:eastAsia="宋体" w:hint="default"/>
          <w:b/>
          <w:bCs/>
          <w:sz w:val="28"/>
          <w:szCs w:val="28"/>
        </w:rPr>
        <w:t>方式购买屹唐投资、华创芯原、上海瑾矽、民和志威、闪胜创芯、</w:t>
      </w:r>
      <w:r>
        <w:rPr>
          <w:rFonts w:ascii="Times New Roman" w:hAnsi="Times New Roman" w:cs="Times New Roman" w:eastAsia="Times New Roman" w:hint="default"/>
          <w:b/>
          <w:bCs/>
          <w:sz w:val="28"/>
          <w:szCs w:val="28"/>
        </w:rPr>
        <w:t>WM</w:t>
      </w:r>
      <w:r>
        <w:rPr>
          <w:rFonts w:ascii="宋体" w:hAnsi="宋体" w:cs="宋体" w:eastAsia="宋体" w:hint="default"/>
          <w:b/>
          <w:bCs/>
          <w:sz w:val="28"/>
          <w:szCs w:val="28"/>
        </w:rPr>
        <w:t>、</w:t>
      </w:r>
      <w:r>
        <w:rPr>
          <w:rFonts w:ascii="Times New Roman" w:hAnsi="Times New Roman" w:cs="Times New Roman" w:eastAsia="Times New Roman" w:hint="default"/>
          <w:b/>
          <w:bCs/>
          <w:sz w:val="28"/>
          <w:szCs w:val="28"/>
        </w:rPr>
        <w:t>AM</w:t>
      </w:r>
      <w:r>
        <w:rPr>
          <w:rFonts w:ascii="宋体" w:hAnsi="宋体" w:cs="宋体" w:eastAsia="宋体" w:hint="default"/>
          <w:b/>
          <w:bCs/>
          <w:sz w:val="28"/>
          <w:szCs w:val="28"/>
        </w:rPr>
        <w:t>、</w:t>
      </w:r>
      <w:r>
        <w:rPr>
          <w:rFonts w:ascii="宋体" w:hAnsi="宋体" w:cs="宋体" w:eastAsia="宋体" w:hint="default"/>
          <w:sz w:val="28"/>
          <w:szCs w:val="28"/>
        </w:rPr>
      </w:r>
    </w:p>
    <w:p>
      <w:pPr>
        <w:spacing w:line="386" w:lineRule="auto" w:before="236"/>
        <w:ind w:left="152" w:right="1131" w:firstLine="0"/>
        <w:jc w:val="both"/>
        <w:rPr>
          <w:rFonts w:ascii="宋体" w:hAnsi="宋体" w:cs="宋体" w:eastAsia="宋体" w:hint="default"/>
          <w:sz w:val="28"/>
          <w:szCs w:val="28"/>
        </w:rPr>
      </w:pPr>
      <w:r>
        <w:rPr>
          <w:rFonts w:ascii="宋体" w:hAnsi="宋体" w:cs="宋体" w:eastAsia="宋体" w:hint="default"/>
          <w:b/>
          <w:bCs/>
          <w:sz w:val="28"/>
          <w:szCs w:val="28"/>
        </w:rPr>
        <w:t>厦门芯华持有的北京矽成</w:t>
      </w:r>
      <w:r>
        <w:rPr>
          <w:rFonts w:ascii="宋体" w:hAnsi="宋体" w:cs="宋体" w:eastAsia="宋体" w:hint="default"/>
          <w:b/>
          <w:bCs/>
          <w:spacing w:val="-61"/>
          <w:sz w:val="28"/>
          <w:szCs w:val="28"/>
        </w:rPr>
        <w:t> </w:t>
      </w:r>
      <w:r>
        <w:rPr>
          <w:rFonts w:ascii="Times New Roman" w:hAnsi="Times New Roman" w:cs="Times New Roman" w:eastAsia="Times New Roman" w:hint="default"/>
          <w:b/>
          <w:bCs/>
          <w:spacing w:val="-3"/>
          <w:sz w:val="28"/>
          <w:szCs w:val="28"/>
        </w:rPr>
        <w:t>59.99%</w:t>
      </w:r>
      <w:r>
        <w:rPr>
          <w:rFonts w:ascii="宋体" w:hAnsi="宋体" w:cs="宋体" w:eastAsia="宋体" w:hint="default"/>
          <w:b/>
          <w:bCs/>
          <w:spacing w:val="-3"/>
          <w:sz w:val="28"/>
          <w:szCs w:val="28"/>
        </w:rPr>
        <w:t>股权，武岳峰集电、上海集岑、北京青禾、万</w:t>
      </w:r>
      <w:r>
        <w:rPr>
          <w:rFonts w:ascii="宋体" w:hAnsi="宋体" w:cs="宋体" w:eastAsia="宋体" w:hint="default"/>
          <w:b/>
          <w:bCs/>
          <w:spacing w:val="-139"/>
          <w:sz w:val="28"/>
          <w:szCs w:val="28"/>
        </w:rPr>
        <w:t> </w:t>
      </w:r>
      <w:r>
        <w:rPr>
          <w:rFonts w:ascii="宋体" w:hAnsi="宋体" w:cs="宋体" w:eastAsia="宋体" w:hint="default"/>
          <w:b/>
          <w:bCs/>
          <w:spacing w:val="-139"/>
          <w:sz w:val="28"/>
          <w:szCs w:val="28"/>
        </w:rPr>
      </w:r>
      <w:r>
        <w:rPr>
          <w:rFonts w:ascii="宋体" w:hAnsi="宋体" w:cs="宋体" w:eastAsia="宋体" w:hint="default"/>
          <w:b/>
          <w:bCs/>
          <w:sz w:val="28"/>
          <w:szCs w:val="28"/>
        </w:rPr>
        <w:t>丰投资、承裕投资持有的上海承裕</w:t>
      </w:r>
      <w:r>
        <w:rPr>
          <w:rFonts w:ascii="宋体" w:hAnsi="宋体" w:cs="宋体" w:eastAsia="宋体" w:hint="default"/>
          <w:b/>
          <w:bCs/>
          <w:spacing w:val="-65"/>
          <w:sz w:val="28"/>
          <w:szCs w:val="28"/>
        </w:rPr>
        <w:t> </w:t>
      </w:r>
      <w:r>
        <w:rPr>
          <w:rFonts w:ascii="Times New Roman" w:hAnsi="Times New Roman" w:cs="Times New Roman" w:eastAsia="Times New Roman" w:hint="default"/>
          <w:b/>
          <w:bCs/>
          <w:sz w:val="28"/>
          <w:szCs w:val="28"/>
        </w:rPr>
        <w:t>100%</w:t>
      </w:r>
      <w:r>
        <w:rPr>
          <w:rFonts w:ascii="宋体" w:hAnsi="宋体" w:cs="宋体" w:eastAsia="宋体" w:hint="default"/>
          <w:b/>
          <w:bCs/>
          <w:sz w:val="28"/>
          <w:szCs w:val="28"/>
        </w:rPr>
        <w:t>财产份额事项于</w:t>
      </w:r>
      <w:r>
        <w:rPr>
          <w:rFonts w:ascii="宋体" w:hAnsi="宋体" w:cs="宋体" w:eastAsia="宋体" w:hint="default"/>
          <w:b/>
          <w:bCs/>
          <w:spacing w:val="-66"/>
          <w:sz w:val="28"/>
          <w:szCs w:val="28"/>
        </w:rPr>
        <w:t> </w:t>
      </w:r>
      <w:r>
        <w:rPr>
          <w:rFonts w:ascii="Times New Roman" w:hAnsi="Times New Roman" w:cs="Times New Roman" w:eastAsia="Times New Roman" w:hint="default"/>
          <w:b/>
          <w:bCs/>
          <w:sz w:val="28"/>
          <w:szCs w:val="28"/>
        </w:rPr>
        <w:t>2019</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年</w:t>
      </w:r>
      <w:r>
        <w:rPr>
          <w:rFonts w:ascii="宋体" w:hAnsi="宋体" w:cs="宋体" w:eastAsia="宋体" w:hint="default"/>
          <w:b/>
          <w:bCs/>
          <w:spacing w:val="-69"/>
          <w:sz w:val="28"/>
          <w:szCs w:val="28"/>
        </w:rPr>
        <w:t> </w:t>
      </w:r>
      <w:r>
        <w:rPr>
          <w:rFonts w:ascii="Times New Roman" w:hAnsi="Times New Roman" w:cs="Times New Roman" w:eastAsia="Times New Roman" w:hint="default"/>
          <w:b/>
          <w:bCs/>
          <w:spacing w:val="-7"/>
          <w:sz w:val="28"/>
          <w:szCs w:val="28"/>
        </w:rPr>
        <w:t>11</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月</w:t>
      </w:r>
      <w:r>
        <w:rPr>
          <w:rFonts w:ascii="宋体" w:hAnsi="宋体" w:cs="宋体" w:eastAsia="宋体" w:hint="default"/>
          <w:b/>
          <w:bCs/>
          <w:spacing w:val="-67"/>
          <w:sz w:val="28"/>
          <w:szCs w:val="28"/>
        </w:rPr>
        <w:t> </w:t>
      </w:r>
      <w:r>
        <w:rPr>
          <w:rFonts w:ascii="Times New Roman" w:hAnsi="Times New Roman" w:cs="Times New Roman" w:eastAsia="Times New Roman" w:hint="default"/>
          <w:b/>
          <w:bCs/>
          <w:sz w:val="28"/>
          <w:szCs w:val="28"/>
        </w:rPr>
        <w:t>14</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日获</w:t>
      </w:r>
      <w:r>
        <w:rPr>
          <w:rFonts w:ascii="宋体" w:hAnsi="宋体" w:cs="宋体" w:eastAsia="宋体" w:hint="default"/>
          <w:sz w:val="28"/>
          <w:szCs w:val="28"/>
        </w:rPr>
      </w:r>
    </w:p>
    <w:p>
      <w:pPr>
        <w:spacing w:after="0" w:line="386" w:lineRule="auto"/>
        <w:jc w:val="both"/>
        <w:rPr>
          <w:rFonts w:ascii="宋体" w:hAnsi="宋体" w:cs="宋体" w:eastAsia="宋体" w:hint="default"/>
          <w:sz w:val="28"/>
          <w:szCs w:val="28"/>
        </w:rPr>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p>
      <w:pPr>
        <w:spacing w:line="398" w:lineRule="auto" w:before="14"/>
        <w:ind w:left="152" w:right="986" w:firstLine="0"/>
        <w:jc w:val="left"/>
        <w:rPr>
          <w:rFonts w:ascii="宋体" w:hAnsi="宋体" w:cs="宋体" w:eastAsia="宋体" w:hint="default"/>
          <w:sz w:val="28"/>
          <w:szCs w:val="28"/>
        </w:rPr>
      </w:pPr>
      <w:r>
        <w:rPr>
          <w:rFonts w:ascii="宋体" w:hAnsi="宋体" w:cs="宋体" w:eastAsia="宋体" w:hint="default"/>
          <w:b/>
          <w:bCs/>
          <w:spacing w:val="-10"/>
          <w:w w:val="99"/>
          <w:sz w:val="28"/>
          <w:szCs w:val="28"/>
        </w:rPr>
        <w:t>得中国证监会有条件通过，公司于</w:t>
      </w:r>
      <w:r>
        <w:rPr>
          <w:rFonts w:ascii="宋体" w:hAnsi="宋体" w:cs="宋体" w:eastAsia="宋体" w:hint="default"/>
          <w:b/>
          <w:bCs/>
          <w:spacing w:val="-78"/>
          <w:w w:val="99"/>
          <w:sz w:val="28"/>
          <w:szCs w:val="28"/>
        </w:rPr>
        <w:t> </w:t>
      </w:r>
      <w:r>
        <w:rPr>
          <w:rFonts w:ascii="Times New Roman" w:hAnsi="Times New Roman" w:cs="Times New Roman" w:eastAsia="Times New Roman" w:hint="default"/>
          <w:b/>
          <w:bCs/>
          <w:spacing w:val="-1"/>
          <w:w w:val="100"/>
          <w:sz w:val="28"/>
          <w:szCs w:val="28"/>
        </w:rPr>
        <w:t>2019</w:t>
      </w:r>
      <w:r>
        <w:rPr>
          <w:rFonts w:ascii="Times New Roman" w:hAnsi="Times New Roman" w:cs="Times New Roman" w:eastAsia="Times New Roman" w:hint="default"/>
          <w:b/>
          <w:bCs/>
          <w:spacing w:val="-7"/>
          <w:w w:val="100"/>
          <w:sz w:val="28"/>
          <w:szCs w:val="28"/>
        </w:rPr>
        <w:t> </w:t>
      </w:r>
      <w:r>
        <w:rPr>
          <w:rFonts w:ascii="宋体" w:hAnsi="宋体" w:cs="宋体" w:eastAsia="宋体" w:hint="default"/>
          <w:b/>
          <w:bCs/>
          <w:w w:val="99"/>
          <w:sz w:val="28"/>
          <w:szCs w:val="28"/>
        </w:rPr>
        <w:t>年</w:t>
      </w:r>
      <w:r>
        <w:rPr>
          <w:rFonts w:ascii="宋体" w:hAnsi="宋体" w:cs="宋体" w:eastAsia="宋体" w:hint="default"/>
          <w:b/>
          <w:bCs/>
          <w:spacing w:val="-77"/>
          <w:w w:val="99"/>
          <w:sz w:val="28"/>
          <w:szCs w:val="28"/>
        </w:rPr>
        <w:t> </w:t>
      </w:r>
      <w:r>
        <w:rPr>
          <w:rFonts w:ascii="Times New Roman" w:hAnsi="Times New Roman" w:cs="Times New Roman" w:eastAsia="Times New Roman" w:hint="default"/>
          <w:b/>
          <w:bCs/>
          <w:spacing w:val="-1"/>
          <w:w w:val="100"/>
          <w:sz w:val="28"/>
          <w:szCs w:val="28"/>
        </w:rPr>
        <w:t>12</w:t>
      </w:r>
      <w:r>
        <w:rPr>
          <w:rFonts w:ascii="Times New Roman" w:hAnsi="Times New Roman" w:cs="Times New Roman" w:eastAsia="Times New Roman" w:hint="default"/>
          <w:b/>
          <w:bCs/>
          <w:spacing w:val="-7"/>
          <w:w w:val="100"/>
          <w:sz w:val="28"/>
          <w:szCs w:val="28"/>
        </w:rPr>
        <w:t> </w:t>
      </w:r>
      <w:r>
        <w:rPr>
          <w:rFonts w:ascii="宋体" w:hAnsi="宋体" w:cs="宋体" w:eastAsia="宋体" w:hint="default"/>
          <w:b/>
          <w:bCs/>
          <w:w w:val="99"/>
          <w:sz w:val="28"/>
          <w:szCs w:val="28"/>
        </w:rPr>
        <w:t>月</w:t>
      </w:r>
      <w:r>
        <w:rPr>
          <w:rFonts w:ascii="宋体" w:hAnsi="宋体" w:cs="宋体" w:eastAsia="宋体" w:hint="default"/>
          <w:b/>
          <w:bCs/>
          <w:spacing w:val="-80"/>
          <w:w w:val="99"/>
          <w:sz w:val="28"/>
          <w:szCs w:val="28"/>
        </w:rPr>
        <w:t> </w:t>
      </w:r>
      <w:r>
        <w:rPr>
          <w:rFonts w:ascii="Times New Roman" w:hAnsi="Times New Roman" w:cs="Times New Roman" w:eastAsia="Times New Roman" w:hint="default"/>
          <w:b/>
          <w:bCs/>
          <w:w w:val="100"/>
          <w:sz w:val="28"/>
          <w:szCs w:val="28"/>
        </w:rPr>
        <w:t>31</w:t>
      </w:r>
      <w:r>
        <w:rPr>
          <w:rFonts w:ascii="Times New Roman" w:hAnsi="Times New Roman" w:cs="Times New Roman" w:eastAsia="Times New Roman" w:hint="default"/>
          <w:b/>
          <w:bCs/>
          <w:spacing w:val="-10"/>
          <w:w w:val="100"/>
          <w:sz w:val="28"/>
          <w:szCs w:val="28"/>
        </w:rPr>
        <w:t> </w:t>
      </w:r>
      <w:r>
        <w:rPr>
          <w:rFonts w:ascii="宋体" w:hAnsi="宋体" w:cs="宋体" w:eastAsia="宋体" w:hint="default"/>
          <w:b/>
          <w:bCs/>
          <w:spacing w:val="-11"/>
          <w:w w:val="99"/>
          <w:sz w:val="28"/>
          <w:szCs w:val="28"/>
        </w:rPr>
        <w:t>日收到中国证监会出具的《关</w:t>
      </w:r>
      <w:r>
        <w:rPr>
          <w:rFonts w:ascii="宋体" w:hAnsi="宋体" w:cs="宋体" w:eastAsia="宋体" w:hint="default"/>
          <w:b/>
          <w:bCs/>
          <w:spacing w:val="-135"/>
          <w:w w:val="99"/>
          <w:sz w:val="28"/>
          <w:szCs w:val="28"/>
        </w:rPr>
        <w:t> </w:t>
      </w:r>
      <w:r>
        <w:rPr>
          <w:rFonts w:ascii="宋体" w:hAnsi="宋体" w:cs="宋体" w:eastAsia="宋体" w:hint="default"/>
          <w:b/>
          <w:bCs/>
          <w:spacing w:val="-135"/>
          <w:w w:val="99"/>
          <w:sz w:val="28"/>
          <w:szCs w:val="28"/>
        </w:rPr>
      </w:r>
      <w:r>
        <w:rPr>
          <w:rFonts w:ascii="宋体" w:hAnsi="宋体" w:cs="宋体" w:eastAsia="宋体" w:hint="default"/>
          <w:b/>
          <w:bCs/>
          <w:spacing w:val="2"/>
          <w:sz w:val="28"/>
          <w:szCs w:val="28"/>
        </w:rPr>
        <w:t>于核准北京君正集成电路股份有限公司向北京屹唐半导体产业投资中心（有限</w:t>
      </w:r>
      <w:r>
        <w:rPr>
          <w:rFonts w:ascii="宋体" w:hAnsi="宋体" w:cs="宋体" w:eastAsia="宋体" w:hint="default"/>
          <w:b/>
          <w:bCs/>
          <w:w w:val="99"/>
          <w:sz w:val="28"/>
          <w:szCs w:val="28"/>
        </w:rPr>
        <w:t> </w:t>
      </w:r>
      <w:r>
        <w:rPr>
          <w:rFonts w:ascii="宋体" w:hAnsi="宋体" w:cs="宋体" w:eastAsia="宋体" w:hint="default"/>
          <w:b/>
          <w:bCs/>
          <w:spacing w:val="-5"/>
          <w:w w:val="99"/>
          <w:sz w:val="28"/>
          <w:szCs w:val="28"/>
        </w:rPr>
        <w:t>合伙）等发行股份购买资产并募集配套资金的批复》（证监许可</w:t>
      </w:r>
      <w:r>
        <w:rPr>
          <w:rFonts w:ascii="Times New Roman" w:hAnsi="Times New Roman" w:cs="Times New Roman" w:eastAsia="Times New Roman" w:hint="default"/>
          <w:b/>
          <w:bCs/>
          <w:spacing w:val="-5"/>
          <w:w w:val="99"/>
          <w:sz w:val="28"/>
          <w:szCs w:val="28"/>
        </w:rPr>
        <w:t>[2019]2938</w:t>
      </w:r>
      <w:r>
        <w:rPr>
          <w:rFonts w:ascii="Times New Roman" w:hAnsi="Times New Roman" w:cs="Times New Roman" w:eastAsia="Times New Roman" w:hint="default"/>
          <w:b/>
          <w:bCs/>
          <w:spacing w:val="10"/>
          <w:w w:val="99"/>
          <w:sz w:val="28"/>
          <w:szCs w:val="28"/>
        </w:rPr>
        <w:t> </w:t>
      </w:r>
      <w:r>
        <w:rPr>
          <w:rFonts w:ascii="宋体" w:hAnsi="宋体" w:cs="宋体" w:eastAsia="宋体" w:hint="default"/>
          <w:b/>
          <w:bCs/>
          <w:spacing w:val="-47"/>
          <w:w w:val="99"/>
          <w:sz w:val="28"/>
          <w:szCs w:val="28"/>
        </w:rPr>
        <w:t>号），</w:t>
      </w:r>
      <w:r>
        <w:rPr>
          <w:rFonts w:ascii="宋体" w:hAnsi="宋体" w:cs="宋体" w:eastAsia="宋体" w:hint="default"/>
          <w:b/>
          <w:bCs/>
          <w:spacing w:val="-138"/>
          <w:w w:val="99"/>
          <w:sz w:val="28"/>
          <w:szCs w:val="28"/>
        </w:rPr>
        <w:t> </w:t>
      </w:r>
      <w:r>
        <w:rPr>
          <w:rFonts w:ascii="宋体" w:hAnsi="宋体" w:cs="宋体" w:eastAsia="宋体" w:hint="default"/>
          <w:b/>
          <w:bCs/>
          <w:spacing w:val="-138"/>
          <w:w w:val="99"/>
          <w:sz w:val="28"/>
          <w:szCs w:val="28"/>
        </w:rPr>
      </w:r>
      <w:r>
        <w:rPr>
          <w:rFonts w:ascii="宋体" w:hAnsi="宋体" w:cs="宋体" w:eastAsia="宋体" w:hint="default"/>
          <w:b/>
          <w:bCs/>
          <w:spacing w:val="2"/>
          <w:sz w:val="28"/>
          <w:szCs w:val="28"/>
        </w:rPr>
        <w:t>核准公司本次发行股份购买资产并募集配套资金事项。截至本报告披露日，公</w:t>
      </w:r>
      <w:r>
        <w:rPr>
          <w:rFonts w:ascii="宋体" w:hAnsi="宋体" w:cs="宋体" w:eastAsia="宋体" w:hint="default"/>
          <w:b/>
          <w:bCs/>
          <w:w w:val="99"/>
          <w:sz w:val="28"/>
          <w:szCs w:val="28"/>
        </w:rPr>
        <w:t> </w:t>
      </w:r>
      <w:r>
        <w:rPr>
          <w:rFonts w:ascii="宋体" w:hAnsi="宋体" w:cs="宋体" w:eastAsia="宋体" w:hint="default"/>
          <w:b/>
          <w:bCs/>
          <w:sz w:val="28"/>
          <w:szCs w:val="28"/>
        </w:rPr>
        <w:t>司正在积极推进本次重组事项的相关工作。</w:t>
      </w:r>
      <w:r>
        <w:rPr>
          <w:rFonts w:ascii="宋体" w:hAnsi="宋体" w:cs="宋体" w:eastAsia="宋体" w:hint="default"/>
          <w:sz w:val="28"/>
          <w:szCs w:val="28"/>
        </w:rPr>
      </w:r>
    </w:p>
    <w:p>
      <w:pPr>
        <w:spacing w:line="408" w:lineRule="auto" w:before="174"/>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北京矽成的业务遍布全球，其产品研发和销售涉及较多的国家和地区，其</w:t>
      </w:r>
      <w:r>
        <w:rPr>
          <w:rFonts w:ascii="宋体" w:hAnsi="宋体" w:cs="宋体" w:eastAsia="宋体" w:hint="default"/>
          <w:b/>
          <w:bCs/>
          <w:w w:val="99"/>
          <w:sz w:val="28"/>
          <w:szCs w:val="28"/>
        </w:rPr>
        <w:t> </w:t>
      </w:r>
      <w:r>
        <w:rPr>
          <w:rFonts w:ascii="宋体" w:hAnsi="宋体" w:cs="宋体" w:eastAsia="宋体" w:hint="default"/>
          <w:b/>
          <w:bCs/>
          <w:spacing w:val="2"/>
          <w:sz w:val="28"/>
          <w:szCs w:val="28"/>
        </w:rPr>
        <w:t>经营活动中存在行业周期性风险、人才流失风险、供应商供货方面的风险、汇</w:t>
      </w:r>
      <w:r>
        <w:rPr>
          <w:rFonts w:ascii="宋体" w:hAnsi="宋体" w:cs="宋体" w:eastAsia="宋体" w:hint="default"/>
          <w:b/>
          <w:bCs/>
          <w:w w:val="99"/>
          <w:sz w:val="28"/>
          <w:szCs w:val="28"/>
        </w:rPr>
        <w:t> </w:t>
      </w:r>
      <w:r>
        <w:rPr>
          <w:rFonts w:ascii="宋体" w:hAnsi="宋体" w:cs="宋体" w:eastAsia="宋体" w:hint="default"/>
          <w:b/>
          <w:bCs/>
          <w:spacing w:val="2"/>
          <w:sz w:val="28"/>
          <w:szCs w:val="28"/>
        </w:rPr>
        <w:t>率变动带来的外汇风险、所在国政治经济环境和政策变化的风险、各个国家和</w:t>
      </w:r>
      <w:r>
        <w:rPr>
          <w:rFonts w:ascii="宋体" w:hAnsi="宋体" w:cs="宋体" w:eastAsia="宋体" w:hint="default"/>
          <w:b/>
          <w:bCs/>
          <w:w w:val="99"/>
          <w:sz w:val="28"/>
          <w:szCs w:val="28"/>
        </w:rPr>
        <w:t> </w:t>
      </w:r>
      <w:r>
        <w:rPr>
          <w:rFonts w:ascii="宋体" w:hAnsi="宋体" w:cs="宋体" w:eastAsia="宋体" w:hint="default"/>
          <w:b/>
          <w:bCs/>
          <w:spacing w:val="2"/>
          <w:sz w:val="28"/>
          <w:szCs w:val="28"/>
        </w:rPr>
        <w:t>地区的税务机构对管辖区内企业税收规则及其应用做出重大变更的可能性而导</w:t>
      </w:r>
      <w:r>
        <w:rPr>
          <w:rFonts w:ascii="宋体" w:hAnsi="宋体" w:cs="宋体" w:eastAsia="宋体" w:hint="default"/>
          <w:b/>
          <w:bCs/>
          <w:w w:val="99"/>
          <w:sz w:val="28"/>
          <w:szCs w:val="28"/>
        </w:rPr>
        <w:t> </w:t>
      </w:r>
      <w:r>
        <w:rPr>
          <w:rFonts w:ascii="宋体" w:hAnsi="宋体" w:cs="宋体" w:eastAsia="宋体" w:hint="default"/>
          <w:b/>
          <w:bCs/>
          <w:spacing w:val="2"/>
          <w:sz w:val="28"/>
          <w:szCs w:val="28"/>
        </w:rPr>
        <w:t>致的税务风险、国家产业政策发生负面变化的行业政策风险，以及近期发生的</w:t>
      </w:r>
      <w:r>
        <w:rPr>
          <w:rFonts w:ascii="宋体" w:hAnsi="宋体" w:cs="宋体" w:eastAsia="宋体" w:hint="default"/>
          <w:b/>
          <w:bCs/>
          <w:w w:val="99"/>
          <w:sz w:val="28"/>
          <w:szCs w:val="28"/>
        </w:rPr>
        <w:t> </w:t>
      </w:r>
      <w:r>
        <w:rPr>
          <w:rFonts w:ascii="宋体" w:hAnsi="宋体" w:cs="宋体" w:eastAsia="宋体" w:hint="default"/>
          <w:b/>
          <w:bCs/>
          <w:spacing w:val="2"/>
          <w:sz w:val="28"/>
          <w:szCs w:val="28"/>
        </w:rPr>
        <w:t>新冠疫情对公司经营带来不利影响的风险等，上述事项均可能导致北京矽成出</w:t>
      </w:r>
      <w:r>
        <w:rPr>
          <w:rFonts w:ascii="宋体" w:hAnsi="宋体" w:cs="宋体" w:eastAsia="宋体" w:hint="default"/>
          <w:b/>
          <w:bCs/>
          <w:w w:val="99"/>
          <w:sz w:val="28"/>
          <w:szCs w:val="28"/>
        </w:rPr>
        <w:t> </w:t>
      </w:r>
      <w:r>
        <w:rPr>
          <w:rFonts w:ascii="宋体" w:hAnsi="宋体" w:cs="宋体" w:eastAsia="宋体" w:hint="default"/>
          <w:b/>
          <w:bCs/>
          <w:sz w:val="28"/>
          <w:szCs w:val="28"/>
        </w:rPr>
        <w:t>现业绩承诺不能达标的风险。</w:t>
      </w:r>
      <w:r>
        <w:rPr>
          <w:rFonts w:ascii="宋体" w:hAnsi="宋体" w:cs="宋体" w:eastAsia="宋体" w:hint="default"/>
          <w:sz w:val="28"/>
          <w:szCs w:val="28"/>
        </w:rPr>
      </w:r>
    </w:p>
    <w:p>
      <w:pPr>
        <w:spacing w:line="408" w:lineRule="auto" w:before="160"/>
        <w:ind w:left="152" w:right="986" w:firstLine="562"/>
        <w:jc w:val="left"/>
        <w:rPr>
          <w:rFonts w:ascii="宋体" w:hAnsi="宋体" w:cs="宋体" w:eastAsia="宋体" w:hint="default"/>
          <w:sz w:val="28"/>
          <w:szCs w:val="28"/>
        </w:rPr>
      </w:pPr>
      <w:r>
        <w:rPr>
          <w:rFonts w:ascii="宋体" w:hAnsi="宋体" w:cs="宋体" w:eastAsia="宋体" w:hint="default"/>
          <w:b/>
          <w:bCs/>
          <w:spacing w:val="2"/>
          <w:sz w:val="28"/>
          <w:szCs w:val="28"/>
        </w:rPr>
        <w:t>就本次交易而言，受北京矽成经营情况、财务状况以及资本市场变化等因</w:t>
      </w:r>
      <w:r>
        <w:rPr>
          <w:rFonts w:ascii="宋体" w:hAnsi="宋体" w:cs="宋体" w:eastAsia="宋体" w:hint="default"/>
          <w:b/>
          <w:bCs/>
          <w:w w:val="99"/>
          <w:sz w:val="28"/>
          <w:szCs w:val="28"/>
        </w:rPr>
        <w:t> </w:t>
      </w:r>
      <w:r>
        <w:rPr>
          <w:rFonts w:ascii="宋体" w:hAnsi="宋体" w:cs="宋体" w:eastAsia="宋体" w:hint="default"/>
          <w:b/>
          <w:bCs/>
          <w:spacing w:val="2"/>
          <w:sz w:val="28"/>
          <w:szCs w:val="28"/>
        </w:rPr>
        <w:t>素影响，本次募集配套资金存在募集金额不足乃至募集失败的可能，从而存在</w:t>
      </w:r>
      <w:r>
        <w:rPr>
          <w:rFonts w:ascii="宋体" w:hAnsi="宋体" w:cs="宋体" w:eastAsia="宋体" w:hint="default"/>
          <w:b/>
          <w:bCs/>
          <w:w w:val="99"/>
          <w:sz w:val="28"/>
          <w:szCs w:val="28"/>
        </w:rPr>
        <w:t> </w:t>
      </w:r>
      <w:r>
        <w:rPr>
          <w:rFonts w:ascii="宋体" w:hAnsi="宋体" w:cs="宋体" w:eastAsia="宋体" w:hint="default"/>
          <w:b/>
          <w:bCs/>
          <w:spacing w:val="-2"/>
          <w:sz w:val="28"/>
          <w:szCs w:val="28"/>
        </w:rPr>
        <w:t>募集配套资金不足或失败带来的资金压力风险；本次重大资产重组事项完成后，</w:t>
      </w:r>
      <w:r>
        <w:rPr>
          <w:rFonts w:ascii="宋体" w:hAnsi="宋体" w:cs="宋体" w:eastAsia="宋体" w:hint="default"/>
          <w:b/>
          <w:bCs/>
          <w:spacing w:val="-133"/>
          <w:sz w:val="28"/>
          <w:szCs w:val="28"/>
        </w:rPr>
        <w:t> </w:t>
      </w:r>
      <w:r>
        <w:rPr>
          <w:rFonts w:ascii="宋体" w:hAnsi="宋体" w:cs="宋体" w:eastAsia="宋体" w:hint="default"/>
          <w:b/>
          <w:bCs/>
          <w:spacing w:val="-133"/>
          <w:sz w:val="28"/>
          <w:szCs w:val="28"/>
        </w:rPr>
      </w:r>
      <w:r>
        <w:rPr>
          <w:rFonts w:ascii="宋体" w:hAnsi="宋体" w:cs="宋体" w:eastAsia="宋体" w:hint="default"/>
          <w:b/>
          <w:bCs/>
          <w:spacing w:val="2"/>
          <w:sz w:val="28"/>
          <w:szCs w:val="28"/>
        </w:rPr>
        <w:t>公司能否对北京矽成实际经营实体实施有效整合，以及本次交易能否充分发挥</w:t>
      </w:r>
      <w:r>
        <w:rPr>
          <w:rFonts w:ascii="宋体" w:hAnsi="宋体" w:cs="宋体" w:eastAsia="宋体" w:hint="default"/>
          <w:b/>
          <w:bCs/>
          <w:w w:val="99"/>
          <w:sz w:val="28"/>
          <w:szCs w:val="28"/>
        </w:rPr>
        <w:t> </w:t>
      </w:r>
      <w:r>
        <w:rPr>
          <w:rFonts w:ascii="宋体" w:hAnsi="宋体" w:cs="宋体" w:eastAsia="宋体" w:hint="default"/>
          <w:b/>
          <w:bCs/>
          <w:spacing w:val="2"/>
          <w:sz w:val="28"/>
          <w:szCs w:val="28"/>
        </w:rPr>
        <w:t>协同效应均存在不确定性，进而可能影响本次收购的最终效果；同时，本次交</w:t>
      </w:r>
      <w:r>
        <w:rPr>
          <w:rFonts w:ascii="宋体" w:hAnsi="宋体" w:cs="宋体" w:eastAsia="宋体" w:hint="default"/>
          <w:b/>
          <w:bCs/>
          <w:w w:val="99"/>
          <w:sz w:val="28"/>
          <w:szCs w:val="28"/>
        </w:rPr>
        <w:t> </w:t>
      </w:r>
      <w:r>
        <w:rPr>
          <w:rFonts w:ascii="宋体" w:hAnsi="宋体" w:cs="宋体" w:eastAsia="宋体" w:hint="default"/>
          <w:b/>
          <w:bCs/>
          <w:spacing w:val="2"/>
          <w:sz w:val="28"/>
          <w:szCs w:val="28"/>
        </w:rPr>
        <w:t>易完成后将会在公司合并报表中形成较大金额的商誉，如果未来市场环境发生</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不利变化，北京矽成未来期间业绩状况未达预期，公司可能出现商誉减值风险，</w:t>
      </w:r>
      <w:r>
        <w:rPr>
          <w:rFonts w:ascii="宋体" w:hAnsi="宋体" w:cs="宋体" w:eastAsia="宋体" w:hint="default"/>
          <w:b/>
          <w:bCs/>
          <w:spacing w:val="-128"/>
          <w:sz w:val="28"/>
          <w:szCs w:val="28"/>
        </w:rPr>
        <w:t> </w:t>
      </w:r>
      <w:r>
        <w:rPr>
          <w:rFonts w:ascii="宋体" w:hAnsi="宋体" w:cs="宋体" w:eastAsia="宋体" w:hint="default"/>
          <w:b/>
          <w:bCs/>
          <w:spacing w:val="-128"/>
          <w:sz w:val="28"/>
          <w:szCs w:val="28"/>
        </w:rPr>
      </w:r>
      <w:r>
        <w:rPr>
          <w:rFonts w:ascii="宋体" w:hAnsi="宋体" w:cs="宋体" w:eastAsia="宋体" w:hint="default"/>
          <w:b/>
          <w:bCs/>
          <w:spacing w:val="2"/>
          <w:sz w:val="28"/>
          <w:szCs w:val="28"/>
        </w:rPr>
        <w:t>商誉减值将直接增加资产减值损失，商誉减值当年对公司的业绩将带来重大不</w:t>
      </w:r>
      <w:r>
        <w:rPr>
          <w:rFonts w:ascii="宋体" w:hAnsi="宋体" w:cs="宋体" w:eastAsia="宋体" w:hint="default"/>
          <w:b/>
          <w:bCs/>
          <w:w w:val="99"/>
          <w:sz w:val="28"/>
          <w:szCs w:val="28"/>
        </w:rPr>
        <w:t> </w:t>
      </w:r>
      <w:r>
        <w:rPr>
          <w:rFonts w:ascii="宋体" w:hAnsi="宋体" w:cs="宋体" w:eastAsia="宋体" w:hint="default"/>
          <w:b/>
          <w:bCs/>
          <w:spacing w:val="2"/>
          <w:sz w:val="28"/>
          <w:szCs w:val="28"/>
        </w:rPr>
        <w:t>利影响，亦可能导致公司存在较大的未弥补亏损；此外，并购完成后的经营活</w:t>
      </w:r>
      <w:r>
        <w:rPr>
          <w:rFonts w:ascii="宋体" w:hAnsi="宋体" w:cs="宋体" w:eastAsia="宋体" w:hint="default"/>
          <w:b/>
          <w:bCs/>
          <w:w w:val="99"/>
          <w:sz w:val="28"/>
          <w:szCs w:val="28"/>
        </w:rPr>
        <w:t> </w:t>
      </w:r>
      <w:r>
        <w:rPr>
          <w:rFonts w:ascii="宋体" w:hAnsi="宋体" w:cs="宋体" w:eastAsia="宋体" w:hint="default"/>
          <w:b/>
          <w:bCs/>
          <w:spacing w:val="2"/>
          <w:sz w:val="28"/>
          <w:szCs w:val="28"/>
        </w:rPr>
        <w:t>动中，如北京矽成出现业绩承诺不能达标的情形，还可能存在业绩补偿及减值</w:t>
      </w:r>
      <w:r>
        <w:rPr>
          <w:rFonts w:ascii="宋体" w:hAnsi="宋体" w:cs="宋体" w:eastAsia="宋体" w:hint="default"/>
          <w:spacing w:val="2"/>
          <w:sz w:val="28"/>
          <w:szCs w:val="28"/>
        </w:rPr>
      </w:r>
    </w:p>
    <w:p>
      <w:pPr>
        <w:spacing w:after="0" w:line="408" w:lineRule="auto"/>
        <w:jc w:val="left"/>
        <w:rPr>
          <w:rFonts w:ascii="宋体" w:hAnsi="宋体" w:cs="宋体" w:eastAsia="宋体" w:hint="default"/>
          <w:sz w:val="28"/>
          <w:szCs w:val="28"/>
        </w:rPr>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p>
      <w:pPr>
        <w:spacing w:line="475" w:lineRule="auto" w:before="14"/>
        <w:ind w:left="714" w:right="7943" w:hanging="563"/>
        <w:jc w:val="left"/>
        <w:rPr>
          <w:rFonts w:ascii="宋体" w:hAnsi="宋体" w:cs="宋体" w:eastAsia="宋体" w:hint="default"/>
          <w:sz w:val="28"/>
          <w:szCs w:val="28"/>
        </w:rPr>
      </w:pPr>
      <w:r>
        <w:rPr>
          <w:rFonts w:ascii="宋体" w:hAnsi="宋体" w:cs="宋体" w:eastAsia="宋体" w:hint="default"/>
          <w:b/>
          <w:bCs/>
          <w:sz w:val="28"/>
          <w:szCs w:val="28"/>
        </w:rPr>
        <w:t>补偿不足的风险等。</w:t>
      </w:r>
      <w:r>
        <w:rPr>
          <w:rFonts w:ascii="宋体" w:hAnsi="宋体" w:cs="宋体" w:eastAsia="宋体" w:hint="default"/>
          <w:b/>
          <w:bCs/>
          <w:w w:val="99"/>
          <w:sz w:val="28"/>
          <w:szCs w:val="28"/>
        </w:rPr>
        <w:t> </w:t>
      </w:r>
      <w:r>
        <w:rPr>
          <w:rFonts w:ascii="宋体" w:hAnsi="宋体" w:cs="宋体" w:eastAsia="宋体" w:hint="default"/>
          <w:b/>
          <w:bCs/>
          <w:sz w:val="28"/>
          <w:szCs w:val="28"/>
        </w:rPr>
        <w:t>七、经营管理风险</w:t>
      </w:r>
      <w:r>
        <w:rPr>
          <w:rFonts w:ascii="宋体" w:hAnsi="宋体" w:cs="宋体" w:eastAsia="宋体" w:hint="default"/>
          <w:sz w:val="28"/>
          <w:szCs w:val="28"/>
        </w:rPr>
      </w:r>
    </w:p>
    <w:p>
      <w:pPr>
        <w:spacing w:line="408" w:lineRule="auto" w:before="81"/>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公司对北京矽成的收购工作完成后，北京矽成将成为公司的全资子公司，</w:t>
      </w:r>
      <w:r>
        <w:rPr>
          <w:rFonts w:ascii="宋体" w:hAnsi="宋体" w:cs="宋体" w:eastAsia="宋体" w:hint="default"/>
          <w:b/>
          <w:bCs/>
          <w:w w:val="99"/>
          <w:sz w:val="28"/>
          <w:szCs w:val="28"/>
        </w:rPr>
        <w:t> </w:t>
      </w:r>
      <w:r>
        <w:rPr>
          <w:rFonts w:ascii="宋体" w:hAnsi="宋体" w:cs="宋体" w:eastAsia="宋体" w:hint="default"/>
          <w:b/>
          <w:bCs/>
          <w:spacing w:val="2"/>
          <w:sz w:val="28"/>
          <w:szCs w:val="28"/>
        </w:rPr>
        <w:t>纳入公司的管理范畴。北京矽成的业务和人员遍布全球，在多个国家和地区设</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有分支机构，其规模和人员数量均超过公司，如公司不能对包括北京矽成在内</w:t>
      </w:r>
      <w:r>
        <w:rPr>
          <w:rFonts w:ascii="宋体" w:hAnsi="宋体" w:cs="宋体" w:eastAsia="宋体" w:hint="default"/>
          <w:b/>
          <w:bCs/>
          <w:w w:val="99"/>
          <w:sz w:val="28"/>
          <w:szCs w:val="28"/>
        </w:rPr>
        <w:t> </w:t>
      </w:r>
      <w:r>
        <w:rPr>
          <w:rFonts w:ascii="宋体" w:hAnsi="宋体" w:cs="宋体" w:eastAsia="宋体" w:hint="default"/>
          <w:b/>
          <w:bCs/>
          <w:spacing w:val="2"/>
          <w:sz w:val="28"/>
          <w:szCs w:val="28"/>
        </w:rPr>
        <w:t>的子公司进行有效的治理，将可能出现对子公司管理方面的风险，从而可能对</w:t>
      </w:r>
      <w:r>
        <w:rPr>
          <w:rFonts w:ascii="宋体" w:hAnsi="宋体" w:cs="宋体" w:eastAsia="宋体" w:hint="default"/>
          <w:b/>
          <w:bCs/>
          <w:w w:val="99"/>
          <w:sz w:val="28"/>
          <w:szCs w:val="28"/>
        </w:rPr>
        <w:t> </w:t>
      </w:r>
      <w:r>
        <w:rPr>
          <w:rFonts w:ascii="宋体" w:hAnsi="宋体" w:cs="宋体" w:eastAsia="宋体" w:hint="default"/>
          <w:b/>
          <w:bCs/>
          <w:sz w:val="28"/>
          <w:szCs w:val="28"/>
        </w:rPr>
        <w:t>公司的经营管理带来重大不利影响。</w:t>
      </w:r>
      <w:r>
        <w:rPr>
          <w:rFonts w:ascii="宋体" w:hAnsi="宋体" w:cs="宋体" w:eastAsia="宋体" w:hint="default"/>
          <w:sz w:val="28"/>
          <w:szCs w:val="28"/>
        </w:rPr>
      </w:r>
    </w:p>
    <w:p>
      <w:pPr>
        <w:spacing w:line="475" w:lineRule="auto" w:before="162"/>
        <w:ind w:left="714" w:right="982" w:firstLine="0"/>
        <w:jc w:val="left"/>
        <w:rPr>
          <w:rFonts w:ascii="宋体" w:hAnsi="宋体" w:cs="宋体" w:eastAsia="宋体" w:hint="default"/>
          <w:sz w:val="28"/>
          <w:szCs w:val="28"/>
        </w:rPr>
      </w:pPr>
      <w:r>
        <w:rPr>
          <w:rFonts w:ascii="宋体" w:hAnsi="宋体" w:cs="宋体" w:eastAsia="宋体" w:hint="default"/>
          <w:b/>
          <w:bCs/>
          <w:sz w:val="28"/>
          <w:szCs w:val="28"/>
        </w:rPr>
        <w:t>八、投资收购风险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根据公司的战略规划，公司将围绕产业链不断寻求产业投资与并购的机会，</w:t>
      </w:r>
      <w:r>
        <w:rPr>
          <w:rFonts w:ascii="宋体" w:hAnsi="宋体" w:cs="宋体" w:eastAsia="宋体" w:hint="default"/>
          <w:spacing w:val="-2"/>
          <w:sz w:val="28"/>
          <w:szCs w:val="28"/>
        </w:rPr>
      </w:r>
    </w:p>
    <w:p>
      <w:pPr>
        <w:spacing w:line="350" w:lineRule="exact" w:before="0"/>
        <w:ind w:left="152" w:right="0" w:firstLine="0"/>
        <w:jc w:val="both"/>
        <w:rPr>
          <w:rFonts w:ascii="宋体" w:hAnsi="宋体" w:cs="宋体" w:eastAsia="宋体" w:hint="default"/>
          <w:sz w:val="28"/>
          <w:szCs w:val="28"/>
        </w:rPr>
      </w:pPr>
      <w:r>
        <w:rPr>
          <w:rFonts w:ascii="宋体" w:hAnsi="宋体" w:cs="宋体" w:eastAsia="宋体" w:hint="default"/>
          <w:b/>
          <w:bCs/>
          <w:sz w:val="28"/>
          <w:szCs w:val="28"/>
        </w:rPr>
        <w:t>并加强对投资、收购标的的前期调研和后期管理，但由于产业发展、市场变化、</w:t>
      </w:r>
      <w:r>
        <w:rPr>
          <w:rFonts w:ascii="宋体" w:hAnsi="宋体" w:cs="宋体" w:eastAsia="宋体" w:hint="default"/>
          <w:sz w:val="28"/>
          <w:szCs w:val="28"/>
        </w:rPr>
      </w:r>
    </w:p>
    <w:p>
      <w:pPr>
        <w:spacing w:line="240" w:lineRule="auto" w:before="9"/>
        <w:rPr>
          <w:rFonts w:ascii="宋体" w:hAnsi="宋体" w:cs="宋体" w:eastAsia="宋体" w:hint="default"/>
          <w:b/>
          <w:bCs/>
          <w:sz w:val="19"/>
          <w:szCs w:val="19"/>
        </w:rPr>
      </w:pPr>
    </w:p>
    <w:p>
      <w:pPr>
        <w:spacing w:line="408" w:lineRule="auto" w:before="0"/>
        <w:ind w:left="152" w:right="1141" w:firstLine="0"/>
        <w:jc w:val="both"/>
        <w:rPr>
          <w:rFonts w:ascii="宋体" w:hAnsi="宋体" w:cs="宋体" w:eastAsia="宋体" w:hint="default"/>
          <w:sz w:val="28"/>
          <w:szCs w:val="28"/>
        </w:rPr>
      </w:pPr>
      <w:r>
        <w:rPr>
          <w:rFonts w:ascii="宋体" w:hAnsi="宋体" w:cs="宋体" w:eastAsia="宋体" w:hint="default"/>
          <w:b/>
          <w:bCs/>
          <w:spacing w:val="2"/>
          <w:sz w:val="28"/>
          <w:szCs w:val="28"/>
        </w:rPr>
        <w:t>标的企业经营状况等方面都可能存在一定的不确定性，可能会出现投资、并购</w:t>
      </w:r>
      <w:r>
        <w:rPr>
          <w:rFonts w:ascii="宋体" w:hAnsi="宋体" w:cs="宋体" w:eastAsia="宋体" w:hint="default"/>
          <w:b/>
          <w:bCs/>
          <w:w w:val="99"/>
          <w:sz w:val="28"/>
          <w:szCs w:val="28"/>
        </w:rPr>
        <w:t> </w:t>
      </w:r>
      <w:r>
        <w:rPr>
          <w:rFonts w:ascii="宋体" w:hAnsi="宋体" w:cs="宋体" w:eastAsia="宋体" w:hint="default"/>
          <w:b/>
          <w:bCs/>
          <w:sz w:val="28"/>
          <w:szCs w:val="28"/>
        </w:rPr>
        <w:t>不成功的风险，从而影响公司的经营业绩。</w:t>
      </w:r>
      <w:r>
        <w:rPr>
          <w:rFonts w:ascii="宋体" w:hAnsi="宋体" w:cs="宋体" w:eastAsia="宋体" w:hint="default"/>
          <w:sz w:val="28"/>
          <w:szCs w:val="28"/>
        </w:rPr>
      </w:r>
    </w:p>
    <w:p>
      <w:pPr>
        <w:spacing w:line="475" w:lineRule="auto" w:before="160"/>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九、募投项目实施的风险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公司募集资金投资项目是根据市场发展的需要，围绕公司的主营业务展开</w:t>
      </w:r>
      <w:r>
        <w:rPr>
          <w:rFonts w:ascii="宋体" w:hAnsi="宋体" w:cs="宋体" w:eastAsia="宋体" w:hint="default"/>
          <w:spacing w:val="2"/>
          <w:sz w:val="28"/>
          <w:szCs w:val="28"/>
        </w:rPr>
      </w:r>
    </w:p>
    <w:p>
      <w:pPr>
        <w:spacing w:line="350" w:lineRule="exact" w:before="0"/>
        <w:ind w:left="152" w:right="0" w:firstLine="0"/>
        <w:jc w:val="both"/>
        <w:rPr>
          <w:rFonts w:ascii="宋体" w:hAnsi="宋体" w:cs="宋体" w:eastAsia="宋体" w:hint="default"/>
          <w:sz w:val="28"/>
          <w:szCs w:val="28"/>
        </w:rPr>
      </w:pPr>
      <w:r>
        <w:rPr>
          <w:rFonts w:ascii="宋体" w:hAnsi="宋体" w:cs="宋体" w:eastAsia="宋体" w:hint="default"/>
          <w:b/>
          <w:bCs/>
          <w:spacing w:val="2"/>
          <w:sz w:val="28"/>
          <w:szCs w:val="28"/>
        </w:rPr>
        <w:t>的，符合国家产业政策，并将进一步提高公司的研发实力和产品竞争力，有助</w:t>
      </w:r>
      <w:r>
        <w:rPr>
          <w:rFonts w:ascii="宋体" w:hAnsi="宋体" w:cs="宋体" w:eastAsia="宋体" w:hint="default"/>
          <w:spacing w:val="2"/>
          <w:sz w:val="28"/>
          <w:szCs w:val="28"/>
        </w:rPr>
      </w:r>
    </w:p>
    <w:p>
      <w:pPr>
        <w:spacing w:line="240" w:lineRule="auto" w:before="10"/>
        <w:rPr>
          <w:rFonts w:ascii="宋体" w:hAnsi="宋体" w:cs="宋体" w:eastAsia="宋体" w:hint="default"/>
          <w:b/>
          <w:bCs/>
          <w:sz w:val="19"/>
          <w:szCs w:val="19"/>
        </w:rPr>
      </w:pPr>
    </w:p>
    <w:p>
      <w:pPr>
        <w:spacing w:line="408" w:lineRule="auto" w:before="0"/>
        <w:ind w:left="152" w:right="1137" w:firstLine="0"/>
        <w:jc w:val="both"/>
        <w:rPr>
          <w:rFonts w:ascii="宋体" w:hAnsi="宋体" w:cs="宋体" w:eastAsia="宋体" w:hint="default"/>
          <w:sz w:val="28"/>
          <w:szCs w:val="28"/>
        </w:rPr>
      </w:pPr>
      <w:r>
        <w:rPr>
          <w:rFonts w:ascii="宋体" w:hAnsi="宋体" w:cs="宋体" w:eastAsia="宋体" w:hint="default"/>
          <w:b/>
          <w:bCs/>
          <w:spacing w:val="2"/>
          <w:sz w:val="28"/>
          <w:szCs w:val="28"/>
        </w:rPr>
        <w:t>于公司进一步拓宽发展空间。但由于在芯片的研发和市场推广过程中，面临着</w:t>
      </w:r>
      <w:r>
        <w:rPr>
          <w:rFonts w:ascii="宋体" w:hAnsi="宋体" w:cs="宋体" w:eastAsia="宋体" w:hint="default"/>
          <w:b/>
          <w:bCs/>
          <w:w w:val="99"/>
          <w:sz w:val="28"/>
          <w:szCs w:val="28"/>
        </w:rPr>
        <w:t> </w:t>
      </w:r>
      <w:r>
        <w:rPr>
          <w:rFonts w:ascii="宋体" w:hAnsi="宋体" w:cs="宋体" w:eastAsia="宋体" w:hint="default"/>
          <w:b/>
          <w:bCs/>
          <w:spacing w:val="2"/>
          <w:sz w:val="28"/>
          <w:szCs w:val="28"/>
        </w:rPr>
        <w:t>技术替代、政策环境变化、用户需求及市场供求关系改变、产业格局变化等不</w:t>
      </w:r>
      <w:r>
        <w:rPr>
          <w:rFonts w:ascii="宋体" w:hAnsi="宋体" w:cs="宋体" w:eastAsia="宋体" w:hint="default"/>
          <w:b/>
          <w:bCs/>
          <w:w w:val="99"/>
          <w:sz w:val="28"/>
          <w:szCs w:val="28"/>
        </w:rPr>
        <w:t> </w:t>
      </w:r>
      <w:r>
        <w:rPr>
          <w:rFonts w:ascii="宋体" w:hAnsi="宋体" w:cs="宋体" w:eastAsia="宋体" w:hint="default"/>
          <w:b/>
          <w:bCs/>
          <w:spacing w:val="2"/>
          <w:sz w:val="28"/>
          <w:szCs w:val="28"/>
        </w:rPr>
        <w:t>确定因素。如市场发生重大变化，或公司推出的新产品无法满足市场需求，将</w:t>
      </w:r>
      <w:r>
        <w:rPr>
          <w:rFonts w:ascii="宋体" w:hAnsi="宋体" w:cs="宋体" w:eastAsia="宋体" w:hint="default"/>
          <w:b/>
          <w:bCs/>
          <w:w w:val="99"/>
          <w:sz w:val="28"/>
          <w:szCs w:val="28"/>
        </w:rPr>
        <w:t> </w:t>
      </w:r>
      <w:r>
        <w:rPr>
          <w:rFonts w:ascii="宋体" w:hAnsi="宋体" w:cs="宋体" w:eastAsia="宋体" w:hint="default"/>
          <w:b/>
          <w:bCs/>
          <w:sz w:val="28"/>
          <w:szCs w:val="28"/>
        </w:rPr>
        <w:t>可能影响募投项目的效益实现。</w:t>
      </w:r>
      <w:r>
        <w:rPr>
          <w:rFonts w:ascii="宋体" w:hAnsi="宋体" w:cs="宋体" w:eastAsia="宋体" w:hint="default"/>
          <w:sz w:val="28"/>
          <w:szCs w:val="28"/>
        </w:rPr>
      </w:r>
    </w:p>
    <w:p>
      <w:pPr>
        <w:spacing w:before="162"/>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十、新冠疫情对公司经营造成不利影响的风险</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before="0"/>
        <w:ind w:left="714" w:right="986" w:firstLine="0"/>
        <w:jc w:val="left"/>
        <w:rPr>
          <w:rFonts w:ascii="宋体" w:hAnsi="宋体" w:cs="宋体" w:eastAsia="宋体" w:hint="default"/>
          <w:sz w:val="28"/>
          <w:szCs w:val="28"/>
        </w:rPr>
      </w:pPr>
      <w:r>
        <w:rPr>
          <w:rFonts w:ascii="宋体" w:hAnsi="宋体" w:cs="宋体" w:eastAsia="宋体" w:hint="default"/>
          <w:b/>
          <w:bCs/>
          <w:sz w:val="28"/>
          <w:szCs w:val="28"/>
        </w:rPr>
        <w:t>在</w:t>
      </w:r>
      <w:r>
        <w:rPr>
          <w:rFonts w:ascii="宋体" w:hAnsi="宋体" w:cs="宋体" w:eastAsia="宋体" w:hint="default"/>
          <w:b/>
          <w:bCs/>
          <w:spacing w:val="-102"/>
          <w:sz w:val="28"/>
          <w:szCs w:val="28"/>
        </w:rPr>
        <w:t> </w:t>
      </w:r>
      <w:r>
        <w:rPr>
          <w:rFonts w:ascii="Times New Roman" w:hAnsi="Times New Roman" w:cs="Times New Roman" w:eastAsia="Times New Roman" w:hint="default"/>
          <w:b/>
          <w:bCs/>
          <w:sz w:val="28"/>
          <w:szCs w:val="28"/>
        </w:rPr>
        <w:t>2020</w:t>
      </w:r>
      <w:r>
        <w:rPr>
          <w:rFonts w:ascii="Times New Roman" w:hAnsi="Times New Roman" w:cs="Times New Roman" w:eastAsia="Times New Roman" w:hint="default"/>
          <w:b/>
          <w:bCs/>
          <w:spacing w:val="-32"/>
          <w:sz w:val="28"/>
          <w:szCs w:val="28"/>
        </w:rPr>
        <w:t> </w:t>
      </w:r>
      <w:r>
        <w:rPr>
          <w:rFonts w:ascii="宋体" w:hAnsi="宋体" w:cs="宋体" w:eastAsia="宋体" w:hint="default"/>
          <w:b/>
          <w:bCs/>
          <w:sz w:val="28"/>
          <w:szCs w:val="28"/>
        </w:rPr>
        <w:t>年第一季度爆发的新冠肺炎疫情影响下，公司春节后开工时间有所</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p>
      <w:pPr>
        <w:spacing w:line="408" w:lineRule="auto" w:before="14"/>
        <w:ind w:left="152" w:right="986" w:firstLine="0"/>
        <w:jc w:val="left"/>
        <w:rPr>
          <w:rFonts w:ascii="宋体" w:hAnsi="宋体" w:cs="宋体" w:eastAsia="宋体" w:hint="default"/>
          <w:sz w:val="28"/>
          <w:szCs w:val="28"/>
        </w:rPr>
      </w:pPr>
      <w:r>
        <w:rPr>
          <w:rFonts w:ascii="宋体" w:hAnsi="宋体" w:cs="宋体" w:eastAsia="宋体" w:hint="default"/>
          <w:b/>
          <w:bCs/>
          <w:spacing w:val="-2"/>
          <w:sz w:val="28"/>
          <w:szCs w:val="28"/>
        </w:rPr>
        <w:t>推迟，给公司的产品研发、市场推广等各项工作造成了不同程度的影响；同时，</w:t>
      </w:r>
      <w:r>
        <w:rPr>
          <w:rFonts w:ascii="宋体" w:hAnsi="宋体" w:cs="宋体" w:eastAsia="宋体" w:hint="default"/>
          <w:b/>
          <w:bCs/>
          <w:spacing w:val="-132"/>
          <w:sz w:val="28"/>
          <w:szCs w:val="28"/>
        </w:rPr>
        <w:t> </w:t>
      </w:r>
      <w:r>
        <w:rPr>
          <w:rFonts w:ascii="宋体" w:hAnsi="宋体" w:cs="宋体" w:eastAsia="宋体" w:hint="default"/>
          <w:b/>
          <w:bCs/>
          <w:spacing w:val="-132"/>
          <w:sz w:val="28"/>
          <w:szCs w:val="28"/>
        </w:rPr>
      </w:r>
      <w:r>
        <w:rPr>
          <w:rFonts w:ascii="宋体" w:hAnsi="宋体" w:cs="宋体" w:eastAsia="宋体" w:hint="default"/>
          <w:b/>
          <w:bCs/>
          <w:spacing w:val="-2"/>
          <w:sz w:val="28"/>
          <w:szCs w:val="28"/>
        </w:rPr>
        <w:t>疫情也导致部分客户无法如期开工安排生产，直接影响了其对芯片的采购需求；</w:t>
      </w:r>
      <w:r>
        <w:rPr>
          <w:rFonts w:ascii="宋体" w:hAnsi="宋体" w:cs="宋体" w:eastAsia="宋体" w:hint="default"/>
          <w:b/>
          <w:bCs/>
          <w:spacing w:val="-133"/>
          <w:sz w:val="28"/>
          <w:szCs w:val="28"/>
        </w:rPr>
        <w:t> </w:t>
      </w:r>
      <w:r>
        <w:rPr>
          <w:rFonts w:ascii="宋体" w:hAnsi="宋体" w:cs="宋体" w:eastAsia="宋体" w:hint="default"/>
          <w:b/>
          <w:bCs/>
          <w:spacing w:val="-133"/>
          <w:sz w:val="28"/>
          <w:szCs w:val="28"/>
        </w:rPr>
      </w:r>
      <w:r>
        <w:rPr>
          <w:rFonts w:ascii="宋体" w:hAnsi="宋体" w:cs="宋体" w:eastAsia="宋体" w:hint="default"/>
          <w:b/>
          <w:bCs/>
          <w:spacing w:val="2"/>
          <w:sz w:val="28"/>
          <w:szCs w:val="28"/>
        </w:rPr>
        <w:t>此外，如未来疫情持续无法得到有效控制或消除，不确定是否会给产品生产造</w:t>
      </w:r>
      <w:r>
        <w:rPr>
          <w:rFonts w:ascii="宋体" w:hAnsi="宋体" w:cs="宋体" w:eastAsia="宋体" w:hint="default"/>
          <w:b/>
          <w:bCs/>
          <w:spacing w:val="-137"/>
          <w:sz w:val="28"/>
          <w:szCs w:val="28"/>
        </w:rPr>
        <w:t> </w:t>
      </w:r>
      <w:r>
        <w:rPr>
          <w:rFonts w:ascii="宋体" w:hAnsi="宋体" w:cs="宋体" w:eastAsia="宋体" w:hint="default"/>
          <w:b/>
          <w:bCs/>
          <w:spacing w:val="-137"/>
          <w:sz w:val="28"/>
          <w:szCs w:val="28"/>
        </w:rPr>
      </w:r>
      <w:r>
        <w:rPr>
          <w:rFonts w:ascii="宋体" w:hAnsi="宋体" w:cs="宋体" w:eastAsia="宋体" w:hint="default"/>
          <w:b/>
          <w:bCs/>
          <w:sz w:val="28"/>
          <w:szCs w:val="28"/>
        </w:rPr>
        <w:t>成不利影响。上述因素均可能对公司</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2020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年的经营带来风险。</w:t>
      </w:r>
      <w:r>
        <w:rPr>
          <w:rFonts w:ascii="宋体" w:hAnsi="宋体" w:cs="宋体" w:eastAsia="宋体" w:hint="default"/>
          <w:sz w:val="28"/>
          <w:szCs w:val="28"/>
        </w:rPr>
      </w:r>
    </w:p>
    <w:p>
      <w:pPr>
        <w:spacing w:before="120"/>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十一、业绩依赖税收优惠和政府补贴的风险</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before="0"/>
        <w:ind w:left="714" w:right="986" w:firstLine="0"/>
        <w:jc w:val="left"/>
        <w:rPr>
          <w:rFonts w:ascii="宋体" w:hAnsi="宋体" w:cs="宋体" w:eastAsia="宋体" w:hint="default"/>
          <w:sz w:val="28"/>
          <w:szCs w:val="28"/>
        </w:rPr>
      </w:pPr>
      <w:r>
        <w:rPr>
          <w:rFonts w:ascii="宋体" w:hAnsi="宋体" w:cs="宋体" w:eastAsia="宋体" w:hint="default"/>
          <w:b/>
          <w:bCs/>
          <w:sz w:val="28"/>
          <w:szCs w:val="28"/>
        </w:rPr>
        <w:t>报告期内，公司实现净利润</w:t>
      </w:r>
      <w:r>
        <w:rPr>
          <w:rFonts w:ascii="宋体" w:hAnsi="宋体" w:cs="宋体" w:eastAsia="宋体" w:hint="default"/>
          <w:b/>
          <w:bCs/>
          <w:spacing w:val="-64"/>
          <w:sz w:val="28"/>
          <w:szCs w:val="28"/>
        </w:rPr>
        <w:t> </w:t>
      </w:r>
      <w:r>
        <w:rPr>
          <w:rFonts w:ascii="Times New Roman" w:hAnsi="Times New Roman" w:cs="Times New Roman" w:eastAsia="Times New Roman" w:hint="default"/>
          <w:b/>
          <w:bCs/>
          <w:sz w:val="28"/>
          <w:szCs w:val="28"/>
        </w:rPr>
        <w:t>58,659,727.20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元，其中税收优惠及政府补贴合</w:t>
      </w:r>
      <w:r>
        <w:rPr>
          <w:rFonts w:ascii="宋体" w:hAnsi="宋体" w:cs="宋体" w:eastAsia="宋体" w:hint="default"/>
          <w:sz w:val="28"/>
          <w:szCs w:val="28"/>
        </w:rPr>
      </w:r>
    </w:p>
    <w:p>
      <w:pPr>
        <w:spacing w:line="386" w:lineRule="auto" w:before="236"/>
        <w:ind w:left="152" w:right="1065" w:firstLine="0"/>
        <w:jc w:val="left"/>
        <w:rPr>
          <w:rFonts w:ascii="宋体" w:hAnsi="宋体" w:cs="宋体" w:eastAsia="宋体" w:hint="default"/>
          <w:sz w:val="28"/>
          <w:szCs w:val="28"/>
        </w:rPr>
      </w:pPr>
      <w:r>
        <w:rPr>
          <w:rFonts w:ascii="宋体" w:hAnsi="宋体" w:cs="宋体" w:eastAsia="宋体" w:hint="default"/>
          <w:b/>
          <w:bCs/>
          <w:sz w:val="28"/>
          <w:szCs w:val="28"/>
        </w:rPr>
        <w:t>计为</w:t>
      </w:r>
      <w:r>
        <w:rPr>
          <w:rFonts w:ascii="宋体" w:hAnsi="宋体" w:cs="宋体" w:eastAsia="宋体" w:hint="default"/>
          <w:b/>
          <w:bCs/>
          <w:spacing w:val="-66"/>
          <w:sz w:val="28"/>
          <w:szCs w:val="28"/>
        </w:rPr>
        <w:t> </w:t>
      </w:r>
      <w:r>
        <w:rPr>
          <w:rFonts w:ascii="Times New Roman" w:hAnsi="Times New Roman" w:cs="Times New Roman" w:eastAsia="Times New Roman" w:hint="default"/>
          <w:b/>
          <w:bCs/>
          <w:sz w:val="28"/>
          <w:szCs w:val="28"/>
        </w:rPr>
        <w:t>39,678,235.78</w:t>
      </w:r>
      <w:r>
        <w:rPr>
          <w:rFonts w:ascii="Times New Roman" w:hAnsi="Times New Roman" w:cs="Times New Roman" w:eastAsia="Times New Roman" w:hint="default"/>
          <w:b/>
          <w:bCs/>
          <w:spacing w:val="5"/>
          <w:sz w:val="28"/>
          <w:szCs w:val="28"/>
        </w:rPr>
        <w:t> </w:t>
      </w:r>
      <w:r>
        <w:rPr>
          <w:rFonts w:ascii="宋体" w:hAnsi="宋体" w:cs="宋体" w:eastAsia="宋体" w:hint="default"/>
          <w:b/>
          <w:bCs/>
          <w:sz w:val="28"/>
          <w:szCs w:val="28"/>
        </w:rPr>
        <w:t>元，享受税收优惠及政府补贴合计金额占当期利润总额绝对</w:t>
      </w:r>
      <w:r>
        <w:rPr>
          <w:rFonts w:ascii="宋体" w:hAnsi="宋体" w:cs="宋体" w:eastAsia="宋体" w:hint="default"/>
          <w:b/>
          <w:bCs/>
          <w:w w:val="99"/>
          <w:sz w:val="28"/>
          <w:szCs w:val="28"/>
        </w:rPr>
        <w:t> </w:t>
      </w:r>
      <w:r>
        <w:rPr>
          <w:rFonts w:ascii="宋体" w:hAnsi="宋体" w:cs="宋体" w:eastAsia="宋体" w:hint="default"/>
          <w:b/>
          <w:bCs/>
          <w:sz w:val="28"/>
          <w:szCs w:val="28"/>
        </w:rPr>
        <w:t>值为</w:t>
      </w:r>
      <w:r>
        <w:rPr>
          <w:rFonts w:ascii="宋体" w:hAnsi="宋体" w:cs="宋体" w:eastAsia="宋体" w:hint="default"/>
          <w:b/>
          <w:bCs/>
          <w:spacing w:val="-76"/>
          <w:sz w:val="28"/>
          <w:szCs w:val="28"/>
        </w:rPr>
        <w:t> </w:t>
      </w:r>
      <w:r>
        <w:rPr>
          <w:rFonts w:ascii="Times New Roman" w:hAnsi="Times New Roman" w:cs="Times New Roman" w:eastAsia="Times New Roman" w:hint="default"/>
          <w:b/>
          <w:bCs/>
          <w:sz w:val="28"/>
          <w:szCs w:val="28"/>
        </w:rPr>
        <w:t>67.64%</w:t>
      </w:r>
      <w:r>
        <w:rPr>
          <w:rFonts w:ascii="宋体" w:hAnsi="宋体" w:cs="宋体" w:eastAsia="宋体" w:hint="default"/>
          <w:b/>
          <w:bCs/>
          <w:sz w:val="28"/>
          <w:szCs w:val="28"/>
        </w:rPr>
        <w:t>，占比较大，公司存在业绩严重依赖税收优惠和政府补贴的风险。</w:t>
      </w:r>
      <w:r>
        <w:rPr>
          <w:rFonts w:ascii="宋体" w:hAnsi="宋体" w:cs="宋体" w:eastAsia="宋体" w:hint="default"/>
          <w:sz w:val="28"/>
          <w:szCs w:val="28"/>
        </w:rPr>
      </w:r>
    </w:p>
    <w:p>
      <w:pPr>
        <w:spacing w:before="148"/>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5"/>
        <w:ind w:left="406" w:right="138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2">
            <w:r>
              <w:rPr/>
              <w:t>第三节公司业务概要</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第四节经营情况讨论与分析</w:t>
            </w:r>
            <w:r>
              <w:rPr>
                <w:rFonts w:ascii="Times New Roman" w:hAnsi="Times New Roman" w:cs="Times New Roman" w:eastAsia="Times New Roman" w:hint="default"/>
              </w:rPr>
              <w:tab/>
              <w:t>17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第五节重要事项</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5">
            <w:r>
              <w:rPr/>
              <w:t>第六节股份变动及股东情况</w:t>
            </w:r>
            <w:r>
              <w:rPr>
                <w:rFonts w:ascii="Times New Roman" w:hAnsi="Times New Roman" w:cs="Times New Roman" w:eastAsia="Times New Roman" w:hint="default"/>
              </w:rPr>
              <w:tab/>
              <w:t>91</w:t>
            </w:r>
            <w:r>
              <w:rPr>
                <w:rFonts w:ascii="Times New Roman" w:hAnsi="Times New Roman" w:cs="Times New Roman" w:eastAsia="Times New Roman" w:hint="default"/>
                <w:b w:val="0"/>
                <w:bCs w:val="0"/>
              </w:rPr>
            </w:r>
          </w:hyperlink>
        </w:p>
        <w:p>
          <w:pPr>
            <w:pStyle w:val="TOC1"/>
            <w:tabs>
              <w:tab w:pos="9783" w:val="right" w:leader="dot"/>
            </w:tabs>
            <w:spacing w:line="240" w:lineRule="auto" w:before="177"/>
            <w:ind w:right="0"/>
            <w:jc w:val="left"/>
            <w:rPr>
              <w:rFonts w:ascii="Times New Roman" w:hAnsi="Times New Roman" w:cs="Times New Roman" w:eastAsia="Times New Roman" w:hint="default"/>
              <w:b w:val="0"/>
              <w:bCs w:val="0"/>
            </w:rPr>
          </w:pPr>
          <w:hyperlink w:history="true" w:anchor="_bookmark6">
            <w:r>
              <w:rPr/>
              <w:t>第七节优先股相关情况</w:t>
            </w:r>
            <w:r>
              <w:rPr>
                <w:rFonts w:ascii="Times New Roman" w:hAnsi="Times New Roman" w:cs="Times New Roman" w:eastAsia="Times New Roman" w:hint="default"/>
              </w:rPr>
              <w:tab/>
              <w:t>98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第八节可转换公司债券相关情况</w:t>
            </w:r>
            <w:r>
              <w:rPr>
                <w:rFonts w:ascii="Times New Roman" w:hAnsi="Times New Roman" w:cs="Times New Roman" w:eastAsia="Times New Roman" w:hint="default"/>
              </w:rPr>
              <w:tab/>
              <w:t>99</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8">
            <w:r>
              <w:rPr/>
              <w:t>第九节董事、监事、高级管理人员和员工情况</w:t>
            </w:r>
            <w:r>
              <w:rPr>
                <w:rFonts w:ascii="Times New Roman" w:hAnsi="Times New Roman" w:cs="Times New Roman" w:eastAsia="Times New Roman" w:hint="default"/>
              </w:rPr>
              <w:tab/>
              <w:t>100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第十节公司治理</w:t>
            </w:r>
            <w:r>
              <w:rPr>
                <w:rFonts w:ascii="Times New Roman" w:hAnsi="Times New Roman" w:cs="Times New Roman" w:eastAsia="Times New Roman" w:hint="default"/>
              </w:rPr>
              <w:tab/>
              <w:t>106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第十一节公司债券相关情况</w:t>
            </w:r>
            <w:r>
              <w:rPr>
                <w:rFonts w:ascii="Times New Roman" w:hAnsi="Times New Roman" w:cs="Times New Roman" w:eastAsia="Times New Roman" w:hint="default"/>
              </w:rPr>
              <w:tab/>
            </w:r>
            <w:r>
              <w:rPr>
                <w:rFonts w:ascii="Times New Roman" w:hAnsi="Times New Roman" w:cs="Times New Roman" w:eastAsia="Times New Roman" w:hint="default"/>
                <w:spacing w:val="-5"/>
              </w:rPr>
              <w:t>112</w:t>
            </w:r>
            <w:r>
              <w:rPr>
                <w:rFonts w:ascii="Times New Roman" w:hAnsi="Times New Roman" w:cs="Times New Roman" w:eastAsia="Times New Roman" w:hint="default"/>
                <w:b w:val="0"/>
                <w:bCs w:val="0"/>
                <w:spacing w:val="-5"/>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11">
            <w:r>
              <w:rPr/>
              <w:t>第十二节财务报告</w:t>
            </w:r>
            <w:r>
              <w:rPr>
                <w:rFonts w:ascii="Times New Roman" w:hAnsi="Times New Roman" w:cs="Times New Roman" w:eastAsia="Times New Roman" w:hint="default"/>
              </w:rPr>
              <w:tab/>
            </w:r>
            <w:r>
              <w:rPr>
                <w:rFonts w:ascii="Times New Roman" w:hAnsi="Times New Roman" w:cs="Times New Roman" w:eastAsia="Times New Roman" w:hint="default"/>
                <w:spacing w:val="-5"/>
              </w:rPr>
              <w:t>113</w:t>
            </w:r>
            <w:r>
              <w:rPr>
                <w:rFonts w:ascii="Times New Roman" w:hAnsi="Times New Roman" w:cs="Times New Roman" w:eastAsia="Times New Roman" w:hint="default"/>
                <w:b w:val="0"/>
                <w:bCs w:val="0"/>
                <w:spacing w:val="-5"/>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2">
            <w:r>
              <w:rPr/>
              <w:t>第十三节备查文件目录</w:t>
            </w:r>
            <w:r>
              <w:rPr>
                <w:rFonts w:ascii="Times New Roman" w:hAnsi="Times New Roman" w:cs="Times New Roman" w:eastAsia="Times New Roman" w:hint="default"/>
              </w:rPr>
              <w:tab/>
              <w:t>222</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79" w:top="1060" w:bottom="1160" w:left="980" w:right="0"/>
        </w:sectPr>
      </w:pPr>
    </w:p>
    <w:p>
      <w:pPr>
        <w:spacing w:before="945"/>
        <w:ind w:left="406" w:right="138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pStyle w:val="BodyText"/>
        <w:spacing w:line="240" w:lineRule="auto" w:before="127"/>
        <w:ind w:left="0" w:right="1136"/>
        <w:jc w:val="right"/>
      </w:pPr>
      <w:r>
        <w:rPr/>
        <w:pict>
          <v:shape style="position:absolute;margin-left:56.400002pt;margin-top:-369.588287pt;width:479.3pt;height:578.7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北京君正、公司、本公司、上市公司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北京君正集成电路股份有限公司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香港君正集团</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北京君正集成电路（香港）集团有限公司，本公司的全资子公司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君正时代</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深圳君正时代集成电路有限公司，本公司的全资子公司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合肥君正</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合肥君正科技有限公司，本公司的全资子公司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中登公司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中国证券登记结算有限责任公司深圳分公司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财政部</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中华人民共和国财政部</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中国证监会指定的创业板信息披露网站，网址：</w:t>
                        </w:r>
                      </w:p>
                      <w:p>
                        <w:pPr>
                          <w:pStyle w:val="TableParagraph"/>
                          <w:spacing w:line="240" w:lineRule="auto" w:before="118"/>
                          <w:ind w:left="28" w:right="0"/>
                          <w:jc w:val="left"/>
                          <w:rPr>
                            <w:rFonts w:ascii="Times New Roman" w:hAnsi="Times New Roman" w:cs="Times New Roman" w:eastAsia="Times New Roman" w:hint="default"/>
                            <w:sz w:val="18"/>
                            <w:szCs w:val="18"/>
                          </w:rPr>
                        </w:pPr>
                        <w:hyperlink r:id="rId9">
                          <w:r>
                            <w:rPr>
                              <w:rFonts w:ascii="Times New Roman"/>
                              <w:sz w:val="18"/>
                            </w:rPr>
                            <w:t>http://www.cninfo.com.cn</w:t>
                          </w:r>
                        </w:hyperlink>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北京君正集成电路股份有限公司章程</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保荐机构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中天国富证券有限公司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审计机构、会计师事务所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股票期权激励计划</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年公司实施</w:t>
                        </w:r>
                        <w:r>
                          <w:rPr>
                            <w:rFonts w:ascii="宋体" w:hAnsi="宋体" w:cs="宋体" w:eastAsia="宋体" w:hint="default"/>
                            <w:spacing w:val="-77"/>
                            <w:sz w:val="18"/>
                            <w:szCs w:val="18"/>
                          </w:rPr>
                          <w:t>的</w:t>
                        </w:r>
                        <w:r>
                          <w:rPr>
                            <w:rFonts w:ascii="宋体" w:hAnsi="宋体" w:cs="宋体" w:eastAsia="宋体" w:hint="default"/>
                            <w:sz w:val="18"/>
                            <w:szCs w:val="18"/>
                          </w:rPr>
                          <w:t>《北京君</w:t>
                        </w:r>
                        <w:r>
                          <w:rPr>
                            <w:rFonts w:ascii="宋体" w:hAnsi="宋体" w:cs="宋体" w:eastAsia="宋体" w:hint="default"/>
                            <w:spacing w:val="-3"/>
                            <w:sz w:val="18"/>
                            <w:szCs w:val="18"/>
                          </w:rPr>
                          <w:t>正</w:t>
                        </w:r>
                        <w:r>
                          <w:rPr>
                            <w:rFonts w:ascii="宋体" w:hAnsi="宋体" w:cs="宋体" w:eastAsia="宋体" w:hint="default"/>
                            <w:sz w:val="18"/>
                            <w:szCs w:val="18"/>
                          </w:rPr>
                          <w:t>集成电路股份有限公司股票期权激励计</w:t>
                        </w:r>
                        <w:r>
                          <w:rPr>
                            <w:rFonts w:ascii="宋体" w:hAnsi="宋体" w:cs="宋体" w:eastAsia="宋体" w:hint="default"/>
                            <w:sz w:val="18"/>
                            <w:szCs w:val="18"/>
                          </w:rPr>
                          <w:t> 划（草案</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Fabless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模式</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109"/>
                          <w:jc w:val="left"/>
                          <w:rPr>
                            <w:rFonts w:ascii="宋体" w:hAnsi="宋体" w:cs="宋体" w:eastAsia="宋体" w:hint="default"/>
                            <w:sz w:val="18"/>
                            <w:szCs w:val="18"/>
                          </w:rPr>
                        </w:pPr>
                        <w:r>
                          <w:rPr>
                            <w:rFonts w:ascii="宋体" w:hAnsi="宋体" w:cs="宋体" w:eastAsia="宋体" w:hint="default"/>
                            <w:spacing w:val="-3"/>
                            <w:w w:val="99"/>
                            <w:sz w:val="18"/>
                            <w:szCs w:val="18"/>
                          </w:rPr>
                          <w:t>是指</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没有制造业务、只专注于设计</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的集成电路设计的一种运作模式</w:t>
                        </w:r>
                        <w:r>
                          <w:rPr>
                            <w:rFonts w:ascii="宋体" w:hAnsi="宋体" w:cs="宋体" w:eastAsia="宋体" w:hint="default"/>
                            <w:spacing w:val="-86"/>
                            <w:w w:val="99"/>
                            <w:sz w:val="18"/>
                            <w:szCs w:val="18"/>
                          </w:rPr>
                          <w:t> </w:t>
                        </w:r>
                        <w:r>
                          <w:rPr>
                            <w:rFonts w:ascii="宋体" w:hAnsi="宋体" w:cs="宋体" w:eastAsia="宋体" w:hint="default"/>
                            <w:spacing w:val="-86"/>
                            <w:w w:val="99"/>
                            <w:sz w:val="18"/>
                            <w:szCs w:val="18"/>
                          </w:rPr>
                        </w:r>
                        <w:r>
                          <w:rPr>
                            <w:rFonts w:ascii="宋体" w:hAnsi="宋体" w:cs="宋体" w:eastAsia="宋体" w:hint="default"/>
                            <w:sz w:val="18"/>
                            <w:szCs w:val="18"/>
                          </w:rPr>
                          <w:t>也就是指未拥有芯片制造工厂的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IC </w:t>
                        </w:r>
                        <w:r>
                          <w:rPr>
                            <w:rFonts w:ascii="宋体" w:hAnsi="宋体" w:cs="宋体" w:eastAsia="宋体" w:hint="default"/>
                            <w:sz w:val="18"/>
                            <w:szCs w:val="18"/>
                          </w:rPr>
                          <w:t>设计公司。</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73"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CPU</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Central Processing Unit</w:t>
                        </w:r>
                        <w:r>
                          <w:rPr>
                            <w:rFonts w:ascii="宋体" w:hAnsi="宋体" w:cs="宋体" w:eastAsia="宋体" w:hint="default"/>
                            <w:sz w:val="18"/>
                            <w:szCs w:val="18"/>
                          </w:rPr>
                          <w:t>，简称</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CPU</w:t>
                        </w:r>
                        <w:r>
                          <w:rPr>
                            <w:rFonts w:ascii="宋体" w:hAnsi="宋体" w:cs="宋体" w:eastAsia="宋体" w:hint="default"/>
                            <w:sz w:val="18"/>
                            <w:szCs w:val="18"/>
                          </w:rPr>
                          <w:t>，即中央处理器，是一块超大规模 </w:t>
                        </w:r>
                        <w:r>
                          <w:rPr>
                            <w:rFonts w:ascii="宋体" w:hAnsi="宋体" w:cs="宋体" w:eastAsia="宋体" w:hint="default"/>
                            <w:spacing w:val="-5"/>
                            <w:sz w:val="18"/>
                            <w:szCs w:val="18"/>
                          </w:rPr>
                          <w:t>的集成电路，是一台计算机的运算核心（</w:t>
                        </w:r>
                        <w:r>
                          <w:rPr>
                            <w:rFonts w:ascii="Times New Roman" w:hAnsi="Times New Roman" w:cs="Times New Roman" w:eastAsia="Times New Roman" w:hint="default"/>
                            <w:spacing w:val="-5"/>
                            <w:sz w:val="18"/>
                            <w:szCs w:val="18"/>
                          </w:rPr>
                          <w:t>Core</w:t>
                        </w:r>
                        <w:r>
                          <w:rPr>
                            <w:rFonts w:ascii="宋体" w:hAnsi="宋体" w:cs="宋体" w:eastAsia="宋体" w:hint="default"/>
                            <w:spacing w:val="-5"/>
                            <w:sz w:val="18"/>
                            <w:szCs w:val="18"/>
                          </w:rPr>
                          <w:t>）和控制核心（</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Control</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pacing w:val="-3"/>
                            <w:w w:val="99"/>
                            <w:sz w:val="18"/>
                            <w:szCs w:val="18"/>
                          </w:rPr>
                          <w:t>Unit</w:t>
                        </w:r>
                        <w:r>
                          <w:rPr>
                            <w:rFonts w:ascii="宋体" w:hAnsi="宋体" w:cs="宋体" w:eastAsia="宋体" w:hint="default"/>
                            <w:spacing w:val="-3"/>
                            <w:w w:val="99"/>
                            <w:sz w:val="18"/>
                            <w:szCs w:val="18"/>
                          </w:rPr>
                          <w:t>）。它的功能主要是解释计算机指令以及处理计算机软件中的数</w:t>
                        </w:r>
                        <w:r>
                          <w:rPr>
                            <w:rFonts w:ascii="宋体" w:hAnsi="宋体" w:cs="宋体" w:eastAsia="宋体" w:hint="default"/>
                            <w:spacing w:val="-86"/>
                            <w:w w:val="99"/>
                            <w:sz w:val="18"/>
                            <w:szCs w:val="18"/>
                          </w:rPr>
                          <w:t> </w:t>
                        </w:r>
                        <w:r>
                          <w:rPr>
                            <w:rFonts w:ascii="宋体" w:hAnsi="宋体" w:cs="宋体" w:eastAsia="宋体" w:hint="default"/>
                            <w:spacing w:val="-86"/>
                            <w:w w:val="99"/>
                            <w:sz w:val="18"/>
                            <w:szCs w:val="18"/>
                          </w:rPr>
                        </w:r>
                        <w:r>
                          <w:rPr>
                            <w:rFonts w:ascii="宋体" w:hAnsi="宋体" w:cs="宋体" w:eastAsia="宋体" w:hint="default"/>
                            <w:sz w:val="18"/>
                            <w:szCs w:val="18"/>
                          </w:rPr>
                          <w:t>据。</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473"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XBurst2</w:t>
                        </w:r>
                        <w:r>
                          <w:rPr>
                            <w:rFonts w:ascii="Times New Roman"/>
                            <w:spacing w:val="-3"/>
                            <w:sz w:val="18"/>
                          </w:rPr>
                          <w:t> </w:t>
                        </w:r>
                        <w:r>
                          <w:rPr>
                            <w:rFonts w:ascii="Times New Roman"/>
                            <w:sz w:val="18"/>
                          </w:rPr>
                          <w:t>CPU</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公司自主研发的第二代</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CPU</w:t>
                        </w:r>
                        <w:r>
                          <w:rPr>
                            <w:rFonts w:ascii="宋体" w:hAnsi="宋体" w:cs="宋体" w:eastAsia="宋体" w:hint="default"/>
                            <w:sz w:val="18"/>
                            <w:szCs w:val="18"/>
                          </w:rPr>
                          <w:t>。</w:t>
                        </w:r>
                      </w:p>
                    </w:tc>
                  </w:tr>
                  <w:tr>
                    <w:trPr>
                      <w:trHeight w:val="629"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IC</w:t>
                        </w:r>
                        <w:r>
                          <w:rPr>
                            <w:rFonts w:ascii="宋体" w:hAnsi="宋体" w:cs="宋体" w:eastAsia="宋体" w:hint="default"/>
                            <w:sz w:val="18"/>
                            <w:szCs w:val="18"/>
                          </w:rPr>
                          <w:t>、集成电路</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4" w:lineRule="auto" w:before="49"/>
                          <w:ind w:left="28"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Integrated Circuit</w:t>
                        </w:r>
                        <w:r>
                          <w:rPr>
                            <w:rFonts w:ascii="宋体" w:hAnsi="宋体" w:cs="宋体" w:eastAsia="宋体" w:hint="default"/>
                            <w:sz w:val="18"/>
                            <w:szCs w:val="18"/>
                          </w:rPr>
                          <w:t>，简称</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IC</w:t>
                        </w:r>
                        <w:r>
                          <w:rPr>
                            <w:rFonts w:ascii="宋体" w:hAnsi="宋体" w:cs="宋体" w:eastAsia="宋体" w:hint="default"/>
                            <w:sz w:val="18"/>
                            <w:szCs w:val="18"/>
                          </w:rPr>
                          <w:t>，中文指集成电路，是采用一定的工艺，</w:t>
                        </w:r>
                        <w:r>
                          <w:rPr>
                            <w:rFonts w:ascii="宋体" w:hAnsi="宋体" w:cs="宋体" w:eastAsia="宋体" w:hint="default"/>
                            <w:w w:val="99"/>
                            <w:sz w:val="18"/>
                            <w:szCs w:val="18"/>
                          </w:rPr>
                          <w:t> </w:t>
                        </w:r>
                        <w:r>
                          <w:rPr>
                            <w:rFonts w:ascii="宋体" w:hAnsi="宋体" w:cs="宋体" w:eastAsia="宋体" w:hint="default"/>
                            <w:spacing w:val="-2"/>
                            <w:sz w:val="18"/>
                            <w:szCs w:val="18"/>
                          </w:rPr>
                          <w:t>将一个电路中所需的晶体管、二极管、电阻、电容和电感等元件及布</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线连在一起，制作在一小块或几小块半导体晶片或介质基片上，然后</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封装在一个管壳内，成为具有所需电路功能的微型结构。在工业生产</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和社会生活中应用广泛。</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629"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SoC</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System on</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Chip</w:t>
            </w:r>
            <w:r>
              <w:rPr>
                <w:rFonts w:ascii="宋体" w:hAnsi="宋体" w:cs="宋体" w:eastAsia="宋体" w:hint="default"/>
                <w:sz w:val="18"/>
                <w:szCs w:val="18"/>
              </w:rPr>
              <w:t>，即片上系统、系统级芯片，是将系统关键部件集成 在一块芯片上，可以实现完整系统功能的芯片电路。</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RISC -V</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基于精简指令集计算（</w:t>
            </w:r>
            <w:r>
              <w:rPr>
                <w:rFonts w:ascii="Times New Roman" w:hAnsi="Times New Roman" w:cs="Times New Roman" w:eastAsia="Times New Roman" w:hint="default"/>
                <w:w w:val="99"/>
                <w:sz w:val="18"/>
                <w:szCs w:val="18"/>
              </w:rPr>
              <w:t>RISC)</w:t>
            </w:r>
            <w:r>
              <w:rPr>
                <w:rFonts w:ascii="宋体" w:hAnsi="宋体" w:cs="宋体" w:eastAsia="宋体" w:hint="default"/>
                <w:sz w:val="18"/>
                <w:szCs w:val="18"/>
              </w:rPr>
              <w:t>原理建立的开放指令集架构（</w:t>
            </w:r>
            <w:r>
              <w:rPr>
                <w:rFonts w:ascii="Times New Roman" w:hAnsi="Times New Roman" w:cs="Times New Roman" w:eastAsia="Times New Roman" w:hint="default"/>
                <w:w w:val="99"/>
                <w:sz w:val="18"/>
                <w:szCs w:val="18"/>
              </w:rPr>
              <w:t>IS</w:t>
            </w:r>
            <w:r>
              <w:rPr>
                <w:rFonts w:ascii="Times New Roman" w:hAnsi="Times New Roman" w:cs="Times New Roman" w:eastAsia="Times New Roman" w:hint="default"/>
                <w:spacing w:val="-1"/>
                <w:w w:val="99"/>
                <w:sz w:val="18"/>
                <w:szCs w:val="18"/>
              </w:rPr>
              <w:t>A</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w w:val="99"/>
                <w:sz w:val="18"/>
                <w:szCs w:val="18"/>
              </w:rPr>
              <w:t>V</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表示为地五代</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RISC</w:t>
            </w:r>
            <w:r>
              <w:rPr>
                <w:rFonts w:ascii="宋体" w:hAnsi="宋体" w:cs="宋体" w:eastAsia="宋体" w:hint="default"/>
                <w:sz w:val="18"/>
                <w:szCs w:val="18"/>
              </w:rPr>
              <w:t>。</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人工智能</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both"/>
              <w:rPr>
                <w:rFonts w:ascii="宋体" w:hAnsi="宋体" w:cs="宋体" w:eastAsia="宋体" w:hint="default"/>
                <w:sz w:val="18"/>
                <w:szCs w:val="18"/>
              </w:rPr>
            </w:pPr>
            <w:r>
              <w:rPr>
                <w:rFonts w:ascii="宋体" w:hAnsi="宋体" w:cs="宋体" w:eastAsia="宋体" w:hint="default"/>
                <w:spacing w:val="-2"/>
                <w:sz w:val="18"/>
                <w:szCs w:val="18"/>
              </w:rPr>
              <w:t>是对人的意识、思维的信息过程的模拟，并生产出一种新的能以人类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智能相似的方式做出反应的智能机器，该领域的研究包括机器人、语</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言识别、图像识别和自然语言处理等。</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H.265</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ITU-T</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VCEG</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H.264 </w:t>
            </w:r>
            <w:r>
              <w:rPr>
                <w:rFonts w:ascii="宋体" w:hAnsi="宋体" w:cs="宋体" w:eastAsia="宋体" w:hint="default"/>
                <w:sz w:val="18"/>
                <w:szCs w:val="18"/>
              </w:rPr>
              <w:t>之后所制定的新的视频编码标准</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北京矽成</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北京矽成半导体有限公司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北京闪胜</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北京闪胜投资有限公司，系北京矽成曾用名</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上海承裕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上海承裕资产管理合伙企业（有限合伙）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屹唐投资</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北京屹唐半导体产业投资中心（有限合伙）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华创芯原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北京华创芯原科技有限公司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上海瑾矽</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上海瑾矽集成电路合伙企业（有限合伙）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民和志威</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烟台民和志威投资中心（有限合伙）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闪胜创芯</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上海闪胜创芯投资合伙企业（有限合伙）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Asia</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Memory</w:t>
            </w:r>
            <w:r>
              <w:rPr>
                <w:rFonts w:ascii="宋体" w:hAnsi="宋体" w:cs="宋体" w:eastAsia="宋体" w:hint="default"/>
                <w:sz w:val="18"/>
                <w:szCs w:val="18"/>
              </w:rPr>
              <w:t>、</w:t>
            </w:r>
            <w:r>
              <w:rPr>
                <w:rFonts w:ascii="Times New Roman" w:hAnsi="Times New Roman" w:cs="Times New Roman" w:eastAsia="Times New Roman" w:hint="default"/>
                <w:sz w:val="18"/>
                <w:szCs w:val="18"/>
              </w:rPr>
              <w:t>AM</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Asia-Pacific Memory Co.,</w:t>
            </w:r>
            <w:r>
              <w:rPr>
                <w:rFonts w:ascii="Times New Roman"/>
                <w:spacing w:val="-14"/>
                <w:sz w:val="18"/>
              </w:rPr>
              <w:t> </w:t>
            </w:r>
            <w:r>
              <w:rPr>
                <w:rFonts w:ascii="Times New Roman"/>
                <w:sz w:val="18"/>
              </w:rPr>
              <w:t>Limited</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Worldwide</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z w:val="18"/>
                <w:szCs w:val="18"/>
              </w:rPr>
              <w:t>Memory</w:t>
            </w:r>
            <w:r>
              <w:rPr>
                <w:rFonts w:ascii="宋体" w:hAnsi="宋体" w:cs="宋体" w:eastAsia="宋体" w:hint="default"/>
                <w:sz w:val="18"/>
                <w:szCs w:val="18"/>
              </w:rPr>
              <w:t>、</w:t>
            </w:r>
            <w:r>
              <w:rPr>
                <w:rFonts w:ascii="Times New Roman" w:hAnsi="Times New Roman" w:cs="Times New Roman" w:eastAsia="Times New Roman" w:hint="default"/>
                <w:sz w:val="18"/>
                <w:szCs w:val="18"/>
              </w:rPr>
              <w:t>WM</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Worldwide Memory Co.,</w:t>
            </w:r>
            <w:r>
              <w:rPr>
                <w:rFonts w:ascii="Times New Roman"/>
                <w:spacing w:val="-29"/>
                <w:sz w:val="18"/>
              </w:rPr>
              <w:t> </w:t>
            </w:r>
            <w:r>
              <w:rPr>
                <w:rFonts w:ascii="Times New Roman"/>
                <w:sz w:val="18"/>
              </w:rPr>
              <w:t>Limited</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厦门芯华</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厦门芯华企业管理合伙企业（有限合伙）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上海集岑</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上海集岑企业管理中心（有限合伙）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武岳峰集电</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上海武岳峰集成电路股权投资合伙企业（有限合伙）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万丰投资</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黑龙江万丰投资担保有限公司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北京青禾</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北京青禾投资基金（有限合伙）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承裕投资</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上海承裕投资管理有限公司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青岛君品</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青岛君品投资合伙企业（有限合伙）</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拉萨君品</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拉萨君品创业投资有限公司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交易标的、标的资产</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北京矽成</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59.99%</w:t>
            </w:r>
            <w:r>
              <w:rPr>
                <w:rFonts w:ascii="宋体" w:hAnsi="宋体" w:cs="宋体" w:eastAsia="宋体" w:hint="default"/>
                <w:sz w:val="18"/>
                <w:szCs w:val="18"/>
              </w:rPr>
              <w:t>股权、上海承裕</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财产份额</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标的公司、标的企业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北京矽成、上海承裕</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发行股份及支付现金购买资产、本次收购</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北京君正及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或其全资子公司合肥君正拟以发行股份及</w:t>
            </w:r>
            <w:r>
              <w:rPr>
                <w:rFonts w:ascii="Times New Roman" w:hAnsi="Times New Roman" w:cs="Times New Roman" w:eastAsia="Times New Roman" w:hint="default"/>
                <w:sz w:val="18"/>
                <w:szCs w:val="18"/>
              </w:rPr>
              <w:t>/</w:t>
            </w:r>
            <w:r>
              <w:rPr>
                <w:rFonts w:ascii="宋体" w:hAnsi="宋体" w:cs="宋体" w:eastAsia="宋体" w:hint="default"/>
                <w:sz w:val="18"/>
                <w:szCs w:val="18"/>
              </w:rPr>
              <w:t>或支付现金的 方式购买北京矽成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59.99%</w:t>
            </w:r>
            <w:r>
              <w:rPr>
                <w:rFonts w:ascii="宋体" w:hAnsi="宋体" w:cs="宋体" w:eastAsia="宋体" w:hint="default"/>
                <w:sz w:val="18"/>
                <w:szCs w:val="18"/>
              </w:rPr>
              <w:t>股权、上海承裕</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财产份额</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9"/>
              <w:jc w:val="left"/>
              <w:rPr>
                <w:rFonts w:ascii="宋体" w:hAnsi="宋体" w:cs="宋体" w:eastAsia="宋体" w:hint="default"/>
                <w:sz w:val="18"/>
                <w:szCs w:val="18"/>
              </w:rPr>
            </w:pPr>
            <w:r>
              <w:rPr>
                <w:rFonts w:ascii="宋体" w:hAnsi="宋体" w:cs="宋体" w:eastAsia="宋体" w:hint="default"/>
                <w:sz w:val="18"/>
                <w:szCs w:val="18"/>
              </w:rPr>
              <w:t>发行股份募集配套资金、募集配套资金、配 套融资</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69"/>
              <w:jc w:val="left"/>
              <w:rPr>
                <w:rFonts w:ascii="宋体" w:hAnsi="宋体" w:cs="宋体" w:eastAsia="宋体" w:hint="default"/>
                <w:sz w:val="18"/>
                <w:szCs w:val="18"/>
              </w:rPr>
            </w:pPr>
            <w:r>
              <w:rPr>
                <w:rFonts w:ascii="宋体" w:hAnsi="宋体" w:cs="宋体" w:eastAsia="宋体" w:hint="default"/>
                <w:sz w:val="18"/>
                <w:szCs w:val="18"/>
              </w:rPr>
              <w:t>向包括刘强控制的企业四海君芯在内的特定投资者非公开发行股份 募集配套资金</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本次重大资产重组、本次重组、本次交易</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上述发行股份及支付现金购买资产和发行股份募集配套资金</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四海君芯</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北京四海君芯有限公司</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723" w:right="1133"/>
        <w:jc w:val="left"/>
        <w:rPr>
          <w:b w:val="0"/>
          <w:bCs w:val="0"/>
        </w:rPr>
      </w:pPr>
      <w:bookmarkStart w:name="_bookmark1" w:id="2"/>
      <w:bookmarkEnd w:id="2"/>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pict>
          <v:group style="position:absolute;margin-left:172.339996pt;margin-top:114.705597pt;width:361.55pt;height:19.7pt;mso-position-horizontal-relative:page;mso-position-vertical-relative:paragraph;z-index:-1613416" coordorigin="3447,2294" coordsize="7231,394">
            <v:shape style="position:absolute;left:3447;top:2294;width:7231;height:394" coordorigin="3447,2294" coordsize="7231,394" path="m3447,2688l10677,2688,10677,2294,3447,2294,3447,2688xe" filled="true" fillcolor="#ffffff" stroked="false">
              <v:path arrowok="t"/>
              <v:fill type="solid"/>
            </v:shape>
            <w10:wrap type="none"/>
          </v:group>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北京君正</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300223</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北京君正集成电路股份有限公司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北京君正</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Ingenic Semiconductor</w:t>
            </w:r>
            <w:r>
              <w:rPr>
                <w:rFonts w:ascii="Times New Roman"/>
                <w:spacing w:val="-8"/>
                <w:sz w:val="18"/>
              </w:rPr>
              <w:t> </w:t>
            </w:r>
            <w:r>
              <w:rPr>
                <w:rFonts w:ascii="Times New Roman"/>
                <w:sz w:val="18"/>
              </w:rPr>
              <w:t>Co.,Ltd.</w:t>
            </w:r>
          </w:p>
        </w:tc>
      </w:tr>
      <w:tr>
        <w:trPr>
          <w:trHeight w:val="403"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49"/>
              <w:ind w:left="-102" w:right="0"/>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Ingenic</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刘强</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北京市海淀区西北旺东路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号院东区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号楼一层</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A101-A113</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100193</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北京市海淀区西北旺东路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号院东区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座一至三层</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100193</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www.ingenic.com</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1">
              <w:r>
                <w:rPr>
                  <w:rFonts w:ascii="Times New Roman"/>
                  <w:sz w:val="18"/>
                </w:rPr>
                <w:t>investors@ingenic.com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46"/>
        <w:gridCol w:w="3696"/>
        <w:gridCol w:w="3687"/>
      </w:tblGrid>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6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张敏</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白洁</w:t>
            </w:r>
          </w:p>
        </w:tc>
      </w:tr>
      <w:tr>
        <w:trPr>
          <w:trHeight w:val="161" w:hRule="exact"/>
        </w:trPr>
        <w:tc>
          <w:tcPr>
            <w:tcW w:w="2246" w:type="dxa"/>
            <w:tcBorders>
              <w:top w:val="single" w:sz="4" w:space="0" w:color="000000"/>
              <w:left w:val="single" w:sz="4" w:space="0" w:color="000000"/>
              <w:bottom w:val="nil" w:sz="6" w:space="0" w:color="auto"/>
              <w:right w:val="single" w:sz="4" w:space="0" w:color="000000"/>
            </w:tcBorders>
            <w:shd w:val="clear" w:color="auto" w:fill="D2D2D2"/>
          </w:tcPr>
          <w:p>
            <w:pPr/>
          </w:p>
        </w:tc>
        <w:tc>
          <w:tcPr>
            <w:tcW w:w="3696" w:type="dxa"/>
            <w:vMerge w:val="restart"/>
            <w:tcBorders>
              <w:top w:val="single" w:sz="4" w:space="0" w:color="000000"/>
              <w:left w:val="single" w:sz="9" w:space="0" w:color="D2D2D2"/>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北京市海淀区西北旺东路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号院东区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号楼</w:t>
            </w:r>
          </w:p>
          <w:p>
            <w:pPr>
              <w:pStyle w:val="TableParagraph"/>
              <w:spacing w:line="240" w:lineRule="auto" w:before="6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座一至三层</w:t>
            </w:r>
          </w:p>
        </w:tc>
        <w:tc>
          <w:tcPr>
            <w:tcW w:w="3687" w:type="dxa"/>
            <w:vMerge w:val="restart"/>
            <w:tcBorders>
              <w:top w:val="single" w:sz="4" w:space="0" w:color="000000"/>
              <w:left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北京市海淀区西北旺东路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号院东区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号楼</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座一至三层</w:t>
            </w:r>
          </w:p>
        </w:tc>
      </w:tr>
      <w:tr>
        <w:trPr>
          <w:trHeight w:val="391" w:hRule="exact"/>
        </w:trPr>
        <w:tc>
          <w:tcPr>
            <w:tcW w:w="22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696" w:type="dxa"/>
            <w:vMerge/>
            <w:tcBorders>
              <w:left w:val="single" w:sz="9" w:space="0" w:color="D2D2D2"/>
              <w:right w:val="single" w:sz="4" w:space="0" w:color="000000"/>
            </w:tcBorders>
          </w:tcPr>
          <w:p>
            <w:pPr/>
          </w:p>
        </w:tc>
        <w:tc>
          <w:tcPr>
            <w:tcW w:w="3687" w:type="dxa"/>
            <w:vMerge/>
            <w:tcBorders>
              <w:left w:val="single" w:sz="4" w:space="0" w:color="000000"/>
              <w:right w:val="single" w:sz="4" w:space="0" w:color="000000"/>
            </w:tcBorders>
          </w:tcPr>
          <w:p>
            <w:pPr/>
          </w:p>
        </w:tc>
      </w:tr>
      <w:tr>
        <w:trPr>
          <w:trHeight w:val="161" w:hRule="exact"/>
        </w:trPr>
        <w:tc>
          <w:tcPr>
            <w:tcW w:w="2246" w:type="dxa"/>
            <w:tcBorders>
              <w:top w:val="nil" w:sz="6" w:space="0" w:color="auto"/>
              <w:left w:val="single" w:sz="4" w:space="0" w:color="000000"/>
              <w:bottom w:val="single" w:sz="4" w:space="0" w:color="000000"/>
              <w:right w:val="single" w:sz="4" w:space="0" w:color="000000"/>
            </w:tcBorders>
            <w:shd w:val="clear" w:color="auto" w:fill="D2D2D2"/>
          </w:tcPr>
          <w:p>
            <w:pPr/>
          </w:p>
        </w:tc>
        <w:tc>
          <w:tcPr>
            <w:tcW w:w="3696" w:type="dxa"/>
            <w:vMerge/>
            <w:tcBorders>
              <w:left w:val="single" w:sz="9" w:space="0" w:color="D2D2D2"/>
              <w:bottom w:val="single" w:sz="4" w:space="0" w:color="000000"/>
              <w:right w:val="single" w:sz="4" w:space="0" w:color="000000"/>
            </w:tcBorders>
          </w:tcPr>
          <w:p>
            <w:pPr/>
          </w:p>
        </w:tc>
        <w:tc>
          <w:tcPr>
            <w:tcW w:w="3687" w:type="dxa"/>
            <w:vMerge/>
            <w:tcBorders>
              <w:left w:val="single" w:sz="4" w:space="0" w:color="000000"/>
              <w:bottom w:val="single" w:sz="4" w:space="0" w:color="000000"/>
              <w:right w:val="single" w:sz="4" w:space="0" w:color="000000"/>
            </w:tcBorders>
          </w:tcPr>
          <w:p>
            <w:pP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6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010-56345005</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010-56345005</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6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010-56345001</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010-56345001</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6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1">
              <w:r>
                <w:rPr>
                  <w:rFonts w:ascii="Times New Roman"/>
                  <w:sz w:val="18"/>
                </w:rPr>
                <w:t>investors@ingenic.com</w:t>
              </w:r>
            </w:hyperlink>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hyperlink r:id="rId11">
              <w:r>
                <w:rPr>
                  <w:rFonts w:ascii="Times New Roman"/>
                  <w:sz w:val="18"/>
                </w:rPr>
                <w:t>investors@ingenic.com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http://www.cninfo.com.cn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董事会办公室</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公司聘请的会计师事务所</w:t>
      </w:r>
    </w:p>
    <w:p>
      <w:pPr>
        <w:spacing w:after="0" w:line="240" w:lineRule="auto"/>
        <w:jc w:val="left"/>
        <w:sectPr>
          <w:pgSz w:w="11910" w:h="16840"/>
          <w:pgMar w:header="745" w:footer="979" w:top="1060" w:bottom="1160" w:left="980" w:right="0"/>
        </w:sectPr>
      </w:pPr>
    </w:p>
    <w:p>
      <w:pPr>
        <w:spacing w:line="240" w:lineRule="auto" w:before="6"/>
        <w:rPr>
          <w:rFonts w:ascii="宋体" w:hAnsi="宋体" w:cs="宋体" w:eastAsia="宋体" w:hint="default"/>
          <w:sz w:val="28"/>
          <w:szCs w:val="28"/>
        </w:rPr>
      </w:pPr>
      <w:r>
        <w:rPr/>
        <w:pict>
          <v:group style="position:absolute;margin-left:198.649994pt;margin-top:485.109985pt;width:83.4pt;height:20.9pt;mso-position-horizontal-relative:page;mso-position-vertical-relative:page;z-index:-1613368" coordorigin="3973,9702" coordsize="1668,418">
            <v:group style="position:absolute;left:3985;top:9714;width:2;height:394" coordorigin="3985,9714" coordsize="2,394">
              <v:shape style="position:absolute;left:3985;top:9714;width:2;height:394" coordorigin="3985,9714" coordsize="0,394" path="m3985,9714l3985,10108e" filled="false" stroked="true" strokeweight="1.2pt" strokecolor="#ffffff">
                <v:path arrowok="t"/>
              </v:shape>
            </v:group>
            <v:group style="position:absolute;left:3997;top:9714;width:1644;height:394" coordorigin="3997,9714" coordsize="1644,394">
              <v:shape style="position:absolute;left:3997;top:9714;width:1644;height:394" coordorigin="3997,9714" coordsize="1644,394" path="m3997,10108l5641,10108,5641,9714,3997,9714,3997,10108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北京市西城区裕民路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号北环中心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时彦禄、余自勇</w:t>
            </w:r>
          </w:p>
        </w:tc>
      </w:tr>
    </w:tbl>
    <w:p>
      <w:pPr>
        <w:pStyle w:val="BodyText"/>
        <w:spacing w:line="240" w:lineRule="auto" w:before="49"/>
        <w:ind w:right="1133"/>
        <w:jc w:val="left"/>
      </w:pPr>
      <w:r>
        <w:rPr/>
        <w:t>公司聘请的报告期内履行持续督导职责的保荐机构</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68"/>
        <w:gridCol w:w="2269"/>
        <w:gridCol w:w="2268"/>
        <w:gridCol w:w="2780"/>
      </w:tblGrid>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保荐机构名称</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保荐代表人姓名</w:t>
            </w:r>
          </w:p>
        </w:tc>
        <w:tc>
          <w:tcPr>
            <w:tcW w:w="2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4"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360" w:hRule="exact"/>
        </w:trPr>
        <w:tc>
          <w:tcPr>
            <w:tcW w:w="2268" w:type="dxa"/>
            <w:tcBorders>
              <w:top w:val="single" w:sz="4" w:space="0" w:color="000000"/>
              <w:left w:val="single" w:sz="4" w:space="0" w:color="000000"/>
              <w:bottom w:val="nil" w:sz="6" w:space="0" w:color="auto"/>
              <w:right w:val="single" w:sz="4" w:space="0" w:color="000000"/>
            </w:tcBorders>
          </w:tcPr>
          <w:p>
            <w:pPr/>
          </w:p>
        </w:tc>
        <w:tc>
          <w:tcPr>
            <w:tcW w:w="2269" w:type="dxa"/>
            <w:tcBorders>
              <w:top w:val="single" w:sz="4" w:space="0" w:color="000000"/>
              <w:left w:val="single" w:sz="4" w:space="0" w:color="000000"/>
              <w:bottom w:val="nil" w:sz="6" w:space="0" w:color="auto"/>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
        </w:tc>
        <w:tc>
          <w:tcPr>
            <w:tcW w:w="2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99"/>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8"/>
                <w:sz w:val="18"/>
                <w:szCs w:val="18"/>
              </w:rPr>
              <w:t>）</w:t>
            </w:r>
            <w:r>
              <w:rPr>
                <w:rFonts w:ascii="宋体" w:hAnsi="宋体" w:cs="宋体" w:eastAsia="宋体" w:hint="default"/>
                <w:spacing w:val="-3"/>
                <w:sz w:val="18"/>
                <w:szCs w:val="18"/>
              </w:rPr>
              <w:t>公</w:t>
            </w:r>
            <w:r>
              <w:rPr>
                <w:rFonts w:ascii="宋体" w:hAnsi="宋体" w:cs="宋体" w:eastAsia="宋体" w:hint="default"/>
                <w:sz w:val="18"/>
                <w:szCs w:val="18"/>
              </w:rPr>
              <w:t>司首</w:t>
            </w:r>
          </w:p>
        </w:tc>
      </w:tr>
      <w:tr>
        <w:trPr>
          <w:trHeight w:val="932" w:hRule="exact"/>
        </w:trPr>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中天国富证券有限公司</w:t>
            </w:r>
          </w:p>
        </w:tc>
        <w:tc>
          <w:tcPr>
            <w:tcW w:w="2269"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50" w:right="0"/>
              <w:jc w:val="left"/>
              <w:rPr>
                <w:rFonts w:ascii="宋体" w:hAnsi="宋体" w:cs="宋体" w:eastAsia="宋体" w:hint="default"/>
                <w:sz w:val="18"/>
                <w:szCs w:val="18"/>
              </w:rPr>
            </w:pPr>
            <w:r>
              <w:rPr>
                <w:rFonts w:ascii="宋体" w:hAnsi="宋体" w:cs="宋体" w:eastAsia="宋体" w:hint="default"/>
                <w:sz w:val="18"/>
                <w:szCs w:val="18"/>
              </w:rPr>
              <w:t>上海市浦东新区陆家嘴环路</w:t>
            </w:r>
          </w:p>
          <w:p>
            <w:pPr>
              <w:pStyle w:val="TableParagraph"/>
              <w:spacing w:line="240" w:lineRule="auto" w:before="77"/>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号恒生银行大厦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45 </w:t>
            </w:r>
            <w:r>
              <w:rPr>
                <w:rFonts w:ascii="宋体" w:hAnsi="宋体" w:cs="宋体" w:eastAsia="宋体" w:hint="default"/>
                <w:sz w:val="18"/>
                <w:szCs w:val="18"/>
              </w:rPr>
              <w:t>楼</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刘冠勋、陈东阳</w:t>
            </w:r>
          </w:p>
        </w:tc>
        <w:tc>
          <w:tcPr>
            <w:tcW w:w="2780"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23" w:right="22"/>
              <w:jc w:val="both"/>
              <w:rPr>
                <w:rFonts w:ascii="宋体" w:hAnsi="宋体" w:cs="宋体" w:eastAsia="宋体" w:hint="default"/>
                <w:sz w:val="18"/>
                <w:szCs w:val="18"/>
              </w:rPr>
            </w:pPr>
            <w:r>
              <w:rPr>
                <w:rFonts w:ascii="宋体" w:hAnsi="宋体" w:cs="宋体" w:eastAsia="宋体" w:hint="default"/>
                <w:sz w:val="18"/>
                <w:szCs w:val="18"/>
              </w:rPr>
              <w:t>次公开发行之募集资金使用完毕之 </w:t>
            </w:r>
            <w:r>
              <w:rPr>
                <w:rFonts w:ascii="宋体" w:hAnsi="宋体" w:cs="宋体" w:eastAsia="宋体" w:hint="default"/>
                <w:spacing w:val="-5"/>
                <w:sz w:val="18"/>
                <w:szCs w:val="18"/>
              </w:rPr>
              <w:t>日；或（</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）公司在持续督导期内与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其他保荐机构签订新的保荐协议或</w:t>
            </w:r>
          </w:p>
        </w:tc>
      </w:tr>
      <w:tr>
        <w:trPr>
          <w:trHeight w:val="360" w:hRule="exact"/>
        </w:trPr>
        <w:tc>
          <w:tcPr>
            <w:tcW w:w="2268" w:type="dxa"/>
            <w:tcBorders>
              <w:top w:val="nil" w:sz="6" w:space="0" w:color="auto"/>
              <w:left w:val="single" w:sz="4" w:space="0" w:color="000000"/>
              <w:bottom w:val="single" w:sz="4" w:space="0" w:color="000000"/>
              <w:right w:val="single" w:sz="4" w:space="0" w:color="000000"/>
            </w:tcBorders>
          </w:tcPr>
          <w:p>
            <w:pPr/>
          </w:p>
        </w:tc>
        <w:tc>
          <w:tcPr>
            <w:tcW w:w="2269" w:type="dxa"/>
            <w:tcBorders>
              <w:top w:val="nil" w:sz="6" w:space="0" w:color="auto"/>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
        </w:tc>
        <w:tc>
          <w:tcPr>
            <w:tcW w:w="2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持续督导协议之日。</w:t>
            </w:r>
          </w:p>
        </w:tc>
      </w:tr>
    </w:tbl>
    <w:p>
      <w:pPr>
        <w:pStyle w:val="BodyText"/>
        <w:spacing w:line="240" w:lineRule="auto" w:before="49"/>
        <w:ind w:right="1133"/>
        <w:jc w:val="left"/>
      </w:pPr>
      <w:r>
        <w:rPr/>
        <w:t>公司聘请的报告期内履行持续督导职责的财务顾问</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公司是否需追溯调整或重述以前年度会计数据</w:t>
      </w:r>
    </w:p>
    <w:p>
      <w:pPr>
        <w:pStyle w:val="BodyText"/>
        <w:spacing w:line="240" w:lineRule="auto" w:before="115"/>
        <w:ind w:right="1133"/>
        <w:jc w:val="left"/>
      </w:pPr>
      <w:r>
        <w:rPr/>
        <w:pict>
          <v:group style="position:absolute;margin-left:198.649994pt;margin-top:63.081711pt;width:83.4pt;height:20.9pt;mso-position-horizontal-relative:page;mso-position-vertical-relative:paragraph;z-index:-1613392" coordorigin="3973,1262" coordsize="1668,418">
            <v:group style="position:absolute;left:3985;top:1274;width:2;height:394" coordorigin="3985,1274" coordsize="2,394">
              <v:shape style="position:absolute;left:3985;top:1274;width:2;height:394" coordorigin="3985,1274" coordsize="0,394" path="m3985,1274l3985,1667e" filled="false" stroked="true" strokeweight="1.2pt" strokecolor="#ffffff">
                <v:path arrowok="t"/>
              </v:shape>
            </v:group>
            <v:group style="position:absolute;left:3997;top:1274;width:1644;height:394" coordorigin="3997,1274" coordsize="1644,394">
              <v:shape style="position:absolute;left:3997;top:1274;width:1644;height:394" coordorigin="3997,1274" coordsize="1644,394" path="m3997,1667l5641,1667,5641,1274,3997,1274,3997,1667xe" filled="true" fillcolor="#ffffff" stroked="false">
                <v:path arrowok="t"/>
                <v:fill type="solid"/>
              </v:shape>
            </v:group>
            <w10:wrap type="none"/>
          </v:group>
        </w:pict>
      </w: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813"/>
        <w:gridCol w:w="1712"/>
        <w:gridCol w:w="1700"/>
        <w:gridCol w:w="1702"/>
        <w:gridCol w:w="1702"/>
      </w:tblGrid>
      <w:tr>
        <w:trPr>
          <w:trHeight w:val="404"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5"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1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339,351,160.33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259,670,111.20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184,467,019.32</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712" w:type="dxa"/>
            <w:tcBorders>
              <w:top w:val="single" w:sz="4" w:space="0" w:color="000000"/>
              <w:left w:val="single" w:sz="9" w:space="0" w:color="D2D2D2"/>
              <w:bottom w:val="single" w:sz="4" w:space="0" w:color="000000"/>
              <w:right w:val="single" w:sz="4" w:space="0" w:color="000000"/>
            </w:tcBorders>
          </w:tcPr>
          <w:p>
            <w:pPr>
              <w:pStyle w:val="TableParagraph"/>
              <w:tabs>
                <w:tab w:pos="638" w:val="left" w:leader="none"/>
              </w:tabs>
              <w:spacing w:line="240" w:lineRule="auto" w:before="49"/>
              <w:ind w:left="-119" w:right="22"/>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58,659,727.20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13,515,446.01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334.02%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6,501,097.82</w:t>
            </w:r>
          </w:p>
        </w:tc>
      </w:tr>
      <w:tr>
        <w:trPr>
          <w:trHeight w:val="71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 w:right="9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71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-2,516,680.36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-20,762,201.76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87.88%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-18,444,448.44</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712" w:type="dxa"/>
            <w:tcBorders>
              <w:top w:val="single" w:sz="4" w:space="0" w:color="000000"/>
              <w:left w:val="single" w:sz="9" w:space="0" w:color="D2D2D2"/>
              <w:bottom w:val="single" w:sz="4" w:space="0" w:color="000000"/>
              <w:right w:val="single" w:sz="4" w:space="0" w:color="000000"/>
            </w:tcBorders>
          </w:tcPr>
          <w:p>
            <w:pPr>
              <w:pStyle w:val="TableParagraph"/>
              <w:tabs>
                <w:tab w:pos="638" w:val="left" w:leader="none"/>
              </w:tabs>
              <w:spacing w:line="240" w:lineRule="auto" w:before="49"/>
              <w:ind w:left="-119" w:right="22"/>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15,185,933.81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36,370,741.66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-58.25%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-30,694,037.69</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1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0.2914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0.0674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0.0325</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1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0.2902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0.0576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403.82%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0.0324</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1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0.59%</w:t>
            </w:r>
          </w:p>
        </w:tc>
      </w:tr>
      <w:tr>
        <w:trPr>
          <w:trHeight w:val="404"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4"/>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1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1,309,468,574.98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1,197,980,221.27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9.31%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1,156,759,952.66</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712" w:type="dxa"/>
            <w:tcBorders>
              <w:top w:val="single" w:sz="4" w:space="0" w:color="000000"/>
              <w:left w:val="single" w:sz="9" w:space="0" w:color="D2D2D2"/>
              <w:bottom w:val="single" w:sz="4" w:space="0" w:color="000000"/>
              <w:right w:val="single" w:sz="4" w:space="0" w:color="000000"/>
            </w:tcBorders>
          </w:tcPr>
          <w:p>
            <w:pPr>
              <w:pStyle w:val="TableParagraph"/>
              <w:tabs>
                <w:tab w:pos="412" w:val="left" w:leader="none"/>
              </w:tabs>
              <w:spacing w:line="240" w:lineRule="auto" w:before="49"/>
              <w:ind w:left="-119" w:right="22"/>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1,235,363,809.31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1,141,926,913.09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8.18%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1,124,827,625.96</w:t>
            </w:r>
          </w:p>
        </w:tc>
      </w:tr>
    </w:tbl>
    <w:p>
      <w:pPr>
        <w:pStyle w:val="BodyText"/>
        <w:spacing w:line="314" w:lineRule="auto" w:before="49"/>
        <w:ind w:right="1118"/>
        <w:jc w:val="left"/>
      </w:pPr>
      <w:r>
        <w:rPr/>
        <w:pict>
          <v:group style="position:absolute;margin-left:198.649994pt;margin-top:-20.758274pt;width:83.4pt;height:20.9pt;mso-position-horizontal-relative:page;mso-position-vertical-relative:paragraph;z-index:-1613344" coordorigin="3973,-415" coordsize="1668,418">
            <v:group style="position:absolute;left:3985;top:-403;width:2;height:394" coordorigin="3985,-403" coordsize="2,394">
              <v:shape style="position:absolute;left:3985;top:-403;width:2;height:394" coordorigin="3985,-403" coordsize="0,394" path="m3985,-403l3985,-10e" filled="false" stroked="true" strokeweight="1.2pt" strokecolor="#ffffff">
                <v:path arrowok="t"/>
              </v:shape>
            </v:group>
            <v:group style="position:absolute;left:3997;top:-403;width:1644;height:394" coordorigin="3997,-403" coordsize="1644,394">
              <v:shape style="position:absolute;left:3997;top:-403;width:1644;height:394" coordorigin="3997,-403" coordsize="1644,394" path="m3997,-10l5641,-10,5641,-403,3997,-403,3997,-10xe" filled="true" fillcolor="#ffffff" stroked="false">
                <v:path arrowok="t"/>
                <v:fill type="solid"/>
              </v:shape>
            </v:group>
            <w10:wrap type="none"/>
          </v:group>
        </w:pict>
      </w:r>
      <w:r>
        <w:rPr>
          <w:spacing w:val="-2"/>
        </w:rPr>
        <w:t>公司报告期末至年度报告披露日股本是否因发行新股、增发、配股、股权激励行权、回购等原因发生变化且影响所有者权益</w:t>
      </w:r>
      <w:r>
        <w:rPr>
          <w:spacing w:val="-66"/>
        </w:rPr>
        <w:t> </w:t>
      </w:r>
      <w:r>
        <w:rPr>
          <w:spacing w:val="-66"/>
        </w:rPr>
      </w:r>
      <w:r>
        <w:rPr/>
        <w:t>金额</w:t>
      </w:r>
    </w:p>
    <w:p>
      <w:pPr>
        <w:pStyle w:val="BodyText"/>
        <w:spacing w:line="240" w:lineRule="auto" w:before="61"/>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524"/>
        <w:gridCol w:w="5046"/>
      </w:tblGrid>
      <w:tr>
        <w:trPr>
          <w:trHeight w:val="401"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支付的优先股股利</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0.2902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六、分季度主要财务指标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9"/>
        <w:gridCol w:w="1751"/>
        <w:gridCol w:w="1740"/>
        <w:gridCol w:w="1738"/>
        <w:gridCol w:w="1730"/>
      </w:tblGrid>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48,999,811.12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94,979,801.80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96,924,442.78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98,447,104.63</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2,452,600.53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34,509,180.41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27,956,321.20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-6,258,374.94</w:t>
            </w:r>
          </w:p>
        </w:tc>
      </w:tr>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-2,956,451.78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15,352,437.15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10,694,031.32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-25,606,697.05</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-11,257,340.25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33,156,303.21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-10,893,026.49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4,179,997.34</w:t>
            </w:r>
          </w:p>
        </w:tc>
      </w:tr>
    </w:tbl>
    <w:p>
      <w:pPr>
        <w:pStyle w:val="BodyText"/>
        <w:spacing w:line="240" w:lineRule="auto" w:before="49"/>
        <w:ind w:right="1133"/>
        <w:jc w:val="left"/>
      </w:pPr>
      <w:r>
        <w:rPr/>
        <w:t>上述财务指标或其加总数是否与公司已披露季度报告、半年度报告相关财务指标存在重大差异</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15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6"/>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r>
        <w:rPr/>
        <w:t>八、非经常性损益项目及金额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948"/>
        <w:gridCol w:w="1427"/>
        <w:gridCol w:w="1418"/>
        <w:gridCol w:w="1417"/>
        <w:gridCol w:w="1416"/>
      </w:tblGrid>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2"/>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非流动资产处置损益（包括已计提资产减值准备的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冲销部分）</w:t>
            </w:r>
          </w:p>
        </w:tc>
        <w:tc>
          <w:tcPr>
            <w:tcW w:w="14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-1,660.36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-30,710.79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w:t>
            </w: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394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12" w:right="-34"/>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w:t>
            </w:r>
          </w:p>
        </w:tc>
        <w:tc>
          <w:tcPr>
            <w:tcW w:w="1427" w:type="dxa"/>
            <w:tcBorders>
              <w:top w:val="single" w:sz="4" w:space="0" w:color="000000"/>
              <w:left w:val="single" w:sz="12" w:space="0" w:color="D2D2D2"/>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416" w:type="dxa"/>
            <w:vMerge w:val="restart"/>
            <w:tcBorders>
              <w:top w:val="single" w:sz="4" w:space="0" w:color="000000"/>
              <w:left w:val="single" w:sz="4" w:space="0" w:color="000000"/>
              <w:right w:val="single" w:sz="4" w:space="0" w:color="000000"/>
            </w:tcBorders>
          </w:tcPr>
          <w:p>
            <w:pPr/>
          </w:p>
        </w:tc>
      </w:tr>
      <w:tr>
        <w:trPr>
          <w:trHeight w:val="317" w:hRule="exact"/>
        </w:trPr>
        <w:tc>
          <w:tcPr>
            <w:tcW w:w="39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按照国家统一标准定额或定量享受的政府补助除</w:t>
            </w:r>
          </w:p>
        </w:tc>
        <w:tc>
          <w:tcPr>
            <w:tcW w:w="1427" w:type="dxa"/>
            <w:tcBorders>
              <w:top w:val="nil" w:sz="6" w:space="0" w:color="auto"/>
              <w:left w:val="single" w:sz="12" w:space="0" w:color="D2D2D2"/>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37,324,720.46</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13,820,220.72</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10,358,613.33</w:t>
            </w:r>
          </w:p>
        </w:tc>
        <w:tc>
          <w:tcPr>
            <w:tcW w:w="1416" w:type="dxa"/>
            <w:vMerge/>
            <w:tcBorders>
              <w:left w:val="single" w:sz="4" w:space="0" w:color="000000"/>
              <w:right w:val="single" w:sz="4" w:space="0" w:color="000000"/>
            </w:tcBorders>
          </w:tcPr>
          <w:p>
            <w:pPr/>
          </w:p>
        </w:tc>
      </w:tr>
      <w:tr>
        <w:trPr>
          <w:trHeight w:val="355" w:hRule="exact"/>
        </w:trPr>
        <w:tc>
          <w:tcPr>
            <w:tcW w:w="394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left="12" w:right="0"/>
              <w:jc w:val="left"/>
              <w:rPr>
                <w:rFonts w:ascii="宋体" w:hAnsi="宋体" w:cs="宋体" w:eastAsia="宋体" w:hint="default"/>
                <w:sz w:val="18"/>
                <w:szCs w:val="18"/>
              </w:rPr>
            </w:pPr>
            <w:r>
              <w:rPr>
                <w:rFonts w:ascii="宋体" w:hAnsi="宋体" w:cs="宋体" w:eastAsia="宋体" w:hint="default"/>
                <w:sz w:val="18"/>
                <w:szCs w:val="18"/>
              </w:rPr>
              <w:t>外）</w:t>
            </w:r>
          </w:p>
        </w:tc>
        <w:tc>
          <w:tcPr>
            <w:tcW w:w="1427" w:type="dxa"/>
            <w:tcBorders>
              <w:top w:val="nil" w:sz="6" w:space="0" w:color="auto"/>
              <w:left w:val="single" w:sz="12" w:space="0" w:color="D2D2D2"/>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r>
      <w:tr>
        <w:trPr>
          <w:trHeight w:val="354" w:hRule="exact"/>
        </w:trPr>
        <w:tc>
          <w:tcPr>
            <w:tcW w:w="394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w:t>
            </w:r>
          </w:p>
        </w:tc>
        <w:tc>
          <w:tcPr>
            <w:tcW w:w="1427" w:type="dxa"/>
            <w:tcBorders>
              <w:top w:val="single" w:sz="4" w:space="0" w:color="000000"/>
              <w:left w:val="single" w:sz="12" w:space="0" w:color="D2D2D2"/>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416" w:type="dxa"/>
            <w:vMerge w:val="restart"/>
            <w:tcBorders>
              <w:top w:val="single" w:sz="4" w:space="0" w:color="000000"/>
              <w:left w:val="single" w:sz="4" w:space="0" w:color="000000"/>
              <w:right w:val="single" w:sz="4" w:space="0" w:color="000000"/>
            </w:tcBorders>
          </w:tcPr>
          <w:p>
            <w:pPr/>
          </w:p>
        </w:tc>
      </w:tr>
      <w:tr>
        <w:trPr>
          <w:trHeight w:val="311" w:hRule="exact"/>
        </w:trPr>
        <w:tc>
          <w:tcPr>
            <w:tcW w:w="39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12" w:right="0"/>
              <w:jc w:val="left"/>
              <w:rPr>
                <w:rFonts w:ascii="宋体" w:hAnsi="宋体" w:cs="宋体" w:eastAsia="宋体" w:hint="default"/>
                <w:sz w:val="18"/>
                <w:szCs w:val="18"/>
              </w:rPr>
            </w:pPr>
            <w:r>
              <w:rPr>
                <w:rFonts w:ascii="宋体" w:hAnsi="宋体" w:cs="宋体" w:eastAsia="宋体" w:hint="default"/>
                <w:spacing w:val="-3"/>
                <w:sz w:val="18"/>
                <w:szCs w:val="18"/>
              </w:rPr>
              <w:t>外，持有交易性金融资产、衍生金融资产、交易性</w:t>
            </w:r>
          </w:p>
        </w:tc>
        <w:tc>
          <w:tcPr>
            <w:tcW w:w="1427" w:type="dxa"/>
            <w:tcBorders>
              <w:top w:val="nil" w:sz="6" w:space="0" w:color="auto"/>
              <w:left w:val="single" w:sz="12" w:space="0" w:color="D2D2D2"/>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6" w:type="dxa"/>
            <w:vMerge/>
            <w:tcBorders>
              <w:left w:val="single" w:sz="4" w:space="0" w:color="000000"/>
              <w:right w:val="single" w:sz="4" w:space="0" w:color="000000"/>
            </w:tcBorders>
          </w:tcPr>
          <w:p>
            <w:pPr/>
          </w:p>
        </w:tc>
      </w:tr>
      <w:tr>
        <w:trPr>
          <w:trHeight w:val="624" w:hRule="exact"/>
        </w:trPr>
        <w:tc>
          <w:tcPr>
            <w:tcW w:w="39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12" w:right="12"/>
              <w:jc w:val="left"/>
              <w:rPr>
                <w:rFonts w:ascii="宋体" w:hAnsi="宋体" w:cs="宋体" w:eastAsia="宋体" w:hint="default"/>
                <w:sz w:val="18"/>
                <w:szCs w:val="18"/>
              </w:rPr>
            </w:pPr>
            <w:r>
              <w:rPr>
                <w:rFonts w:ascii="宋体" w:hAnsi="宋体" w:cs="宋体" w:eastAsia="宋体" w:hint="default"/>
                <w:sz w:val="18"/>
                <w:szCs w:val="18"/>
              </w:rPr>
              <w:t>金融负债、衍生金融负债产生的公允价值变动损 </w:t>
            </w:r>
            <w:r>
              <w:rPr>
                <w:rFonts w:ascii="宋体" w:hAnsi="宋体" w:cs="宋体" w:eastAsia="宋体" w:hint="default"/>
                <w:spacing w:val="-3"/>
                <w:sz w:val="18"/>
                <w:szCs w:val="18"/>
              </w:rPr>
              <w:t>益，以及处置交易性金融资产、衍生金融资产、交</w:t>
            </w:r>
          </w:p>
        </w:tc>
        <w:tc>
          <w:tcPr>
            <w:tcW w:w="1427" w:type="dxa"/>
            <w:tcBorders>
              <w:top w:val="nil" w:sz="6" w:space="0" w:color="auto"/>
              <w:left w:val="single" w:sz="12" w:space="0" w:color="D2D2D2"/>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32,519,652.18</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29,155,405.96</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24,323,034.90</w:t>
            </w:r>
          </w:p>
        </w:tc>
        <w:tc>
          <w:tcPr>
            <w:tcW w:w="1416" w:type="dxa"/>
            <w:vMerge/>
            <w:tcBorders>
              <w:left w:val="single" w:sz="4" w:space="0" w:color="000000"/>
              <w:right w:val="single" w:sz="4" w:space="0" w:color="000000"/>
            </w:tcBorders>
          </w:tcPr>
          <w:p>
            <w:pPr/>
          </w:p>
        </w:tc>
      </w:tr>
      <w:tr>
        <w:trPr>
          <w:trHeight w:val="312" w:hRule="exact"/>
        </w:trPr>
        <w:tc>
          <w:tcPr>
            <w:tcW w:w="39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pacing w:val="-3"/>
                <w:sz w:val="18"/>
                <w:szCs w:val="18"/>
              </w:rPr>
              <w:t>易性金融负债、衍生金融负债和其他债权投资取得</w:t>
            </w:r>
          </w:p>
        </w:tc>
        <w:tc>
          <w:tcPr>
            <w:tcW w:w="1427" w:type="dxa"/>
            <w:tcBorders>
              <w:top w:val="nil" w:sz="6" w:space="0" w:color="auto"/>
              <w:left w:val="single" w:sz="12" w:space="0" w:color="D2D2D2"/>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416" w:type="dxa"/>
            <w:vMerge/>
            <w:tcBorders>
              <w:left w:val="single" w:sz="4" w:space="0" w:color="000000"/>
              <w:right w:val="single" w:sz="4" w:space="0" w:color="000000"/>
            </w:tcBorders>
          </w:tcPr>
          <w:p>
            <w:pPr/>
          </w:p>
        </w:tc>
      </w:tr>
      <w:tr>
        <w:trPr>
          <w:trHeight w:val="360" w:hRule="exact"/>
        </w:trPr>
        <w:tc>
          <w:tcPr>
            <w:tcW w:w="394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的投资收益</w:t>
            </w:r>
          </w:p>
        </w:tc>
        <w:tc>
          <w:tcPr>
            <w:tcW w:w="1427" w:type="dxa"/>
            <w:tcBorders>
              <w:top w:val="nil" w:sz="6" w:space="0" w:color="auto"/>
              <w:left w:val="single" w:sz="12" w:space="0" w:color="D2D2D2"/>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-3,467,330.23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-1,768,337.55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-163,097.00</w:t>
            </w:r>
          </w:p>
        </w:tc>
        <w:tc>
          <w:tcPr>
            <w:tcW w:w="14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948"/>
        <w:gridCol w:w="1427"/>
        <w:gridCol w:w="1418"/>
        <w:gridCol w:w="1417"/>
        <w:gridCol w:w="1416"/>
      </w:tblGrid>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4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-534,400.00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-1,888,000.00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-4,688,500.00</w:t>
            </w: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4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4,664,574.49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5,010,930.57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4,884,104.97</w:t>
            </w: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61,176,407.56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34,277,647.77</w:t>
            </w:r>
          </w:p>
        </w:tc>
        <w:tc>
          <w:tcPr>
            <w:tcW w:w="141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24,945,546.26</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6"/>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118"/>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390"/>
        <w:jc w:val="center"/>
        <w:rPr>
          <w:b w:val="0"/>
          <w:bCs w:val="0"/>
        </w:rPr>
      </w:pPr>
      <w:bookmarkStart w:name="_bookmark2" w:id="3"/>
      <w:bookmarkEnd w:id="3"/>
      <w:r>
        <w:rPr>
          <w:b w:val="0"/>
          <w:bCs w:val="0"/>
        </w:rPr>
      </w:r>
      <w:r>
        <w:rPr/>
        <w:t>第三节公司业务概要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513" w:right="1133" w:hanging="361"/>
        <w:jc w:val="left"/>
      </w:pPr>
      <w:r>
        <w:rPr/>
        <w:t>公司需遵守《深圳证券交易所创业板行业信息披露指引第</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上市公司从事集成电路相关业务》的披露要求 </w:t>
      </w:r>
      <w:r>
        <w:rPr>
          <w:spacing w:val="-2"/>
        </w:rPr>
        <w:t>公司为集成电路设计企业，成立以来在嵌入式</w:t>
      </w:r>
      <w:r>
        <w:rPr>
          <w:rFonts w:ascii="Times New Roman" w:hAnsi="Times New Roman" w:cs="Times New Roman" w:eastAsia="Times New Roman" w:hint="default"/>
          <w:spacing w:val="-2"/>
        </w:rPr>
        <w:t>CPU</w:t>
      </w:r>
      <w:r>
        <w:rPr>
          <w:spacing w:val="-2"/>
        </w:rPr>
        <w:t>、视频编解码、影像信号处理、神经网络处理器、</w:t>
      </w:r>
      <w:r>
        <w:rPr>
          <w:rFonts w:ascii="Times New Roman" w:hAnsi="Times New Roman" w:cs="Times New Roman" w:eastAsia="Times New Roman" w:hint="default"/>
          <w:spacing w:val="-2"/>
        </w:rPr>
        <w:t>AI</w:t>
      </w:r>
      <w:r>
        <w:rPr>
          <w:spacing w:val="-2"/>
        </w:rPr>
        <w:t>算法等领域持续</w:t>
      </w:r>
    </w:p>
    <w:p>
      <w:pPr>
        <w:pStyle w:val="BodyText"/>
        <w:spacing w:line="215" w:lineRule="exact"/>
        <w:ind w:right="0"/>
        <w:jc w:val="both"/>
      </w:pPr>
      <w:r>
        <w:rPr/>
        <w:t>投入，形成自主创新的核心技术；基于这些核心技术，公司推出了微处理器芯片和智能视频芯片两条产品线，并且围绕着这</w:t>
      </w:r>
    </w:p>
    <w:p>
      <w:pPr>
        <w:pStyle w:val="BodyText"/>
        <w:spacing w:line="319" w:lineRule="auto" w:before="76"/>
        <w:ind w:right="1130"/>
        <w:jc w:val="both"/>
      </w:pPr>
      <w:r>
        <w:rPr>
          <w:spacing w:val="-2"/>
        </w:rPr>
        <w:t>两条产品线，研发了相应的软硬件平台和解决方案，帮助客户快速把公司产品推向市场。公司的微处理器产品线主要应用于</w:t>
      </w:r>
      <w:r>
        <w:rPr>
          <w:spacing w:val="-63"/>
        </w:rPr>
        <w:t> </w:t>
      </w:r>
      <w:r>
        <w:rPr>
          <w:spacing w:val="-63"/>
        </w:rPr>
      </w:r>
      <w:r>
        <w:rPr>
          <w:spacing w:val="-2"/>
        </w:rPr>
        <w:t>生物识别、二维码识别、商业设备、智能家居、智能穿戴以及物联网相关领域，智能视频产品线广泛地应用于安防监控、智</w:t>
      </w:r>
      <w:r>
        <w:rPr>
          <w:spacing w:val="-67"/>
        </w:rPr>
        <w:t> </w:t>
      </w:r>
      <w:r>
        <w:rPr>
          <w:spacing w:val="-67"/>
        </w:rPr>
      </w:r>
      <w:r>
        <w:rPr/>
        <w:t>能门铃、智能门锁、人脸识别设备等领域。</w:t>
      </w:r>
    </w:p>
    <w:p>
      <w:pPr>
        <w:pStyle w:val="BodyText"/>
        <w:spacing w:line="316" w:lineRule="auto" w:before="55"/>
        <w:ind w:right="1130" w:firstLine="360"/>
        <w:jc w:val="both"/>
      </w:pPr>
      <w:r>
        <w:rPr>
          <w:spacing w:val="-2"/>
        </w:rPr>
        <w:t>报告期内，公司紧跟市场需求变化，及时把握新的市场机会，加快各领域中的关键技术研发和新产品开发，充分发挥公</w:t>
      </w:r>
      <w:r>
        <w:rPr/>
        <w:t> </w:t>
      </w:r>
      <w:r>
        <w:rPr>
          <w:spacing w:val="-2"/>
        </w:rPr>
        <w:t>司产品在性能、功耗和性价比等各方面的竞争优势，不断加强市场推广力度，公司总体营业收入及净利润较去年同期显著增</w:t>
      </w:r>
      <w:r>
        <w:rPr>
          <w:spacing w:val="-63"/>
        </w:rPr>
        <w:t> </w:t>
      </w:r>
      <w:r>
        <w:rPr>
          <w:spacing w:val="-63"/>
        </w:rPr>
      </w:r>
      <w:r>
        <w:rPr/>
        <w:t>长。</w:t>
      </w:r>
    </w:p>
    <w:p>
      <w:pPr>
        <w:spacing w:line="348" w:lineRule="auto" w:before="59"/>
        <w:ind w:left="513" w:right="1118" w:firstLine="0"/>
        <w:jc w:val="left"/>
        <w:rPr>
          <w:rFonts w:ascii="宋体" w:hAnsi="宋体" w:cs="宋体" w:eastAsia="宋体" w:hint="default"/>
          <w:sz w:val="18"/>
          <w:szCs w:val="18"/>
        </w:rPr>
      </w:pPr>
      <w:r>
        <w:rPr>
          <w:rFonts w:ascii="宋体" w:hAnsi="宋体" w:cs="宋体" w:eastAsia="宋体" w:hint="default"/>
          <w:sz w:val="18"/>
          <w:szCs w:val="18"/>
        </w:rPr>
        <w:t>报告期内，整个集成电路行业的发展状况及对公司未来经营业绩的影响情况如下： </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、报告期内细分行业整体发展情况、行业政策发展变化情况及对公司未来生产经营影响</w:t>
      </w:r>
      <w:r>
        <w:rPr>
          <w:rFonts w:ascii="宋体" w:hAnsi="宋体" w:cs="宋体" w:eastAsia="宋体" w:hint="default"/>
          <w:b/>
          <w:bCs/>
          <w:w w:val="99"/>
          <w:sz w:val="18"/>
          <w:szCs w:val="18"/>
        </w:rPr>
        <w:t> </w:t>
      </w:r>
      <w:r>
        <w:rPr>
          <w:rFonts w:ascii="宋体" w:hAnsi="宋体" w:cs="宋体" w:eastAsia="宋体" w:hint="default"/>
          <w:spacing w:val="-2"/>
          <w:sz w:val="18"/>
          <w:szCs w:val="18"/>
        </w:rPr>
        <w:t>近年来，在政策支持和市场需求的双重拉动下，我国集成电路设计产业得到了快速发展。</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年，在全球半导体市场比</w:t>
      </w:r>
    </w:p>
    <w:p>
      <w:pPr>
        <w:pStyle w:val="BodyText"/>
        <w:spacing w:line="222" w:lineRule="exact"/>
        <w:ind w:right="0"/>
        <w:jc w:val="both"/>
        <w:rPr>
          <w:rFonts w:ascii="Times New Roman" w:hAnsi="Times New Roman" w:cs="Times New Roman" w:eastAsia="Times New Roman" w:hint="default"/>
        </w:rPr>
      </w:pPr>
      <w:r>
        <w:rPr/>
        <w:t>较低迷的背景下，我国集成电路设计产业仍然保持稳步增长态势。根据中国半导体行业协会设计分会统计数据，预计</w:t>
      </w:r>
      <w:r>
        <w:rPr>
          <w:rFonts w:ascii="Times New Roman" w:hAnsi="Times New Roman" w:cs="Times New Roman" w:eastAsia="Times New Roman" w:hint="default"/>
        </w:rPr>
        <w:t>2019</w:t>
      </w:r>
    </w:p>
    <w:p>
      <w:pPr>
        <w:pStyle w:val="BodyText"/>
        <w:spacing w:line="307" w:lineRule="auto" w:before="63"/>
        <w:ind w:right="1127"/>
        <w:jc w:val="both"/>
      </w:pPr>
      <w:r>
        <w:rPr>
          <w:spacing w:val="-3"/>
        </w:rPr>
        <w:t>年中国集成电路设计行业销售总额约为</w:t>
      </w:r>
      <w:r>
        <w:rPr>
          <w:rFonts w:ascii="Times New Roman" w:hAnsi="Times New Roman" w:cs="Times New Roman" w:eastAsia="Times New Roman" w:hint="default"/>
          <w:spacing w:val="-3"/>
        </w:rPr>
        <w:t>3,084.9</w:t>
      </w:r>
      <w:r>
        <w:rPr>
          <w:spacing w:val="-3"/>
        </w:rPr>
        <w:t>亿元，较</w:t>
      </w:r>
      <w:r>
        <w:rPr>
          <w:rFonts w:ascii="Times New Roman" w:hAnsi="Times New Roman" w:cs="Times New Roman" w:eastAsia="Times New Roman" w:hint="default"/>
          <w:spacing w:val="-3"/>
        </w:rPr>
        <w:t>2018</w:t>
      </w:r>
      <w:r>
        <w:rPr>
          <w:spacing w:val="-3"/>
        </w:rPr>
        <w:t>年增长</w:t>
      </w:r>
      <w:r>
        <w:rPr>
          <w:rFonts w:ascii="Times New Roman" w:hAnsi="Times New Roman" w:cs="Times New Roman" w:eastAsia="Times New Roman" w:hint="default"/>
          <w:spacing w:val="-3"/>
        </w:rPr>
        <w:t>19.7%</w:t>
      </w:r>
      <w:r>
        <w:rPr>
          <w:spacing w:val="-3"/>
        </w:rPr>
        <w:t>；企业数量方面，截至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11</w:t>
      </w:r>
      <w:r>
        <w:rPr>
          <w:spacing w:val="-3"/>
        </w:rPr>
        <w:t>月底，全国共有</w:t>
      </w:r>
      <w:r>
        <w:rPr>
          <w:rFonts w:ascii="Times New Roman" w:hAnsi="Times New Roman" w:cs="Times New Roman" w:eastAsia="Times New Roman" w:hint="default"/>
          <w:spacing w:val="-3"/>
        </w:rPr>
        <w:t>1780</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33"/>
        </w:rPr>
      </w:r>
      <w:r>
        <w:rPr/>
        <w:t>家设计企业，较去年同期增长</w:t>
      </w:r>
      <w:r>
        <w:rPr>
          <w:rFonts w:ascii="Times New Roman" w:hAnsi="Times New Roman" w:cs="Times New Roman" w:eastAsia="Times New Roman" w:hint="default"/>
        </w:rPr>
        <w:t>4.8%</w:t>
      </w:r>
      <w:r>
        <w:rPr/>
        <w:t>。同时，行业发展质量也同步提升。一方面，行业产业集中度上升，预示着集成电路设</w:t>
      </w:r>
      <w:r>
        <w:rPr>
          <w:spacing w:val="-20"/>
        </w:rPr>
        <w:t> </w:t>
      </w:r>
      <w:r>
        <w:rPr>
          <w:spacing w:val="-20"/>
        </w:rPr>
      </w:r>
      <w:r>
        <w:rPr>
          <w:spacing w:val="-2"/>
        </w:rPr>
        <w:t>计行业小、散、弱的局面在日趋改善；另一方面，中小设计企业的创新门槛在降低，更多行业公共服务平台机构成立，这将</w:t>
      </w:r>
      <w:r>
        <w:rPr>
          <w:spacing w:val="-68"/>
        </w:rPr>
        <w:t> </w:t>
      </w:r>
      <w:r>
        <w:rPr>
          <w:spacing w:val="-68"/>
        </w:rPr>
      </w:r>
      <w:r>
        <w:rPr/>
        <w:t>有效提升中小设计公司产品质量和设计能力。</w:t>
      </w:r>
    </w:p>
    <w:p>
      <w:pPr>
        <w:pStyle w:val="BodyText"/>
        <w:spacing w:line="314" w:lineRule="auto" w:before="67"/>
        <w:ind w:right="986" w:firstLine="360"/>
        <w:jc w:val="left"/>
      </w:pPr>
      <w:r>
        <w:rPr>
          <w:spacing w:val="-4"/>
        </w:rPr>
        <w:t>为推动我国集成电路产业的发展，国家和地方先后出台了一系列鼓励扶持政策，为集成电路产业建立了优良的政策环境。</w:t>
      </w:r>
      <w:r>
        <w:rPr/>
        <w:t> 报告期内，行业政策环境继续得到加强。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月财政部和税务总局发布了《关于集成电路设计和软件产业企业所得税政</w:t>
      </w:r>
      <w:r>
        <w:rPr>
          <w:spacing w:val="-85"/>
        </w:rPr>
        <w:t> </w:t>
      </w:r>
      <w:r>
        <w:rPr>
          <w:spacing w:val="-85"/>
        </w:rPr>
      </w:r>
      <w:r>
        <w:rPr>
          <w:spacing w:val="-2"/>
        </w:rPr>
        <w:t>策的公告》，对集成电路和软件企业继续实施所得税优惠政策。同时，北京、上海、深圳、合肥等地方政府也出台了若干支</w:t>
      </w:r>
      <w:r>
        <w:rPr>
          <w:spacing w:val="-68"/>
        </w:rPr>
        <w:t> </w:t>
      </w:r>
      <w:r>
        <w:rPr>
          <w:spacing w:val="-68"/>
        </w:rPr>
      </w:r>
      <w:r>
        <w:rPr>
          <w:spacing w:val="-2"/>
        </w:rPr>
        <w:t>持本地集成电路产业发展的政策。这些政策为集成电路设计行业提供了财政、税收、技术和人才等多方面的支持，为企业创</w:t>
      </w:r>
      <w:r>
        <w:rPr>
          <w:spacing w:val="-64"/>
        </w:rPr>
        <w:t> </w:t>
      </w:r>
      <w:r>
        <w:rPr>
          <w:spacing w:val="-64"/>
        </w:rPr>
      </w:r>
      <w:r>
        <w:rPr>
          <w:spacing w:val="-2"/>
        </w:rPr>
        <w:t>造了良好的经营环境，有力促进了本土集成电路设计行业的发展。国家和各级政府对集成电路设计产业的支持将为公司的持</w:t>
      </w:r>
      <w:r>
        <w:rPr>
          <w:spacing w:val="-64"/>
        </w:rPr>
        <w:t> </w:t>
      </w:r>
      <w:r>
        <w:rPr>
          <w:spacing w:val="-64"/>
        </w:rPr>
      </w:r>
      <w:r>
        <w:rPr/>
        <w:t>续健康发展起到积极的促进作用。</w:t>
      </w:r>
    </w:p>
    <w:p>
      <w:pPr>
        <w:spacing w:line="338" w:lineRule="auto" w:before="61"/>
        <w:ind w:left="513" w:right="1118"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、报告期内公司主要集成电路产品所属细分领域的主流技术水平及市场需求变化情况及对公司影响</w:t>
      </w:r>
      <w:r>
        <w:rPr>
          <w:rFonts w:ascii="宋体" w:hAnsi="宋体" w:cs="宋体" w:eastAsia="宋体" w:hint="default"/>
          <w:b/>
          <w:bCs/>
          <w:w w:val="99"/>
          <w:sz w:val="18"/>
          <w:szCs w:val="18"/>
        </w:rPr>
        <w:t> </w:t>
      </w:r>
      <w:r>
        <w:rPr>
          <w:rFonts w:ascii="宋体" w:hAnsi="宋体" w:cs="宋体" w:eastAsia="宋体" w:hint="default"/>
          <w:spacing w:val="-2"/>
          <w:sz w:val="18"/>
          <w:szCs w:val="18"/>
        </w:rPr>
        <w:t>公司集成电路产品根据产品功能和面向的领域主要分为两类，微处理器芯片和智能视频芯片，这两类产品均属于逻辑集</w:t>
      </w:r>
    </w:p>
    <w:p>
      <w:pPr>
        <w:pStyle w:val="BodyText"/>
        <w:spacing w:line="304" w:lineRule="auto" w:before="2"/>
        <w:ind w:right="1131"/>
        <w:jc w:val="both"/>
      </w:pPr>
      <w:r>
        <w:rPr/>
        <w:t>成电路细分行业。报告期内，公司的两类芯片产品所面向的领域都面临</w:t>
      </w:r>
      <w:r>
        <w:rPr>
          <w:rFonts w:ascii="Times New Roman" w:hAnsi="Times New Roman" w:cs="Times New Roman" w:eastAsia="Times New Roman" w:hint="default"/>
        </w:rPr>
        <w:t>AI</w:t>
      </w:r>
      <w:r>
        <w:rPr/>
        <w:t>化、更高集成度、更低功耗等市场需求变化。为</w:t>
      </w:r>
      <w:r>
        <w:rPr>
          <w:spacing w:val="-14"/>
        </w:rPr>
        <w:t> </w:t>
      </w:r>
      <w:r>
        <w:rPr>
          <w:spacing w:val="-14"/>
        </w:rPr>
      </w:r>
      <w:r>
        <w:rPr/>
        <w:t>了应对上述市场需求，相关领域的芯片产品也在不断提升技术水平和工艺制程，主流产品的工艺制程涵盖了从</w:t>
      </w:r>
      <w:r>
        <w:rPr>
          <w:rFonts w:ascii="Times New Roman" w:hAnsi="Times New Roman" w:cs="Times New Roman" w:eastAsia="Times New Roman" w:hint="default"/>
        </w:rPr>
        <w:t>28</w:t>
      </w:r>
      <w:r>
        <w:rPr/>
        <w:t>纳米到</w:t>
      </w:r>
      <w:r>
        <w:rPr>
          <w:rFonts w:ascii="Times New Roman" w:hAnsi="Times New Roman" w:cs="Times New Roman" w:eastAsia="Times New Roman" w:hint="default"/>
        </w:rPr>
        <w:t>16</w:t>
      </w:r>
      <w:r>
        <w:rPr>
          <w:rFonts w:ascii="Times New Roman" w:hAnsi="Times New Roman" w:cs="Times New Roman" w:eastAsia="Times New Roman" w:hint="default"/>
          <w:spacing w:val="42"/>
        </w:rPr>
        <w:t> </w:t>
      </w:r>
      <w:r>
        <w:rPr>
          <w:spacing w:val="-2"/>
        </w:rPr>
        <w:t>纳米工艺的范围，封装上则以高密度封装技术为主。公司根据市场需求变化，不断加强技术研发，提高新产品的技术水平和</w:t>
      </w:r>
      <w:r>
        <w:rPr>
          <w:spacing w:val="-65"/>
        </w:rPr>
        <w:t> </w:t>
      </w:r>
      <w:r>
        <w:rPr>
          <w:spacing w:val="-65"/>
        </w:rPr>
      </w:r>
      <w:r>
        <w:rPr>
          <w:spacing w:val="-2"/>
        </w:rPr>
        <w:t>工艺制程，目前公司微处理器和智能视频芯片新产品的工艺分别为</w:t>
      </w:r>
      <w:r>
        <w:rPr>
          <w:rFonts w:ascii="Times New Roman" w:hAnsi="Times New Roman" w:cs="Times New Roman" w:eastAsia="Times New Roman" w:hint="default"/>
          <w:spacing w:val="-2"/>
        </w:rPr>
        <w:t>28</w:t>
      </w:r>
      <w:r>
        <w:rPr>
          <w:spacing w:val="-2"/>
        </w:rPr>
        <w:t>纳米和</w:t>
      </w:r>
      <w:r>
        <w:rPr>
          <w:rFonts w:ascii="Times New Roman" w:hAnsi="Times New Roman" w:cs="Times New Roman" w:eastAsia="Times New Roman" w:hint="default"/>
          <w:spacing w:val="-2"/>
        </w:rPr>
        <w:t>22</w:t>
      </w:r>
      <w:r>
        <w:rPr>
          <w:spacing w:val="-2"/>
        </w:rPr>
        <w:t>纳米，公司将根据市场需求情况不断推出更高</w:t>
      </w:r>
      <w:r>
        <w:rPr>
          <w:spacing w:val="-61"/>
        </w:rPr>
        <w:t> </w:t>
      </w:r>
      <w:r>
        <w:rPr>
          <w:spacing w:val="-61"/>
        </w:rPr>
      </w:r>
      <w:r>
        <w:rPr/>
        <w:t>技术水平的产品。</w:t>
      </w:r>
    </w:p>
    <w:p>
      <w:pPr>
        <w:spacing w:line="340" w:lineRule="auto" w:before="68"/>
        <w:ind w:left="513" w:right="1118"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、报告期内公司所在行业的竞争情况和公司综合优劣势</w:t>
      </w:r>
      <w:r>
        <w:rPr>
          <w:rFonts w:ascii="宋体" w:hAnsi="宋体" w:cs="宋体" w:eastAsia="宋体" w:hint="default"/>
          <w:b/>
          <w:bCs/>
          <w:w w:val="99"/>
          <w:sz w:val="18"/>
          <w:szCs w:val="18"/>
        </w:rPr>
        <w:t> </w:t>
      </w:r>
      <w:r>
        <w:rPr>
          <w:rFonts w:ascii="宋体" w:hAnsi="宋体" w:cs="宋体" w:eastAsia="宋体" w:hint="default"/>
          <w:spacing w:val="-2"/>
          <w:sz w:val="18"/>
          <w:szCs w:val="18"/>
        </w:rPr>
        <w:t>公司的技术和产品主要面向智能硬件、智能互联等新兴行业市场，这个市场因为空间广阔、发展迅速而获得了传统手机</w:t>
      </w:r>
    </w:p>
    <w:p>
      <w:pPr>
        <w:pStyle w:val="BodyText"/>
        <w:spacing w:line="300" w:lineRule="auto" w:before="1"/>
        <w:ind w:right="1135"/>
        <w:jc w:val="both"/>
      </w:pPr>
      <w:r>
        <w:rPr/>
        <w:t>芯片厂商、无线芯片厂商、多媒体芯片厂商、</w:t>
      </w:r>
      <w:r>
        <w:rPr>
          <w:rFonts w:ascii="Times New Roman" w:hAnsi="Times New Roman" w:cs="Times New Roman" w:eastAsia="Times New Roman" w:hint="default"/>
        </w:rPr>
        <w:t>MCU</w:t>
      </w:r>
      <w:r>
        <w:rPr/>
        <w:t>厂商的参与，竞争非常激烈。在激烈的市场竞争中，自主可控的核心技</w:t>
      </w:r>
      <w:r>
        <w:rPr>
          <w:spacing w:val="-50"/>
        </w:rPr>
        <w:t> </w:t>
      </w:r>
      <w:r>
        <w:rPr>
          <w:spacing w:val="-50"/>
        </w:rPr>
      </w:r>
      <w:r>
        <w:rPr/>
        <w:t>术和产品的成本控制一直是公司重要的竞争优势之一。</w:t>
      </w:r>
    </w:p>
    <w:p>
      <w:pPr>
        <w:pStyle w:val="BodyText"/>
        <w:spacing w:line="309" w:lineRule="auto" w:before="70"/>
        <w:ind w:right="1129" w:firstLine="360"/>
        <w:jc w:val="both"/>
      </w:pPr>
      <w:r>
        <w:rPr/>
        <w:t>公司通过多年的研发投入，形成了嵌入式</w:t>
      </w:r>
      <w:r>
        <w:rPr>
          <w:rFonts w:ascii="Times New Roman" w:hAnsi="Times New Roman" w:cs="Times New Roman" w:eastAsia="Times New Roman" w:hint="default"/>
        </w:rPr>
        <w:t>CPU</w:t>
      </w:r>
      <w:r>
        <w:rPr/>
        <w:t>技术、视频编解码技术、影像信号处理技术、神经网络处理器技术和</w:t>
      </w:r>
      <w:r>
        <w:rPr>
          <w:rFonts w:ascii="Times New Roman" w:hAnsi="Times New Roman" w:cs="Times New Roman" w:eastAsia="Times New Roman" w:hint="default"/>
        </w:rPr>
        <w:t>AI</w:t>
      </w:r>
      <w:r>
        <w:rPr>
          <w:rFonts w:ascii="Times New Roman" w:hAnsi="Times New Roman" w:cs="Times New Roman" w:eastAsia="Times New Roman" w:hint="default"/>
          <w:spacing w:val="-3"/>
          <w:w w:val="99"/>
        </w:rPr>
        <w:t> </w:t>
      </w:r>
      <w:r>
        <w:rPr>
          <w:spacing w:val="-2"/>
        </w:rPr>
        <w:t>算法技术等多项核心技术，且技术领先、自主可控。公司在关键核心技术上的自主设计既避免了大额的前期授权费用，又在</w:t>
      </w:r>
      <w:r>
        <w:rPr>
          <w:spacing w:val="-64"/>
        </w:rPr>
        <w:t> </w:t>
      </w:r>
      <w:r>
        <w:rPr>
          <w:spacing w:val="-64"/>
        </w:rPr>
      </w:r>
      <w:r>
        <w:rPr>
          <w:spacing w:val="-2"/>
        </w:rPr>
        <w:t>芯片量产销售阶段避免了按照每片芯片要缴纳的权利金，从而有利于公司的成本控制；同时，关键技术的自主研发还可以在</w:t>
      </w:r>
    </w:p>
    <w:p>
      <w:pPr>
        <w:spacing w:after="0" w:line="309"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0"/>
        <w:jc w:val="both"/>
      </w:pPr>
      <w:r>
        <w:rPr>
          <w:spacing w:val="-2"/>
        </w:rPr>
        <w:t>设计芯片时针对特定应用市场进行定制设计而避免不必要的冗余，从而进一步节省了成本；此外，在研发中，公司紧密跟踪</w:t>
      </w:r>
      <w:r>
        <w:rPr>
          <w:spacing w:val="-66"/>
        </w:rPr>
        <w:t> </w:t>
      </w:r>
      <w:r>
        <w:rPr>
          <w:spacing w:val="-66"/>
        </w:rPr>
      </w:r>
      <w:r>
        <w:rPr>
          <w:spacing w:val="-2"/>
        </w:rPr>
        <w:t>先进工艺制程的发展情况，选择适合产品需求的最经济合理的工艺节点，这也是公司对产品成本控制的重要手段之一。公司</w:t>
      </w:r>
      <w:r>
        <w:rPr>
          <w:spacing w:val="-63"/>
        </w:rPr>
        <w:t> </w:t>
      </w:r>
      <w:r>
        <w:rPr>
          <w:spacing w:val="-63"/>
        </w:rPr>
      </w:r>
      <w:r>
        <w:rPr/>
        <w:t>自主创新的核心技术和产品突出的性价比优势，使公司的市场销售在近几年来一直保持了良好的发展势头。</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835"/>
        <w:gridCol w:w="6805"/>
      </w:tblGrid>
      <w:tr>
        <w:trPr>
          <w:trHeight w:val="76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期末余额较期初增长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38.94%</w:t>
            </w:r>
            <w:r>
              <w:rPr>
                <w:rFonts w:ascii="宋体" w:hAnsi="宋体" w:cs="宋体" w:eastAsia="宋体" w:hint="default"/>
                <w:sz w:val="18"/>
                <w:szCs w:val="18"/>
              </w:rPr>
              <w:t>，主要系销售增长生产投入加大所致</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期末余额较期初增长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2609.61%</w:t>
            </w:r>
            <w:r>
              <w:rPr>
                <w:rFonts w:ascii="宋体" w:hAnsi="宋体" w:cs="宋体" w:eastAsia="宋体" w:hint="default"/>
                <w:sz w:val="18"/>
                <w:szCs w:val="18"/>
              </w:rPr>
              <w:t>，主要系支付股权转让预付款所致</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513" w:right="1118"/>
        <w:jc w:val="left"/>
      </w:pPr>
      <w:r>
        <w:rPr>
          <w:rFonts w:ascii="Times New Roman" w:hAnsi="Times New Roman" w:cs="Times New Roman" w:eastAsia="Times New Roman" w:hint="default"/>
        </w:rPr>
        <w:t>1</w:t>
      </w:r>
      <w:r>
        <w:rPr/>
        <w:t>、技术优势 </w:t>
      </w:r>
      <w:r>
        <w:rPr>
          <w:spacing w:val="-2"/>
        </w:rPr>
        <w:t>公司拥有很强的研发基因，在核心技术领域一直坚持自主创新的研发策略。经过十几年的持续投入，公司在以下领域逐</w:t>
      </w:r>
    </w:p>
    <w:p>
      <w:pPr>
        <w:pStyle w:val="BodyText"/>
        <w:spacing w:line="240" w:lineRule="auto" w:before="2"/>
        <w:ind w:right="1133"/>
        <w:jc w:val="left"/>
      </w:pPr>
      <w:r>
        <w:rPr/>
        <w:t>步形成了自主关键技术：</w:t>
      </w:r>
    </w:p>
    <w:p>
      <w:pPr>
        <w:pStyle w:val="BodyText"/>
        <w:spacing w:line="300" w:lineRule="auto" w:before="117"/>
        <w:ind w:right="1043" w:firstLine="360"/>
        <w:jc w:val="left"/>
      </w:pPr>
      <w:r>
        <w:rPr>
          <w:spacing w:val="-2"/>
        </w:rPr>
        <w:t>（</w:t>
      </w:r>
      <w:r>
        <w:rPr>
          <w:rFonts w:ascii="Times New Roman" w:hAnsi="Times New Roman" w:cs="Times New Roman" w:eastAsia="Times New Roman" w:hint="default"/>
          <w:spacing w:val="-2"/>
        </w:rPr>
        <w:t>1</w:t>
      </w:r>
      <w:r>
        <w:rPr>
          <w:spacing w:val="-2"/>
        </w:rPr>
        <w:t>）嵌入式</w:t>
      </w:r>
      <w:r>
        <w:rPr>
          <w:rFonts w:ascii="Times New Roman" w:hAnsi="Times New Roman" w:cs="Times New Roman" w:eastAsia="Times New Roman" w:hint="default"/>
          <w:spacing w:val="-2"/>
        </w:rPr>
        <w:t>CPU</w:t>
      </w:r>
      <w:r>
        <w:rPr>
          <w:spacing w:val="-2"/>
        </w:rPr>
        <w:t>技术。公司创业团队多年来从事嵌入式</w:t>
      </w:r>
      <w:r>
        <w:rPr>
          <w:rFonts w:ascii="Times New Roman" w:hAnsi="Times New Roman" w:cs="Times New Roman" w:eastAsia="Times New Roman" w:hint="default"/>
          <w:spacing w:val="-2"/>
        </w:rPr>
        <w:t>CPU</w:t>
      </w:r>
      <w:r>
        <w:rPr>
          <w:spacing w:val="-2"/>
        </w:rPr>
        <w:t>技术的研发，在高性能、低功耗等关键指标上获得了突破。</w:t>
      </w:r>
      <w:r>
        <w:rPr/>
        <w:t> 公司基于</w:t>
      </w:r>
      <w:r>
        <w:rPr>
          <w:rFonts w:ascii="Times New Roman" w:hAnsi="Times New Roman" w:cs="Times New Roman" w:eastAsia="Times New Roman" w:hint="default"/>
        </w:rPr>
        <w:t>32</w:t>
      </w:r>
      <w:r>
        <w:rPr/>
        <w:t>位</w:t>
      </w:r>
      <w:r>
        <w:rPr>
          <w:rFonts w:ascii="Times New Roman" w:hAnsi="Times New Roman" w:cs="Times New Roman" w:eastAsia="Times New Roman" w:hint="default"/>
        </w:rPr>
        <w:t>MIPS</w:t>
      </w:r>
      <w:r>
        <w:rPr/>
        <w:t>指令集架构设计了</w:t>
      </w:r>
      <w:r>
        <w:rPr>
          <w:rFonts w:ascii="Times New Roman" w:hAnsi="Times New Roman" w:cs="Times New Roman" w:eastAsia="Times New Roman" w:hint="default"/>
        </w:rPr>
        <w:t>XBurst</w:t>
      </w:r>
      <w:r>
        <w:rPr/>
        <w:t>系列</w:t>
      </w:r>
      <w:r>
        <w:rPr>
          <w:rFonts w:ascii="Times New Roman" w:hAnsi="Times New Roman" w:cs="Times New Roman" w:eastAsia="Times New Roman" w:hint="default"/>
        </w:rPr>
        <w:t>CPU</w:t>
      </w:r>
      <w:r>
        <w:rPr/>
        <w:t>内核，该内核采用了公司创新的微体系结构，其主频、功耗和面积水</w:t>
      </w:r>
      <w:r>
        <w:rPr>
          <w:spacing w:val="-37"/>
        </w:rPr>
        <w:t> </w:t>
      </w:r>
      <w:r>
        <w:rPr>
          <w:spacing w:val="-37"/>
        </w:rPr>
      </w:r>
      <w:r>
        <w:rPr/>
        <w:t>平在同等工艺下均领先于工业界现有的同类</w:t>
      </w:r>
      <w:r>
        <w:rPr>
          <w:rFonts w:ascii="Times New Roman" w:hAnsi="Times New Roman" w:cs="Times New Roman" w:eastAsia="Times New Roman" w:hint="default"/>
        </w:rPr>
        <w:t>32</w:t>
      </w:r>
      <w:r>
        <w:rPr/>
        <w:t>位</w:t>
      </w:r>
      <w:r>
        <w:rPr>
          <w:rFonts w:ascii="Times New Roman" w:hAnsi="Times New Roman" w:cs="Times New Roman" w:eastAsia="Times New Roman" w:hint="default"/>
        </w:rPr>
        <w:t>RISC</w:t>
      </w:r>
      <w:r>
        <w:rPr/>
        <w:t>微处理器内核。从</w:t>
      </w:r>
      <w:r>
        <w:rPr>
          <w:rFonts w:ascii="Times New Roman" w:hAnsi="Times New Roman" w:cs="Times New Roman" w:eastAsia="Times New Roman" w:hint="default"/>
        </w:rPr>
        <w:t>2014</w:t>
      </w:r>
      <w:r>
        <w:rPr/>
        <w:t>年开始，指令集开源的</w:t>
      </w:r>
      <w:r>
        <w:rPr>
          <w:rFonts w:ascii="Times New Roman" w:hAnsi="Times New Roman" w:cs="Times New Roman" w:eastAsia="Times New Roman" w:hint="default"/>
        </w:rPr>
        <w:t>RISC-V</w:t>
      </w:r>
      <w:r>
        <w:rPr/>
        <w:t>架构获得了工业</w:t>
      </w:r>
      <w:r>
        <w:rPr>
          <w:spacing w:val="-84"/>
        </w:rPr>
        <w:t> </w:t>
      </w:r>
      <w:r>
        <w:rPr/>
        <w:t>界的广泛支持和快速发展，公司积极拥抱这一趋势，适时展开了基于</w:t>
      </w:r>
      <w:r>
        <w:rPr>
          <w:rFonts w:ascii="Times New Roman" w:hAnsi="Times New Roman" w:cs="Times New Roman" w:eastAsia="Times New Roman" w:hint="default"/>
        </w:rPr>
        <w:t>RISC-V</w:t>
      </w:r>
      <w:r>
        <w:rPr/>
        <w:t>架构的</w:t>
      </w:r>
      <w:r>
        <w:rPr>
          <w:rFonts w:ascii="Times New Roman" w:hAnsi="Times New Roman" w:cs="Times New Roman" w:eastAsia="Times New Roman" w:hint="default"/>
        </w:rPr>
        <w:t>CPU</w:t>
      </w:r>
      <w:r>
        <w:rPr/>
        <w:t>研发。</w:t>
      </w:r>
    </w:p>
    <w:p>
      <w:pPr>
        <w:pStyle w:val="BodyText"/>
        <w:spacing w:line="300" w:lineRule="auto" w:before="53"/>
        <w:ind w:right="1133" w:firstLine="360"/>
        <w:jc w:val="both"/>
      </w:pPr>
      <w:r>
        <w:rPr/>
        <w:t>（</w:t>
      </w:r>
      <w:r>
        <w:rPr>
          <w:rFonts w:ascii="Times New Roman" w:hAnsi="Times New Roman" w:cs="Times New Roman" w:eastAsia="Times New Roman" w:hint="default"/>
        </w:rPr>
        <w:t>2</w:t>
      </w:r>
      <w:r>
        <w:rPr/>
        <w:t>）视频编解码技术。视频内容是最核心的多媒体内容，公司自主研发的视频编解码器，能够支持大多数国际上主流 的视频格式，同时具有性能高、功耗低的特点，有利地支持了公司在智能视频领域的拓展。</w:t>
      </w:r>
    </w:p>
    <w:p>
      <w:pPr>
        <w:pStyle w:val="BodyText"/>
        <w:spacing w:line="300" w:lineRule="auto" w:before="70"/>
        <w:ind w:right="1134" w:firstLine="360"/>
        <w:jc w:val="both"/>
      </w:pPr>
      <w:r>
        <w:rPr>
          <w:spacing w:val="-1"/>
        </w:rPr>
        <w:t>（</w:t>
      </w:r>
      <w:r>
        <w:rPr>
          <w:rFonts w:ascii="Times New Roman" w:hAnsi="Times New Roman" w:cs="Times New Roman" w:eastAsia="Times New Roman" w:hint="default"/>
          <w:spacing w:val="-1"/>
        </w:rPr>
        <w:t>3</w:t>
      </w:r>
      <w:r>
        <w:rPr>
          <w:spacing w:val="-1"/>
        </w:rPr>
        <w:t>）影像信号处理技术。公司自主研发的影像信号处理技术，实现了</w:t>
      </w:r>
      <w:r>
        <w:rPr>
          <w:rFonts w:ascii="Times New Roman" w:hAnsi="Times New Roman" w:cs="Times New Roman" w:eastAsia="Times New Roman" w:hint="default"/>
          <w:spacing w:val="-1"/>
        </w:rPr>
        <w:t>3D</w:t>
      </w:r>
      <w:r>
        <w:rPr>
          <w:spacing w:val="-1"/>
        </w:rPr>
        <w:t>降噪、宽动态等图像信号前沿技术，不断赶超</w:t>
      </w:r>
      <w:r>
        <w:rPr/>
        <w:t> 业界最高水平。</w:t>
      </w:r>
    </w:p>
    <w:p>
      <w:pPr>
        <w:pStyle w:val="BodyText"/>
        <w:spacing w:line="300" w:lineRule="auto" w:before="73"/>
        <w:ind w:right="1131" w:firstLine="360"/>
        <w:jc w:val="both"/>
      </w:pPr>
      <w:r>
        <w:rPr>
          <w:spacing w:val="-1"/>
        </w:rPr>
        <w:t>（</w:t>
      </w:r>
      <w:r>
        <w:rPr>
          <w:rFonts w:ascii="Times New Roman" w:hAnsi="Times New Roman" w:cs="Times New Roman" w:eastAsia="Times New Roman" w:hint="default"/>
          <w:spacing w:val="-1"/>
        </w:rPr>
        <w:t>4</w:t>
      </w:r>
      <w:r>
        <w:rPr>
          <w:spacing w:val="-1"/>
        </w:rPr>
        <w:t>）神经网络处理器技术。随着</w:t>
      </w:r>
      <w:r>
        <w:rPr>
          <w:rFonts w:ascii="Times New Roman" w:hAnsi="Times New Roman" w:cs="Times New Roman" w:eastAsia="Times New Roman" w:hint="default"/>
          <w:spacing w:val="-1"/>
        </w:rPr>
        <w:t>AI</w:t>
      </w:r>
      <w:r>
        <w:rPr>
          <w:spacing w:val="-1"/>
        </w:rPr>
        <w:t>在最近几年的快速发展和应用，芯片对</w:t>
      </w:r>
      <w:r>
        <w:rPr>
          <w:rFonts w:ascii="Times New Roman" w:hAnsi="Times New Roman" w:cs="Times New Roman" w:eastAsia="Times New Roman" w:hint="default"/>
          <w:spacing w:val="-1"/>
        </w:rPr>
        <w:t>AI</w:t>
      </w:r>
      <w:r>
        <w:rPr>
          <w:spacing w:val="-1"/>
        </w:rPr>
        <w:t>算法提供算力支持成为一个新的需求。公</w:t>
      </w:r>
      <w:r>
        <w:rPr/>
        <w:t> </w:t>
      </w:r>
      <w:r>
        <w:rPr>
          <w:spacing w:val="-2"/>
        </w:rPr>
        <w:t>司过去几年一直在神经网络处理器的研究上持续投入，结合公司在</w:t>
      </w:r>
      <w:r>
        <w:rPr>
          <w:rFonts w:ascii="Times New Roman" w:hAnsi="Times New Roman" w:cs="Times New Roman" w:eastAsia="Times New Roman" w:hint="default"/>
          <w:spacing w:val="-2"/>
        </w:rPr>
        <w:t>CPU</w:t>
      </w:r>
      <w:r>
        <w:rPr>
          <w:spacing w:val="-2"/>
        </w:rPr>
        <w:t>上自主研发的优势，把</w:t>
      </w:r>
      <w:r>
        <w:rPr>
          <w:rFonts w:ascii="Times New Roman" w:hAnsi="Times New Roman" w:cs="Times New Roman" w:eastAsia="Times New Roman" w:hint="default"/>
          <w:spacing w:val="-2"/>
        </w:rPr>
        <w:t>CPU</w:t>
      </w:r>
      <w:r>
        <w:rPr>
          <w:spacing w:val="-2"/>
        </w:rPr>
        <w:t>技术和神经网络处理器技</w:t>
      </w:r>
      <w:r>
        <w:rPr>
          <w:spacing w:val="-46"/>
        </w:rPr>
        <w:t> </w:t>
      </w:r>
      <w:r>
        <w:rPr>
          <w:spacing w:val="-46"/>
        </w:rPr>
      </w:r>
      <w:r>
        <w:rPr/>
        <w:t>术有机的结合在一起，形成了公司独特的</w:t>
      </w:r>
      <w:r>
        <w:rPr>
          <w:rFonts w:ascii="Times New Roman" w:hAnsi="Times New Roman" w:cs="Times New Roman" w:eastAsia="Times New Roman" w:hint="default"/>
        </w:rPr>
        <w:t>AI</w:t>
      </w:r>
      <w:r>
        <w:rPr/>
        <w:t>算力引擎。</w:t>
      </w:r>
    </w:p>
    <w:p>
      <w:pPr>
        <w:pStyle w:val="BodyText"/>
        <w:spacing w:line="300" w:lineRule="auto" w:before="53"/>
        <w:ind w:right="1131" w:firstLine="360"/>
        <w:jc w:val="both"/>
      </w:pPr>
      <w:r>
        <w:rPr>
          <w:spacing w:val="-1"/>
        </w:rPr>
        <w:t>（</w:t>
      </w:r>
      <w:r>
        <w:rPr>
          <w:rFonts w:ascii="Times New Roman" w:hAnsi="Times New Roman" w:cs="Times New Roman" w:eastAsia="Times New Roman" w:hint="default"/>
          <w:spacing w:val="-1"/>
        </w:rPr>
        <w:t>5</w:t>
      </w:r>
      <w:r>
        <w:rPr>
          <w:spacing w:val="-1"/>
        </w:rPr>
        <w:t>）</w:t>
      </w:r>
      <w:r>
        <w:rPr>
          <w:rFonts w:ascii="Times New Roman" w:hAnsi="Times New Roman" w:cs="Times New Roman" w:eastAsia="Times New Roman" w:hint="default"/>
          <w:spacing w:val="-1"/>
        </w:rPr>
        <w:t>AI</w:t>
      </w:r>
      <w:r>
        <w:rPr>
          <w:spacing w:val="-1"/>
        </w:rPr>
        <w:t>算法技术。公司产品的应用领域对</w:t>
      </w:r>
      <w:r>
        <w:rPr>
          <w:rFonts w:ascii="Times New Roman" w:hAnsi="Times New Roman" w:cs="Times New Roman" w:eastAsia="Times New Roman" w:hint="default"/>
          <w:spacing w:val="-1"/>
        </w:rPr>
        <w:t>AI</w:t>
      </w:r>
      <w:r>
        <w:rPr>
          <w:spacing w:val="-1"/>
        </w:rPr>
        <w:t>存在巨大的需求。公司在最近几年大力投入</w:t>
      </w:r>
      <w:r>
        <w:rPr>
          <w:rFonts w:ascii="Times New Roman" w:hAnsi="Times New Roman" w:cs="Times New Roman" w:eastAsia="Times New Roman" w:hint="default"/>
          <w:spacing w:val="-1"/>
        </w:rPr>
        <w:t>AI</w:t>
      </w:r>
      <w:r>
        <w:rPr>
          <w:spacing w:val="-1"/>
        </w:rPr>
        <w:t>算法的研究和应用，在人脸</w:t>
      </w:r>
      <w:r>
        <w:rPr/>
        <w:t> 识别、车牌识别、哭声识别、人形检测等领域已经成熟并走向市场。公司将及时跟进市场的需求，持续在这个领域投入。</w:t>
      </w:r>
    </w:p>
    <w:p>
      <w:pPr>
        <w:pStyle w:val="BodyText"/>
        <w:spacing w:line="316" w:lineRule="auto" w:before="70"/>
        <w:ind w:right="1044" w:firstLine="360"/>
        <w:jc w:val="both"/>
      </w:pPr>
      <w:r>
        <w:rPr>
          <w:spacing w:val="-4"/>
        </w:rPr>
        <w:t>公司始终密切关注以上核心技术领域的发展趋势，适时跟进，对标业界最新成果，持续投入、快速迭代、不断优化升级，</w:t>
      </w:r>
      <w:r>
        <w:rPr/>
        <w:t> 逐步在这些领域做到核心技术自主可控，为公司产品线提供强大的支持和竞争力。</w:t>
      </w:r>
    </w:p>
    <w:p>
      <w:pPr>
        <w:pStyle w:val="BodyText"/>
        <w:spacing w:line="340" w:lineRule="auto" w:before="59"/>
        <w:ind w:left="513" w:right="4453"/>
        <w:jc w:val="left"/>
      </w:pPr>
      <w:r>
        <w:rPr>
          <w:rFonts w:ascii="Times New Roman" w:hAnsi="Times New Roman" w:cs="Times New Roman" w:eastAsia="Times New Roman" w:hint="default"/>
        </w:rPr>
        <w:t>2</w:t>
      </w:r>
      <w:r>
        <w:rPr/>
        <w:t>、产品优势 公司坚持在核心技术上自主研发的策略给公司的芯片产品带来了以下优势：</w:t>
      </w:r>
    </w:p>
    <w:p>
      <w:pPr>
        <w:pStyle w:val="BodyText"/>
        <w:spacing w:line="300" w:lineRule="auto" w:before="39"/>
        <w:ind w:right="1131" w:firstLine="360"/>
        <w:jc w:val="both"/>
      </w:pPr>
      <w:r>
        <w:rPr>
          <w:spacing w:val="-5"/>
        </w:rPr>
        <w:t>（</w:t>
      </w:r>
      <w:r>
        <w:rPr>
          <w:rFonts w:ascii="Times New Roman" w:hAnsi="Times New Roman" w:cs="Times New Roman" w:eastAsia="Times New Roman" w:hint="default"/>
          <w:spacing w:val="-5"/>
        </w:rPr>
        <w:t>1</w:t>
      </w:r>
      <w:r>
        <w:rPr>
          <w:spacing w:val="-5"/>
        </w:rPr>
        <w:t>）自主可控、不依赖。由于公司主要核心技术都是自主研发，因此公司产品自主可控，不依赖第三方厂商，不存在</w:t>
      </w:r>
      <w:r>
        <w:rPr>
          <w:rFonts w:ascii="Times New Roman" w:hAnsi="Times New Roman" w:cs="Times New Roman" w:eastAsia="Times New Roman" w:hint="default"/>
          <w:spacing w:val="-5"/>
        </w:rPr>
        <w:t>“</w:t>
      </w:r>
      <w:r>
        <w:rPr>
          <w:spacing w:val="-5"/>
        </w:rPr>
        <w:t>卡</w:t>
      </w:r>
      <w:r>
        <w:rPr/>
        <w:t> 脖子</w:t>
      </w:r>
      <w:r>
        <w:rPr>
          <w:rFonts w:ascii="Times New Roman" w:hAnsi="Times New Roman" w:cs="Times New Roman" w:eastAsia="Times New Roman" w:hint="default"/>
        </w:rPr>
        <w:t>”</w:t>
      </w:r>
      <w:r>
        <w:rPr/>
        <w:t>情形。尤其在</w:t>
      </w:r>
      <w:r>
        <w:rPr>
          <w:rFonts w:ascii="Times New Roman" w:hAnsi="Times New Roman" w:cs="Times New Roman" w:eastAsia="Times New Roman" w:hint="default"/>
        </w:rPr>
        <w:t>CPU</w:t>
      </w:r>
      <w:r>
        <w:rPr/>
        <w:t>内核领域，公司一直坚持自主研发、自主可控，随着市场和技术的发展，公司未来产品亦有可能逐</w:t>
      </w:r>
      <w:r>
        <w:rPr>
          <w:spacing w:val="-69"/>
        </w:rPr>
        <w:t> </w:t>
      </w:r>
      <w:r>
        <w:rPr>
          <w:spacing w:val="-69"/>
        </w:rPr>
      </w:r>
      <w:r>
        <w:rPr/>
        <w:t>渐转向</w:t>
      </w:r>
      <w:r>
        <w:rPr>
          <w:rFonts w:ascii="Times New Roman" w:hAnsi="Times New Roman" w:cs="Times New Roman" w:eastAsia="Times New Roman" w:hint="default"/>
        </w:rPr>
        <w:t>RISC-V</w:t>
      </w:r>
      <w:r>
        <w:rPr/>
        <w:t>架构，从而进一步提高在核心技术领域的自主可控。在视频、影像、</w:t>
      </w:r>
      <w:r>
        <w:rPr>
          <w:rFonts w:ascii="Times New Roman" w:hAnsi="Times New Roman" w:cs="Times New Roman" w:eastAsia="Times New Roman" w:hint="default"/>
        </w:rPr>
        <w:t>AI</w:t>
      </w:r>
      <w:r>
        <w:rPr/>
        <w:t>等技术领域，公司技术也完全具有自</w:t>
      </w:r>
    </w:p>
    <w:p>
      <w:pPr>
        <w:spacing w:after="0" w:line="300"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133"/>
        <w:jc w:val="left"/>
      </w:pPr>
      <w:r>
        <w:rPr/>
        <w:t>主性和独立性。</w:t>
      </w:r>
    </w:p>
    <w:p>
      <w:pPr>
        <w:pStyle w:val="BodyText"/>
        <w:spacing w:line="309" w:lineRule="auto" w:before="117"/>
        <w:ind w:right="1130" w:firstLine="360"/>
        <w:jc w:val="both"/>
      </w:pPr>
      <w:r>
        <w:rPr/>
        <w:t>（</w:t>
      </w:r>
      <w:r>
        <w:rPr>
          <w:rFonts w:ascii="Times New Roman" w:hAnsi="Times New Roman" w:cs="Times New Roman" w:eastAsia="Times New Roman" w:hint="default"/>
        </w:rPr>
        <w:t>2</w:t>
      </w:r>
      <w:r>
        <w:rPr/>
        <w:t>）性价比高。由于核心技术自主研发，公司不需要向第三方厂商支付高额的前期授权费用和后期的权利金，同时可 </w:t>
      </w:r>
      <w:r>
        <w:rPr>
          <w:spacing w:val="-2"/>
        </w:rPr>
        <w:t>以在芯片设计时根据产品的具体需要对相关模块进行裁剪，避免了设计上的冗余。综合这几个方面，公司产品具有更高的性</w:t>
      </w:r>
      <w:r>
        <w:rPr>
          <w:spacing w:val="-63"/>
        </w:rPr>
        <w:t> </w:t>
      </w:r>
      <w:r>
        <w:rPr>
          <w:spacing w:val="-63"/>
        </w:rPr>
      </w:r>
      <w:r>
        <w:rPr/>
        <w:t>价比。</w:t>
      </w:r>
    </w:p>
    <w:p>
      <w:pPr>
        <w:pStyle w:val="BodyText"/>
        <w:spacing w:line="240" w:lineRule="auto" w:before="62"/>
        <w:ind w:left="513" w:right="986"/>
        <w:jc w:val="left"/>
      </w:pPr>
      <w:r>
        <w:rPr/>
        <w:t>（</w:t>
      </w:r>
      <w:r>
        <w:rPr>
          <w:rFonts w:ascii="Times New Roman" w:hAnsi="Times New Roman" w:cs="Times New Roman" w:eastAsia="Times New Roman" w:hint="default"/>
        </w:rPr>
        <w:t>3</w:t>
      </w:r>
      <w:r>
        <w:rPr/>
        <w:t>）公司产品普遍具有高性能、低功耗特质。这些特质来自于公司核心技术的特性，并且在业内获得了普遍的认可。</w:t>
      </w:r>
    </w:p>
    <w:p>
      <w:pPr>
        <w:pStyle w:val="BodyText"/>
        <w:spacing w:line="300" w:lineRule="auto" w:before="103"/>
        <w:ind w:right="1133" w:firstLine="360"/>
        <w:jc w:val="both"/>
      </w:pPr>
      <w:r>
        <w:rPr/>
        <w:t>（</w:t>
      </w:r>
      <w:r>
        <w:rPr>
          <w:rFonts w:ascii="Times New Roman" w:hAnsi="Times New Roman" w:cs="Times New Roman" w:eastAsia="Times New Roman" w:hint="default"/>
        </w:rPr>
        <w:t>4</w:t>
      </w:r>
      <w:r>
        <w:rPr/>
        <w:t>）具有更好的可持续发展性。由于核心技术完全自己掌握，公司可以跟进市场的变化，及时在技术上进行调整和反 应，从而具有更好的可持续发展性。</w:t>
      </w:r>
    </w:p>
    <w:p>
      <w:pPr>
        <w:pStyle w:val="BodyText"/>
        <w:spacing w:line="338" w:lineRule="auto" w:before="72"/>
        <w:ind w:left="513" w:right="1118"/>
        <w:jc w:val="left"/>
      </w:pPr>
      <w:r>
        <w:rPr>
          <w:rFonts w:ascii="Times New Roman" w:hAnsi="Times New Roman" w:cs="Times New Roman" w:eastAsia="Times New Roman" w:hint="default"/>
        </w:rPr>
        <w:t>3</w:t>
      </w:r>
      <w:r>
        <w:rPr/>
        <w:t>、团队及人才优势 </w:t>
      </w:r>
      <w:r>
        <w:rPr>
          <w:spacing w:val="-2"/>
        </w:rPr>
        <w:t>公司持续加大内部培养和外部引进人才的力度，加强员工岗前培训和团队建设培训，建立了科学化、规范化、系统化的</w:t>
      </w:r>
    </w:p>
    <w:p>
      <w:pPr>
        <w:pStyle w:val="BodyText"/>
        <w:spacing w:line="319" w:lineRule="auto" w:before="2"/>
        <w:ind w:right="1133"/>
        <w:jc w:val="left"/>
      </w:pPr>
      <w:r>
        <w:rPr>
          <w:spacing w:val="-2"/>
        </w:rPr>
        <w:t>人力资源培训体系。同时，公司积极培养复合型人才，形成合理的人才梯队，培养了一批具有领军精神的人才，带领团队勇</w:t>
      </w:r>
      <w:r>
        <w:rPr>
          <w:spacing w:val="-67"/>
        </w:rPr>
        <w:t> </w:t>
      </w:r>
      <w:r>
        <w:rPr>
          <w:spacing w:val="-67"/>
        </w:rPr>
      </w:r>
      <w:r>
        <w:rPr/>
        <w:t>于钻研、敢于创新、吃苦耐劳，为公司进一步的发展提供了有效的支持。</w:t>
      </w:r>
    </w:p>
    <w:p>
      <w:pPr>
        <w:spacing w:after="0" w:line="319"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1133"/>
        <w:jc w:val="left"/>
        <w:rPr>
          <w:b w:val="0"/>
          <w:bCs w:val="0"/>
        </w:rPr>
      </w:pPr>
      <w:bookmarkStart w:name="_bookmark3" w:id="4"/>
      <w:bookmarkEnd w:id="4"/>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33"/>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1133" w:firstLine="360"/>
        <w:jc w:val="both"/>
      </w:pPr>
      <w:r>
        <w:rPr>
          <w:spacing w:val="-2"/>
        </w:rPr>
        <w:t>报告期内，公司不断加强技术与产品的研发，加大市场推广力度，提高经营管理水平，公司总体销售收入持续增长，净</w:t>
      </w:r>
      <w:r>
        <w:rPr/>
        <w:t> </w:t>
      </w:r>
      <w:r>
        <w:rPr>
          <w:spacing w:val="-1"/>
        </w:rPr>
        <w:t>利润较去年同期显著增长。报告期内，公司实现营业收入</w:t>
      </w:r>
      <w:r>
        <w:rPr>
          <w:rFonts w:ascii="Times New Roman" w:hAnsi="Times New Roman" w:cs="Times New Roman" w:eastAsia="Times New Roman" w:hint="default"/>
          <w:spacing w:val="-1"/>
        </w:rPr>
        <w:t>33,935.12</w:t>
      </w:r>
      <w:r>
        <w:rPr>
          <w:spacing w:val="-1"/>
        </w:rPr>
        <w:t>万元，同比增长</w:t>
      </w:r>
      <w:r>
        <w:rPr>
          <w:rFonts w:ascii="Times New Roman" w:hAnsi="Times New Roman" w:cs="Times New Roman" w:eastAsia="Times New Roman" w:hint="default"/>
          <w:spacing w:val="-1"/>
        </w:rPr>
        <w:t>30.69%</w:t>
      </w:r>
      <w:r>
        <w:rPr>
          <w:spacing w:val="-1"/>
        </w:rPr>
        <w:t>；实现净利润</w:t>
      </w:r>
      <w:r>
        <w:rPr>
          <w:rFonts w:ascii="Times New Roman" w:hAnsi="Times New Roman" w:cs="Times New Roman" w:eastAsia="Times New Roman" w:hint="default"/>
          <w:spacing w:val="-1"/>
        </w:rPr>
        <w:t>5,865.97</w:t>
      </w:r>
      <w:r>
        <w:rPr>
          <w:spacing w:val="-1"/>
        </w:rPr>
        <w:t>万元，同比</w:t>
      </w:r>
      <w:r>
        <w:rPr>
          <w:spacing w:val="-45"/>
        </w:rPr>
        <w:t> </w:t>
      </w:r>
      <w:r>
        <w:rPr>
          <w:spacing w:val="-45"/>
        </w:rPr>
      </w:r>
      <w:r>
        <w:rPr/>
        <w:t>增长</w:t>
      </w:r>
      <w:r>
        <w:rPr>
          <w:rFonts w:ascii="Times New Roman" w:hAnsi="Times New Roman" w:cs="Times New Roman" w:eastAsia="Times New Roman" w:hint="default"/>
        </w:rPr>
        <w:t>334.02%</w:t>
      </w:r>
      <w:r>
        <w:rPr/>
        <w:t>，其中归属于母公司股东的净利润</w:t>
      </w:r>
      <w:r>
        <w:rPr>
          <w:rFonts w:ascii="Times New Roman" w:hAnsi="Times New Roman" w:cs="Times New Roman" w:eastAsia="Times New Roman" w:hint="default"/>
        </w:rPr>
        <w:t>5,865.97</w:t>
      </w:r>
      <w:r>
        <w:rPr/>
        <w:t>万元，同比增长</w:t>
      </w:r>
      <w:r>
        <w:rPr>
          <w:rFonts w:ascii="Times New Roman" w:hAnsi="Times New Roman" w:cs="Times New Roman" w:eastAsia="Times New Roman" w:hint="default"/>
        </w:rPr>
        <w:t>334.02%</w:t>
      </w:r>
      <w:r>
        <w:rPr/>
        <w:t>。</w:t>
      </w:r>
    </w:p>
    <w:p>
      <w:pPr>
        <w:pStyle w:val="BodyText"/>
        <w:spacing w:line="240" w:lineRule="auto" w:before="5"/>
        <w:ind w:left="513" w:right="1133"/>
        <w:jc w:val="left"/>
      </w:pPr>
      <w:r>
        <w:rPr/>
        <w:t>公司各方面具体经营情况如下：</w:t>
      </w:r>
    </w:p>
    <w:p>
      <w:pPr>
        <w:pStyle w:val="BodyText"/>
        <w:spacing w:line="300" w:lineRule="auto" w:before="77"/>
        <w:ind w:left="513" w:right="986"/>
        <w:jc w:val="left"/>
      </w:pPr>
      <w:r>
        <w:rPr>
          <w:rFonts w:ascii="Times New Roman" w:hAnsi="Times New Roman" w:cs="Times New Roman" w:eastAsia="Times New Roman" w:hint="default"/>
        </w:rPr>
        <w:t>1</w:t>
      </w:r>
      <w:r>
        <w:rPr/>
        <w:t>、技术与产品研发 </w:t>
      </w:r>
      <w:r>
        <w:rPr>
          <w:spacing w:val="-4"/>
        </w:rPr>
        <w:t>报告期内，公司持续加大研发投入，加强技术研发和技术创新能力，根据公司发展方向、技术发展趋势和市场需求情况，</w:t>
      </w:r>
    </w:p>
    <w:p>
      <w:pPr>
        <w:pStyle w:val="BodyText"/>
        <w:spacing w:line="300" w:lineRule="auto" w:before="31"/>
        <w:ind w:right="1143"/>
        <w:jc w:val="left"/>
      </w:pPr>
      <w:r>
        <w:rPr/>
        <w:t>进行新技术的跟踪与布局和核心技术与产品的开发。公司完成了</w:t>
      </w:r>
      <w:r>
        <w:rPr>
          <w:rFonts w:ascii="Times New Roman" w:hAnsi="Times New Roman" w:cs="Times New Roman" w:eastAsia="Times New Roman" w:hint="default"/>
        </w:rPr>
        <w:t>XBurst2 CPU</w:t>
      </w:r>
      <w:r>
        <w:rPr/>
        <w:t>的研发工作，并进行了基于</w:t>
      </w:r>
      <w:r>
        <w:rPr>
          <w:rFonts w:ascii="Times New Roman" w:hAnsi="Times New Roman" w:cs="Times New Roman" w:eastAsia="Times New Roman" w:hint="default"/>
        </w:rPr>
        <w:t>XBurst2</w:t>
      </w:r>
      <w:r>
        <w:rPr>
          <w:rFonts w:ascii="Times New Roman" w:hAnsi="Times New Roman" w:cs="Times New Roman" w:eastAsia="Times New Roman" w:hint="default"/>
          <w:spacing w:val="-3"/>
        </w:rPr>
        <w:t> </w:t>
      </w:r>
      <w:r>
        <w:rPr>
          <w:rFonts w:ascii="Times New Roman" w:hAnsi="Times New Roman" w:cs="Times New Roman" w:eastAsia="Times New Roman" w:hint="default"/>
        </w:rPr>
        <w:t>CPU</w:t>
      </w:r>
      <w:r>
        <w:rPr/>
        <w:t>的芯 片产品的投片。公司持续进行</w:t>
      </w:r>
      <w:r>
        <w:rPr>
          <w:rFonts w:ascii="Times New Roman" w:hAnsi="Times New Roman" w:cs="Times New Roman" w:eastAsia="Times New Roman" w:hint="default"/>
        </w:rPr>
        <w:t>RISC-V</w:t>
      </w:r>
      <w:r>
        <w:rPr>
          <w:rFonts w:ascii="Times New Roman" w:hAnsi="Times New Roman" w:cs="Times New Roman" w:eastAsia="Times New Roman" w:hint="default"/>
          <w:spacing w:val="-1"/>
        </w:rPr>
        <w:t> </w:t>
      </w:r>
      <w:r>
        <w:rPr>
          <w:rFonts w:ascii="Times New Roman" w:hAnsi="Times New Roman" w:cs="Times New Roman" w:eastAsia="Times New Roman" w:hint="default"/>
        </w:rPr>
        <w:t>CPU</w:t>
      </w:r>
      <w:r>
        <w:rPr/>
        <w:t>的研发工作，不断储备关键性核心技术，并将根据市场需求发展情况推出相关产 品。公司在视频编解码、影像信号处理、神经网络处理器、</w:t>
      </w:r>
      <w:r>
        <w:rPr>
          <w:rFonts w:ascii="Times New Roman" w:hAnsi="Times New Roman" w:cs="Times New Roman" w:eastAsia="Times New Roman" w:hint="default"/>
        </w:rPr>
        <w:t>AI</w:t>
      </w:r>
      <w:r>
        <w:rPr/>
        <w:t>算法等领域持续投入，不断提高技术领先性，增强核心技术 的积累，从而进一步提高产品的综合性能与竞争优势。</w:t>
      </w:r>
    </w:p>
    <w:p>
      <w:pPr>
        <w:pStyle w:val="BodyText"/>
        <w:spacing w:line="309" w:lineRule="auto" w:before="31"/>
        <w:ind w:right="1120" w:firstLine="360"/>
        <w:jc w:val="left"/>
      </w:pPr>
      <w:r>
        <w:rPr/>
        <w:t>芯片研发方面，基于</w:t>
      </w:r>
      <w:r>
        <w:rPr>
          <w:rFonts w:ascii="Times New Roman" w:hAnsi="Times New Roman" w:cs="Times New Roman" w:eastAsia="Times New Roman" w:hint="default"/>
        </w:rPr>
        <w:t>XBurst2</w:t>
      </w:r>
      <w:r>
        <w:rPr>
          <w:rFonts w:ascii="Times New Roman" w:hAnsi="Times New Roman" w:cs="Times New Roman" w:eastAsia="Times New Roman" w:hint="default"/>
          <w:spacing w:val="-11"/>
        </w:rPr>
        <w:t> </w:t>
      </w:r>
      <w:r>
        <w:rPr>
          <w:rFonts w:ascii="Times New Roman" w:hAnsi="Times New Roman" w:cs="Times New Roman" w:eastAsia="Times New Roman" w:hint="default"/>
        </w:rPr>
        <w:t>CPU</w:t>
      </w:r>
      <w:r>
        <w:rPr/>
        <w:t>的芯片产品完成了投片工作，该芯片产品将面向物联网类市场中的中高端应用，截至 </w:t>
      </w:r>
      <w:r>
        <w:rPr>
          <w:spacing w:val="-2"/>
        </w:rPr>
        <w:t>报告期末，该芯片的样品验证工作基本完成，各项指标符合公司预期。面向智能视频领域的新产品也完成了投片，并于报告</w:t>
      </w:r>
      <w:r>
        <w:rPr>
          <w:spacing w:val="-65"/>
        </w:rPr>
        <w:t> </w:t>
      </w:r>
      <w:r>
        <w:rPr>
          <w:spacing w:val="-65"/>
        </w:rPr>
      </w:r>
      <w:r>
        <w:rPr/>
        <w:t>期内实现了量产销售，该芯片进一步优化了各项关键性能，具有轻</w:t>
      </w:r>
      <w:r>
        <w:rPr>
          <w:rFonts w:ascii="Times New Roman" w:hAnsi="Times New Roman" w:cs="Times New Roman" w:eastAsia="Times New Roman" w:hint="default"/>
        </w:rPr>
        <w:t>AI</w:t>
      </w:r>
      <w:r>
        <w:rPr/>
        <w:t>的特点，性价比优势明显，能够很好地符合智能视频 </w:t>
      </w:r>
      <w:r>
        <w:rPr>
          <w:spacing w:val="-2"/>
        </w:rPr>
        <w:t>领域不断发展的产品需求；同时，报告期内，根据智能视频领域不断发展的技术与产品需求，公司展开了下一代芯片产品的</w:t>
      </w:r>
      <w:r>
        <w:rPr>
          <w:spacing w:val="-64"/>
        </w:rPr>
        <w:t> </w:t>
      </w:r>
      <w:r>
        <w:rPr>
          <w:spacing w:val="-64"/>
        </w:rPr>
      </w:r>
      <w:r>
        <w:rPr/>
        <w:t>研发。</w:t>
      </w:r>
    </w:p>
    <w:p>
      <w:pPr>
        <w:pStyle w:val="BodyText"/>
        <w:spacing w:line="316" w:lineRule="auto" w:before="24"/>
        <w:ind w:right="1130" w:firstLine="360"/>
        <w:jc w:val="both"/>
      </w:pPr>
      <w:r>
        <w:rPr>
          <w:spacing w:val="-2"/>
        </w:rPr>
        <w:t>方案研发方面，根据物联网市场智能化、碎片化的特点，公司进一步完善了基础软件系统和产品硬件方案，对语音、显</w:t>
      </w:r>
      <w:r>
        <w:rPr/>
        <w:t> </w:t>
      </w:r>
      <w:r>
        <w:rPr>
          <w:spacing w:val="-2"/>
        </w:rPr>
        <w:t>示等核心算法进行了优化，以持续提高方案的智能处理能力，并通过方案的不断优化提升芯片的功能；同时，公司继续支持</w:t>
      </w:r>
      <w:r>
        <w:rPr>
          <w:spacing w:val="-64"/>
        </w:rPr>
        <w:t> </w:t>
      </w:r>
      <w:r>
        <w:rPr>
          <w:spacing w:val="-64"/>
        </w:rPr>
      </w:r>
      <w:r>
        <w:rPr>
          <w:spacing w:val="-2"/>
        </w:rPr>
        <w:t>面向不同类别细分市场的开发平台。在智能视频领域，基于最新推出的芯片产品，公司快速推出相应的产品方案，并支持重</w:t>
      </w:r>
      <w:r>
        <w:rPr>
          <w:spacing w:val="-64"/>
        </w:rPr>
        <w:t> </w:t>
      </w:r>
      <w:r>
        <w:rPr>
          <w:spacing w:val="-64"/>
        </w:rPr>
      </w:r>
      <w:r>
        <w:rPr>
          <w:spacing w:val="-2"/>
        </w:rPr>
        <w:t>点客户实现了快速的产品落地，从而实现了报告期内新产品的量产销售。针对市场对电池类摄像头的持续需求，公司电池类</w:t>
      </w:r>
      <w:r>
        <w:rPr>
          <w:spacing w:val="-63"/>
        </w:rPr>
        <w:t> </w:t>
      </w:r>
      <w:r>
        <w:rPr>
          <w:spacing w:val="-63"/>
        </w:rPr>
      </w:r>
      <w:r>
        <w:rPr>
          <w:spacing w:val="-2"/>
        </w:rPr>
        <w:t>摄像头整体方案研发于报告期内取得关键指标突破，方案更加成熟稳定。公司在智能视频领域逐渐形成了梯队化的产品与方</w:t>
      </w:r>
      <w:r>
        <w:rPr>
          <w:spacing w:val="-64"/>
        </w:rPr>
        <w:t> </w:t>
      </w:r>
      <w:r>
        <w:rPr>
          <w:spacing w:val="-64"/>
        </w:rPr>
      </w:r>
      <w:r>
        <w:rPr/>
        <w:t>案布局，有力推动了公司在该领域的市场销售。</w:t>
      </w:r>
    </w:p>
    <w:p>
      <w:pPr>
        <w:pStyle w:val="BodyText"/>
        <w:spacing w:line="300" w:lineRule="auto" w:before="19"/>
        <w:ind w:left="513" w:right="1118"/>
        <w:jc w:val="left"/>
      </w:pPr>
      <w:r>
        <w:rPr>
          <w:rFonts w:ascii="Times New Roman" w:hAnsi="Times New Roman" w:cs="Times New Roman" w:eastAsia="Times New Roman" w:hint="default"/>
        </w:rPr>
        <w:t>2</w:t>
      </w:r>
      <w:r>
        <w:rPr/>
        <w:t>、市场推广 </w:t>
      </w:r>
      <w:r>
        <w:rPr>
          <w:spacing w:val="-2"/>
        </w:rPr>
        <w:t>公司的芯片产品主要面向消费电子市场，而消费电子市场变化相对较快，同时，对于物联网市场而言，各类智能硬件产</w:t>
      </w:r>
    </w:p>
    <w:p>
      <w:pPr>
        <w:pStyle w:val="BodyText"/>
        <w:spacing w:line="316" w:lineRule="auto" w:before="31"/>
        <w:ind w:right="986"/>
        <w:jc w:val="left"/>
      </w:pPr>
      <w:r>
        <w:rPr>
          <w:spacing w:val="-2"/>
        </w:rPr>
        <w:t>品日趋多样化、个性化、碎片化更给市场带来了不确定因素。在物联网市场中，智能手表类产品出现更加多样化的需求，不</w:t>
      </w:r>
      <w:r>
        <w:rPr>
          <w:spacing w:val="-67"/>
        </w:rPr>
        <w:t> </w:t>
      </w:r>
      <w:r>
        <w:rPr>
          <w:spacing w:val="-67"/>
        </w:rPr>
      </w:r>
      <w:r>
        <w:rPr>
          <w:spacing w:val="-2"/>
        </w:rPr>
        <w:t>同市场定位的智能手表对芯片性能的需求也有较大的差异，公司的芯片产品可满足部分市场需求，但无法涵盖多种需求，从</w:t>
      </w:r>
      <w:r>
        <w:rPr>
          <w:spacing w:val="-62"/>
        </w:rPr>
        <w:t> </w:t>
      </w:r>
      <w:r>
        <w:rPr>
          <w:spacing w:val="-62"/>
        </w:rPr>
      </w:r>
      <w:r>
        <w:rPr>
          <w:spacing w:val="-2"/>
        </w:rPr>
        <w:t>而在报告期内，公司在智能手表领域的销售同比出现下降。同时，公司在其他细分市场，如生物识别、二维码、教育电子等</w:t>
      </w:r>
      <w:r>
        <w:rPr>
          <w:spacing w:val="-68"/>
        </w:rPr>
        <w:t> </w:t>
      </w:r>
      <w:r>
        <w:rPr>
          <w:spacing w:val="-68"/>
        </w:rPr>
      </w:r>
      <w:r>
        <w:rPr>
          <w:spacing w:val="-4"/>
        </w:rPr>
        <w:t>市场持续增长，使全年微处理器业务的市场销售同比略有增长。在生物识别市场，人工智能浪潮带来了很好的市场需求氛围，</w:t>
      </w:r>
      <w:r>
        <w:rPr>
          <w:spacing w:val="-43"/>
        </w:rPr>
        <w:t> </w:t>
      </w:r>
      <w:r>
        <w:rPr>
          <w:spacing w:val="-43"/>
        </w:rPr>
      </w:r>
      <w:r>
        <w:rPr>
          <w:spacing w:val="-2"/>
        </w:rPr>
        <w:t>公司自成立以来一直在该市场深耕细作，及时根据新的市场需求推出相应的产品与方案，报告期内，公司在该市场保持了持</w:t>
      </w:r>
      <w:r>
        <w:rPr>
          <w:spacing w:val="-61"/>
        </w:rPr>
        <w:t> </w:t>
      </w:r>
      <w:r>
        <w:rPr>
          <w:spacing w:val="-61"/>
        </w:rPr>
      </w:r>
      <w:r>
        <w:rPr>
          <w:spacing w:val="-2"/>
        </w:rPr>
        <w:t>续的增长。二维码市场近两年发展迅速，公司在该市场具有先发优势，在市场竞争日趋激烈的情况下，报告期内通过持续的</w:t>
      </w:r>
      <w:r>
        <w:rPr>
          <w:spacing w:val="-65"/>
        </w:rPr>
        <w:t> </w:t>
      </w:r>
      <w:r>
        <w:rPr>
          <w:spacing w:val="-65"/>
        </w:rPr>
      </w:r>
      <w:r>
        <w:rPr>
          <w:spacing w:val="-2"/>
        </w:rPr>
        <w:t>自我迭代保持了市场竞争力，把握住了国内主流渠道和品牌的需求。此外，在智能音频、智能家居家电、智能门锁等细分领</w:t>
      </w:r>
      <w:r>
        <w:rPr>
          <w:spacing w:val="-65"/>
        </w:rPr>
        <w:t> </w:t>
      </w:r>
      <w:r>
        <w:rPr>
          <w:spacing w:val="-65"/>
        </w:rPr>
      </w:r>
      <w:r>
        <w:rPr>
          <w:spacing w:val="-2"/>
        </w:rPr>
        <w:t>域，公司持续跟进，通过推广定制化的开发平台、加大重点客户支持力度等方式进行市场的持续推广，并积极寻求新的市场</w:t>
      </w:r>
      <w:r>
        <w:rPr>
          <w:spacing w:val="-64"/>
        </w:rPr>
        <w:t> </w:t>
      </w:r>
      <w:r>
        <w:rPr>
          <w:spacing w:val="-64"/>
        </w:rPr>
      </w:r>
      <w:r>
        <w:rPr/>
        <w:t>方向。</w:t>
      </w:r>
    </w:p>
    <w:p>
      <w:pPr>
        <w:pStyle w:val="BodyText"/>
        <w:spacing w:line="316" w:lineRule="auto" w:before="19"/>
        <w:ind w:right="1130" w:firstLine="360"/>
        <w:jc w:val="both"/>
      </w:pPr>
      <w:r>
        <w:rPr>
          <w:spacing w:val="-2"/>
        </w:rPr>
        <w:t>在智能视频领域，公司近年来不断推出新产品，逐渐形成了面向该领域的系列产品，使公司在智能视频领域逐渐形成了</w:t>
      </w:r>
      <w:r>
        <w:rPr/>
        <w:t> </w:t>
      </w:r>
      <w:r>
        <w:rPr>
          <w:spacing w:val="-2"/>
        </w:rPr>
        <w:t>梯队化的产品布局，分别面向高、中、低端不同的市场需求。报告期内，公司通过新产品的推出进一步完善了产品的市场布</w:t>
      </w:r>
      <w:r>
        <w:rPr>
          <w:spacing w:val="-67"/>
        </w:rPr>
        <w:t> </w:t>
      </w:r>
      <w:r>
        <w:rPr>
          <w:spacing w:val="-67"/>
        </w:rPr>
      </w:r>
      <w:r>
        <w:rPr>
          <w:spacing w:val="-2"/>
        </w:rPr>
        <w:t>局，在消费类市场中，逐渐有更多的一线品牌客户采用了公司的产品，其中多款采用公司芯片的电池类摄像头产品在报告期</w:t>
      </w:r>
      <w:r>
        <w:rPr>
          <w:spacing w:val="-64"/>
        </w:rPr>
        <w:t> </w:t>
      </w:r>
      <w:r>
        <w:rPr>
          <w:spacing w:val="-64"/>
        </w:rPr>
      </w:r>
      <w:r>
        <w:rPr>
          <w:spacing w:val="-2"/>
        </w:rPr>
        <w:t>内落地、上市。同时，公司在行业市场持续推广，通过产品的性价比优势、低功耗优势和智能处理能力方面的优势，推动公</w:t>
      </w:r>
      <w:r>
        <w:rPr>
          <w:spacing w:val="-70"/>
        </w:rPr>
        <w:t> </w:t>
      </w:r>
      <w:r>
        <w:rPr>
          <w:spacing w:val="-70"/>
        </w:rPr>
      </w:r>
      <w:r>
        <w:rPr>
          <w:spacing w:val="-2"/>
        </w:rPr>
        <w:t>司产品在行业市场的应用。在激烈的市场竞争中，公司充分发挥自身的产品优势和服务优势，努力拓展更多的品牌客户，根</w:t>
      </w:r>
      <w:r>
        <w:rPr>
          <w:spacing w:val="-64"/>
        </w:rPr>
        <w:t> </w:t>
      </w:r>
      <w:r>
        <w:rPr>
          <w:spacing w:val="-64"/>
        </w:rPr>
      </w:r>
      <w:r>
        <w:rPr>
          <w:spacing w:val="-2"/>
        </w:rPr>
        <w:t>据客户需求及时规划新产品的研发和投片工作，并对重点客户提供周到的技术支持服务，从而使公司在该领域的市场销售实</w:t>
      </w:r>
    </w:p>
    <w:p>
      <w:pPr>
        <w:spacing w:after="0" w:line="316"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both"/>
      </w:pPr>
      <w:r>
        <w:rPr/>
        <w:t>现了同比较大幅度的增长，带动了公司总体营业收入的持续增长。</w:t>
      </w:r>
    </w:p>
    <w:p>
      <w:pPr>
        <w:pStyle w:val="BodyText"/>
        <w:spacing w:line="300" w:lineRule="auto" w:before="76"/>
        <w:ind w:left="513" w:right="1118"/>
        <w:jc w:val="left"/>
      </w:pPr>
      <w:r>
        <w:rPr>
          <w:rFonts w:ascii="Times New Roman" w:hAnsi="Times New Roman" w:cs="Times New Roman" w:eastAsia="Times New Roman" w:hint="default"/>
        </w:rPr>
        <w:t>3</w:t>
      </w:r>
      <w:r>
        <w:rPr/>
        <w:t>、经营管理与公司治理 </w:t>
      </w:r>
      <w:r>
        <w:rPr>
          <w:spacing w:val="-2"/>
        </w:rPr>
        <w:t>公司不断调整和优化经营管理体制，完善法人治理结构，建立健全公司内部控制制度，注重人才队伍培养，努力提高公</w:t>
      </w:r>
    </w:p>
    <w:p>
      <w:pPr>
        <w:pStyle w:val="BodyText"/>
        <w:spacing w:line="309" w:lineRule="auto" w:before="31"/>
        <w:ind w:right="1129"/>
        <w:jc w:val="both"/>
      </w:pPr>
      <w:r>
        <w:rPr>
          <w:spacing w:val="-2"/>
        </w:rPr>
        <w:t>司研发工作效率、提高公司整体管理水平。为进一步促进公司建立、健全长期有效的激励约束机制，充分调动公司管理人员</w:t>
      </w:r>
      <w:r>
        <w:rPr>
          <w:spacing w:val="-65"/>
        </w:rPr>
        <w:t> </w:t>
      </w:r>
      <w:r>
        <w:rPr>
          <w:spacing w:val="-65"/>
        </w:rPr>
      </w:r>
      <w:r>
        <w:rPr>
          <w:spacing w:val="-2"/>
        </w:rPr>
        <w:t>及员工的积极性，有效地将股东利益、公司利益和员工利益结合在一起，公司于</w:t>
      </w:r>
      <w:r>
        <w:rPr>
          <w:rFonts w:ascii="Times New Roman" w:hAnsi="Times New Roman" w:cs="Times New Roman" w:eastAsia="Times New Roman" w:hint="default"/>
          <w:spacing w:val="-2"/>
        </w:rPr>
        <w:t>2016</w:t>
      </w:r>
      <w:r>
        <w:rPr>
          <w:spacing w:val="-2"/>
        </w:rPr>
        <w:t>年实施了股票期权激励计划，将部分高</w:t>
      </w:r>
      <w:r>
        <w:rPr>
          <w:spacing w:val="-61"/>
        </w:rPr>
        <w:t> </w:t>
      </w:r>
      <w:r>
        <w:rPr>
          <w:spacing w:val="-61"/>
        </w:rPr>
      </w:r>
      <w:r>
        <w:rPr>
          <w:spacing w:val="-2"/>
        </w:rPr>
        <w:t>级管理人员、中层管理人员、核心业务（技术）人员纳入本次激励范围。报告期内，公司股票期权激励计划第二个行权期于</w:t>
      </w:r>
      <w:r>
        <w:rPr>
          <w:spacing w:val="-66"/>
        </w:rPr>
        <w:t> </w:t>
      </w:r>
      <w:r>
        <w:rPr>
          <w:spacing w:val="-66"/>
        </w:rPr>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日结束；第三个行权期满足行权条件可以行权，行权期限为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日，公司完成了本次 股票期权的自主行权相关登记申报工作。报告期内，公司股票期权激励计划实际行权数量为</w:t>
      </w:r>
      <w:r>
        <w:rPr>
          <w:rFonts w:ascii="Times New Roman" w:hAnsi="Times New Roman" w:cs="Times New Roman" w:eastAsia="Times New Roman" w:hint="default"/>
        </w:rPr>
        <w:t>1,427,898</w:t>
      </w:r>
      <w:r>
        <w:rPr/>
        <w:t>股。</w:t>
      </w:r>
    </w:p>
    <w:p>
      <w:pPr>
        <w:pStyle w:val="BodyText"/>
        <w:spacing w:line="240" w:lineRule="auto" w:before="5"/>
        <w:ind w:left="513" w:right="1133"/>
        <w:jc w:val="left"/>
      </w:pPr>
      <w:r>
        <w:rPr>
          <w:rFonts w:ascii="Times New Roman" w:hAnsi="Times New Roman" w:cs="Times New Roman" w:eastAsia="Times New Roman" w:hint="default"/>
        </w:rPr>
        <w:t>4</w:t>
      </w:r>
      <w:r>
        <w:rPr/>
        <w:t>、重大资产重组事项</w:t>
      </w:r>
    </w:p>
    <w:p>
      <w:pPr>
        <w:pStyle w:val="BodyText"/>
        <w:spacing w:line="240" w:lineRule="auto" w:before="63"/>
        <w:ind w:left="513" w:right="1133"/>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日，公司发布了重大资产重组预案，拟间接收购北京矽成</w:t>
      </w:r>
      <w:r>
        <w:rPr>
          <w:rFonts w:ascii="Times New Roman" w:hAnsi="Times New Roman" w:cs="Times New Roman" w:eastAsia="Times New Roman" w:hint="default"/>
        </w:rPr>
        <w:t>51.5898%</w:t>
      </w:r>
      <w:r>
        <w:rPr/>
        <w:t>的股权和上海闪胜创芯投资合伙企业</w:t>
      </w:r>
    </w:p>
    <w:p>
      <w:pPr>
        <w:pStyle w:val="BodyText"/>
        <w:spacing w:line="240" w:lineRule="auto" w:before="63"/>
        <w:ind w:right="0"/>
        <w:jc w:val="both"/>
      </w:pPr>
      <w:r>
        <w:rPr/>
        <w:t>（有限合伙）</w:t>
      </w:r>
      <w:r>
        <w:rPr>
          <w:rFonts w:ascii="Times New Roman" w:hAnsi="Times New Roman" w:cs="Times New Roman" w:eastAsia="Times New Roman" w:hint="default"/>
        </w:rPr>
        <w:t>53.2914%</w:t>
      </w:r>
      <w:r>
        <w:rPr/>
        <w:t>的财产份额（闪胜创芯持有北京矽成</w:t>
      </w:r>
      <w:r>
        <w:rPr>
          <w:rFonts w:ascii="Times New Roman" w:hAnsi="Times New Roman" w:cs="Times New Roman" w:eastAsia="Times New Roman" w:hint="default"/>
        </w:rPr>
        <w:t>3.7850%</w:t>
      </w:r>
      <w:r>
        <w:rPr/>
        <w:t>的股权）。</w:t>
      </w:r>
    </w:p>
    <w:p>
      <w:pPr>
        <w:pStyle w:val="BodyText"/>
        <w:spacing w:line="300" w:lineRule="auto" w:before="63"/>
        <w:ind w:right="986" w:firstLine="360"/>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8</w:t>
      </w:r>
      <w:r>
        <w:rPr>
          <w:spacing w:val="-2"/>
        </w:rPr>
        <w:t>日，公司召开第四届董事会第四次会议，审议通过了《关于继续推进重大资产重组事项暨拟对方案进行重大</w:t>
      </w:r>
      <w:r>
        <w:rPr/>
        <w:t> 调整的议案》。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日，公司召开第四届董事会第五次会议，审议通过了《关于调整公司本次重大资产重组方案的 </w:t>
      </w:r>
      <w:r>
        <w:rPr>
          <w:spacing w:val="-2"/>
        </w:rPr>
        <w:t>议案》和《关于</w:t>
      </w:r>
      <w:r>
        <w:rPr>
          <w:rFonts w:ascii="Times New Roman" w:hAnsi="Times New Roman" w:cs="Times New Roman" w:eastAsia="Times New Roman" w:hint="default"/>
          <w:spacing w:val="-2"/>
        </w:rPr>
        <w:t>&lt;</w:t>
      </w:r>
      <w:r>
        <w:rPr>
          <w:spacing w:val="-2"/>
        </w:rPr>
        <w:t>北京君正集成电路股份有限公司发行股份及支付现金购买资产并募集配套资金暨关联交易预案（修订稿）</w:t>
      </w:r>
      <w:r>
        <w:rPr>
          <w:rFonts w:ascii="Times New Roman" w:hAnsi="Times New Roman" w:cs="Times New Roman" w:eastAsia="Times New Roman" w:hint="default"/>
          <w:spacing w:val="-2"/>
        </w:rPr>
        <w:t>&gt;</w:t>
      </w:r>
      <w:r>
        <w:rPr>
          <w:rFonts w:ascii="Times New Roman" w:hAnsi="Times New Roman" w:cs="Times New Roman" w:eastAsia="Times New Roman" w:hint="default"/>
          <w:spacing w:val="-42"/>
        </w:rPr>
        <w:t> </w:t>
      </w:r>
      <w:r>
        <w:rPr/>
        <w:t>及其摘要的议案》等议案，对本次重大资产重组方案进行了调整。公司及</w:t>
      </w:r>
      <w:r>
        <w:rPr>
          <w:rFonts w:ascii="Times New Roman" w:hAnsi="Times New Roman" w:cs="Times New Roman" w:eastAsia="Times New Roman" w:hint="default"/>
        </w:rPr>
        <w:t>/</w:t>
      </w:r>
      <w:r>
        <w:rPr/>
        <w:t>或其全资子公司合肥君正拟以发行股份及</w:t>
      </w:r>
      <w:r>
        <w:rPr>
          <w:rFonts w:ascii="Times New Roman" w:hAnsi="Times New Roman" w:cs="Times New Roman" w:eastAsia="Times New Roman" w:hint="default"/>
        </w:rPr>
        <w:t>/</w:t>
      </w:r>
      <w:r>
        <w:rPr/>
        <w:t>或支付 </w:t>
      </w:r>
      <w:r>
        <w:rPr>
          <w:spacing w:val="-2"/>
        </w:rPr>
        <w:t>现金的方式购买屹唐投资、华创芯原、上海瑾矽、民和志威、闪胜创芯、</w:t>
      </w:r>
      <w:r>
        <w:rPr>
          <w:rFonts w:ascii="Times New Roman" w:hAnsi="Times New Roman" w:cs="Times New Roman" w:eastAsia="Times New Roman" w:hint="default"/>
          <w:spacing w:val="-2"/>
        </w:rPr>
        <w:t>WM</w:t>
      </w:r>
      <w:r>
        <w:rPr>
          <w:spacing w:val="-2"/>
        </w:rPr>
        <w:t>、</w:t>
      </w:r>
      <w:r>
        <w:rPr>
          <w:rFonts w:ascii="Times New Roman" w:hAnsi="Times New Roman" w:cs="Times New Roman" w:eastAsia="Times New Roman" w:hint="default"/>
          <w:spacing w:val="-2"/>
        </w:rPr>
        <w:t>AM</w:t>
      </w:r>
      <w:r>
        <w:rPr>
          <w:spacing w:val="-2"/>
        </w:rPr>
        <w:t>、厦门芯华持有的北京矽成</w:t>
      </w:r>
      <w:r>
        <w:rPr>
          <w:rFonts w:ascii="Times New Roman" w:hAnsi="Times New Roman" w:cs="Times New Roman" w:eastAsia="Times New Roman" w:hint="default"/>
          <w:spacing w:val="-2"/>
        </w:rPr>
        <w:t>59.99%</w:t>
      </w:r>
      <w:r>
        <w:rPr>
          <w:spacing w:val="-2"/>
        </w:rPr>
        <w:t>股权，</w:t>
      </w:r>
      <w:r>
        <w:rPr>
          <w:spacing w:val="-67"/>
        </w:rPr>
        <w:t> </w:t>
      </w:r>
      <w:r>
        <w:rPr>
          <w:spacing w:val="-67"/>
        </w:rPr>
      </w:r>
      <w:r>
        <w:rPr/>
        <w:t>武岳峰集电、上海集岑、北京青禾、万丰投资、承裕投资持有的上海承裕</w:t>
      </w:r>
      <w:r>
        <w:rPr>
          <w:rFonts w:ascii="Times New Roman" w:hAnsi="Times New Roman" w:cs="Times New Roman" w:eastAsia="Times New Roman" w:hint="default"/>
        </w:rPr>
        <w:t>100%</w:t>
      </w:r>
      <w:r>
        <w:rPr/>
        <w:t>财产份额。本次交易完成后，公司将直接及 间接合计持有北京矽成</w:t>
      </w:r>
      <w:r>
        <w:rPr>
          <w:rFonts w:ascii="Times New Roman" w:hAnsi="Times New Roman" w:cs="Times New Roman" w:eastAsia="Times New Roman" w:hint="default"/>
        </w:rPr>
        <w:t>100%</w:t>
      </w:r>
      <w:r>
        <w:rPr/>
        <w:t>股权。</w:t>
      </w:r>
    </w:p>
    <w:p>
      <w:pPr>
        <w:pStyle w:val="BodyText"/>
        <w:spacing w:line="300" w:lineRule="auto" w:before="13"/>
        <w:ind w:right="1131" w:firstLine="360"/>
        <w:jc w:val="both"/>
      </w:pP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日召开的第四届董事会第七次会议和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9</w:t>
      </w:r>
      <w:r>
        <w:rPr/>
        <w:t>日召开的</w:t>
      </w:r>
      <w:r>
        <w:rPr>
          <w:rFonts w:ascii="Times New Roman" w:hAnsi="Times New Roman" w:cs="Times New Roman" w:eastAsia="Times New Roman" w:hint="default"/>
        </w:rPr>
        <w:t>2019</w:t>
      </w:r>
      <w:r>
        <w:rPr/>
        <w:t>年第一次临时股东大会会议，审议通 过了《关于公司发行股份及支付现金购买资产并募集配套资金方案的议案》和《关于</w:t>
      </w:r>
      <w:r>
        <w:rPr>
          <w:rFonts w:ascii="Times New Roman" w:hAnsi="Times New Roman" w:cs="Times New Roman" w:eastAsia="Times New Roman" w:hint="default"/>
        </w:rPr>
        <w:t>&lt;</w:t>
      </w:r>
      <w:r>
        <w:rPr/>
        <w:t>北京君正集成电路股份有限公司发行 股份及支付现金购买资产并募集配套资金暨关联交易报告书（草案）</w:t>
      </w:r>
      <w:r>
        <w:rPr>
          <w:rFonts w:ascii="Times New Roman" w:hAnsi="Times New Roman" w:cs="Times New Roman" w:eastAsia="Times New Roman" w:hint="default"/>
        </w:rPr>
        <w:t>&gt;</w:t>
      </w:r>
      <w:r>
        <w:rPr/>
        <w:t>及其摘要的议案》等议案。</w:t>
      </w:r>
    </w:p>
    <w:p>
      <w:pPr>
        <w:pStyle w:val="BodyText"/>
        <w:spacing w:line="309" w:lineRule="auto" w:before="13"/>
        <w:ind w:right="1131" w:firstLine="36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14</w:t>
      </w:r>
      <w:r>
        <w:rPr>
          <w:spacing w:val="-2"/>
        </w:rPr>
        <w:t>日，中国证监会上市公司并购重组审核委员会召开</w:t>
      </w:r>
      <w:r>
        <w:rPr>
          <w:rFonts w:ascii="Times New Roman" w:hAnsi="Times New Roman" w:cs="Times New Roman" w:eastAsia="Times New Roman" w:hint="default"/>
          <w:spacing w:val="-2"/>
        </w:rPr>
        <w:t>2019</w:t>
      </w:r>
      <w:r>
        <w:rPr>
          <w:spacing w:val="-2"/>
        </w:rPr>
        <w:t>年第</w:t>
      </w:r>
      <w:r>
        <w:rPr>
          <w:rFonts w:ascii="Times New Roman" w:hAnsi="Times New Roman" w:cs="Times New Roman" w:eastAsia="Times New Roman" w:hint="default"/>
          <w:spacing w:val="-2"/>
        </w:rPr>
        <w:t>60</w:t>
      </w:r>
      <w:r>
        <w:rPr>
          <w:spacing w:val="-2"/>
        </w:rPr>
        <w:t>次并购重组委工作会议，对公司发行股份及</w:t>
      </w:r>
      <w:r>
        <w:rPr/>
        <w:t> </w:t>
      </w:r>
      <w:r>
        <w:rPr>
          <w:spacing w:val="-2"/>
        </w:rPr>
        <w:t>支付现金购买资产并募集配套资金暨关联交易事项进行了审核。根据会议审核结果，公司本次发行股份及支付现金购买资产</w:t>
      </w:r>
      <w:r>
        <w:rPr>
          <w:spacing w:val="-64"/>
        </w:rPr>
        <w:t> </w:t>
      </w:r>
      <w:r>
        <w:rPr>
          <w:spacing w:val="-64"/>
        </w:rPr>
      </w:r>
      <w:r>
        <w:rPr/>
        <w:t>并募集配套资金暨关联交易事项获得有条件通过。</w:t>
      </w:r>
    </w:p>
    <w:p>
      <w:pPr>
        <w:pStyle w:val="BodyText"/>
        <w:spacing w:line="240" w:lineRule="auto" w:before="24"/>
        <w:ind w:left="513" w:right="986"/>
        <w:jc w:val="left"/>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9</w:t>
      </w:r>
      <w:r>
        <w:rPr>
          <w:spacing w:val="-1"/>
        </w:rPr>
        <w:t>年</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2</w:t>
      </w:r>
      <w:r>
        <w:rPr/>
        <w:t>月</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1</w:t>
      </w:r>
      <w:r>
        <w:rPr/>
        <w:t>日公司收到中</w:t>
      </w:r>
      <w:r>
        <w:rPr>
          <w:spacing w:val="-3"/>
        </w:rPr>
        <w:t>国</w:t>
      </w:r>
      <w:r>
        <w:rPr/>
        <w:t>证监会出具</w:t>
      </w:r>
      <w:r>
        <w:rPr>
          <w:spacing w:val="-82"/>
        </w:rPr>
        <w:t>的</w:t>
      </w:r>
      <w:r>
        <w:rPr/>
        <w:t>《关于核准北京君正集成电路股份有限公司向北京屹唐半导体产业投资中心</w:t>
      </w:r>
    </w:p>
    <w:p>
      <w:pPr>
        <w:pStyle w:val="BodyText"/>
        <w:spacing w:line="300" w:lineRule="auto" w:before="63"/>
        <w:ind w:right="1131"/>
        <w:jc w:val="both"/>
      </w:pPr>
      <w:r>
        <w:rPr>
          <w:spacing w:val="-1"/>
        </w:rPr>
        <w:t>（有限合伙）等发行股份购买资产并募集配套资金的批复》（证监许可</w:t>
      </w:r>
      <w:r>
        <w:rPr>
          <w:rFonts w:ascii="Times New Roman" w:hAnsi="Times New Roman" w:cs="Times New Roman" w:eastAsia="Times New Roman" w:hint="default"/>
          <w:spacing w:val="-1"/>
        </w:rPr>
        <w:t>[2019]2938</w:t>
      </w:r>
      <w:r>
        <w:rPr>
          <w:spacing w:val="-1"/>
        </w:rPr>
        <w:t>号），核准公司本次发行股份购买资产并</w:t>
      </w:r>
      <w:r>
        <w:rPr>
          <w:spacing w:val="-58"/>
        </w:rPr>
        <w:t> </w:t>
      </w:r>
      <w:r>
        <w:rPr>
          <w:spacing w:val="-58"/>
        </w:rPr>
      </w:r>
      <w:r>
        <w:rPr/>
        <w:t>募集配套资金事项。目前公司正在积极组织实施本次交易的各项相关工作。</w:t>
      </w:r>
    </w:p>
    <w:p>
      <w:pPr>
        <w:pStyle w:val="BodyText"/>
        <w:spacing w:line="300" w:lineRule="auto" w:before="31"/>
        <w:ind w:left="513" w:right="1123"/>
        <w:jc w:val="left"/>
      </w:pPr>
      <w:r>
        <w:rPr>
          <w:rFonts w:ascii="Times New Roman" w:hAnsi="Times New Roman" w:cs="Times New Roman" w:eastAsia="Times New Roman" w:hint="default"/>
        </w:rPr>
        <w:t>5</w:t>
      </w:r>
      <w:r>
        <w:rPr/>
        <w:t>、合肥君正研发楼建设 经公司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日召开的第三届董事会第二十一次会议和</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4</w:t>
      </w:r>
      <w:r>
        <w:rPr/>
        <w:t>日召开的</w:t>
      </w:r>
      <w:r>
        <w:rPr>
          <w:rFonts w:ascii="Times New Roman" w:hAnsi="Times New Roman" w:cs="Times New Roman" w:eastAsia="Times New Roman" w:hint="default"/>
        </w:rPr>
        <w:t>2017</w:t>
      </w:r>
      <w:r>
        <w:rPr/>
        <w:t>年年度股东大会审议通过，公司</w:t>
      </w:r>
    </w:p>
    <w:p>
      <w:pPr>
        <w:pStyle w:val="BodyText"/>
        <w:spacing w:line="312" w:lineRule="auto" w:before="13"/>
        <w:ind w:right="1034"/>
        <w:jc w:val="left"/>
      </w:pPr>
      <w:r>
        <w:rPr/>
        <w:t>使用超募资金</w:t>
      </w:r>
      <w:r>
        <w:rPr>
          <w:rFonts w:ascii="Times New Roman" w:hAnsi="Times New Roman" w:cs="Times New Roman" w:eastAsia="Times New Roman" w:hint="default"/>
        </w:rPr>
        <w:t>9,500</w:t>
      </w:r>
      <w:r>
        <w:rPr/>
        <w:t>万元对公司全资子公司合肥君正科技有限公司进行增资，以进行合肥君正二期研发楼的建设。该项目的 实施将为合肥君正的发展壮大提供充足的空间和更好的保障，同时将增加公司的优质固定资产，进一步改善公司资产结构， </w:t>
      </w:r>
      <w:r>
        <w:rPr>
          <w:spacing w:val="-2"/>
        </w:rPr>
        <w:t>增强抗风险能力，提高募集资金的经济效益，对公司未来稳健发展具有积极的作用。报告期内，合肥君正二期研发楼完成了</w:t>
      </w:r>
      <w:r>
        <w:rPr>
          <w:spacing w:val="-65"/>
        </w:rPr>
        <w:t> </w:t>
      </w:r>
      <w:r>
        <w:rPr>
          <w:spacing w:val="-65"/>
        </w:rPr>
      </w:r>
      <w:r>
        <w:rPr/>
        <w:t>方案设计，并完成了开工建设前的部分市政审批工作。</w:t>
      </w:r>
    </w:p>
    <w:p>
      <w:pPr>
        <w:pStyle w:val="BodyText"/>
        <w:spacing w:line="240" w:lineRule="auto" w:before="63"/>
        <w:ind w:right="0"/>
        <w:jc w:val="both"/>
      </w:pPr>
      <w:r>
        <w:rPr/>
        <w:t>公司需遵守《深圳证券交易所创业板行业信息披露指引第</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上市公司从事集成电路相关业务》的披露要求</w:t>
      </w:r>
    </w:p>
    <w:p>
      <w:pPr>
        <w:pStyle w:val="BodyText"/>
        <w:spacing w:line="360" w:lineRule="auto" w:before="101"/>
        <w:ind w:left="513" w:right="1118"/>
        <w:jc w:val="left"/>
      </w:pPr>
      <w:r>
        <w:rPr/>
        <w:t>（一）经营模式 </w:t>
      </w:r>
      <w:r>
        <w:rPr>
          <w:spacing w:val="-2"/>
        </w:rPr>
        <w:t>公司自成立以来一直采用</w:t>
      </w:r>
      <w:r>
        <w:rPr>
          <w:rFonts w:ascii="Times New Roman" w:hAnsi="Times New Roman" w:cs="Times New Roman" w:eastAsia="Times New Roman" w:hint="default"/>
          <w:spacing w:val="-2"/>
        </w:rPr>
        <w:t>Fabless</w:t>
      </w:r>
      <w:r>
        <w:rPr>
          <w:spacing w:val="-2"/>
        </w:rPr>
        <w:t>的经营模式，在业务上专注于技术与产品的设计、研发，产品生产环节均委托大型专业</w:t>
      </w:r>
    </w:p>
    <w:p>
      <w:pPr>
        <w:pStyle w:val="BodyText"/>
        <w:spacing w:line="199" w:lineRule="exact"/>
        <w:ind w:right="0"/>
        <w:jc w:val="both"/>
      </w:pPr>
      <w:r>
        <w:rPr>
          <w:spacing w:val="-4"/>
        </w:rPr>
        <w:t>集成电路委托加工商进行，具体包括晶圆的生产、测试和芯片的封装、测试等。公司产品主要面向电子信息行业的企业客户，</w:t>
      </w:r>
    </w:p>
    <w:p>
      <w:pPr>
        <w:pStyle w:val="BodyText"/>
        <w:spacing w:line="316" w:lineRule="auto" w:before="76"/>
        <w:ind w:right="1129"/>
        <w:jc w:val="both"/>
      </w:pPr>
      <w:r>
        <w:rPr>
          <w:spacing w:val="-2"/>
        </w:rPr>
        <w:t>客户采用公司的芯片后，需进行终端产品设计方案的研发。在销售模式上，公司采用直销和经销相结合的方式，其中对于重</w:t>
      </w:r>
      <w:r>
        <w:rPr>
          <w:spacing w:val="-65"/>
        </w:rPr>
        <w:t> </w:t>
      </w:r>
      <w:r>
        <w:rPr>
          <w:spacing w:val="-65"/>
        </w:rPr>
      </w:r>
      <w:r>
        <w:rPr>
          <w:spacing w:val="-2"/>
        </w:rPr>
        <w:t>点客户，无论是通过直销还是经销的方式，公司均会直接对其进行技术支持与服务，协助客户解决产品开发过程中的技术问</w:t>
      </w:r>
      <w:r>
        <w:rPr>
          <w:spacing w:val="-62"/>
        </w:rPr>
        <w:t> </w:t>
      </w:r>
      <w:r>
        <w:rPr>
          <w:spacing w:val="-62"/>
        </w:rPr>
      </w:r>
      <w:r>
        <w:rPr/>
        <w:t>题。针对产品功能相近、市场量大的垂直市场，公司还会提供</w:t>
      </w:r>
      <w:r>
        <w:rPr>
          <w:rFonts w:ascii="Times New Roman" w:hAnsi="Times New Roman" w:cs="Times New Roman" w:eastAsia="Times New Roman" w:hint="default"/>
        </w:rPr>
        <w:t>“Turnkey”</w:t>
      </w:r>
      <w:r>
        <w:rPr/>
        <w:t>的整体解决方案。</w:t>
      </w:r>
    </w:p>
    <w:p>
      <w:pPr>
        <w:pStyle w:val="BodyText"/>
        <w:spacing w:line="357" w:lineRule="auto" w:before="40"/>
        <w:ind w:left="513" w:right="1118"/>
        <w:jc w:val="left"/>
      </w:pPr>
      <w:r>
        <w:rPr/>
        <w:t>（二）产品类别 </w:t>
      </w:r>
      <w:r>
        <w:rPr>
          <w:spacing w:val="-2"/>
        </w:rPr>
        <w:t>公司的芯片产品属于集成电路行业中的逻辑集成电路细分行业，根据所面向的不同应用领域，公司将产品分为两类：微</w:t>
      </w:r>
    </w:p>
    <w:p>
      <w:pPr>
        <w:pStyle w:val="BodyText"/>
        <w:spacing w:line="237" w:lineRule="exact"/>
        <w:ind w:right="0"/>
        <w:jc w:val="both"/>
        <w:rPr>
          <w:rFonts w:ascii="Times New Roman" w:hAnsi="Times New Roman" w:cs="Times New Roman" w:eastAsia="Times New Roman" w:hint="default"/>
        </w:rPr>
      </w:pPr>
      <w:r>
        <w:rPr/>
        <w:t>处理器芯片和智能视频芯片</w:t>
      </w:r>
      <w:r>
        <w:rPr>
          <w:spacing w:val="-82"/>
        </w:rPr>
        <w:t>，</w:t>
      </w:r>
      <w:r>
        <w:rPr/>
        <w:t>目前两类芯片均采用</w:t>
      </w:r>
      <w:r>
        <w:rPr>
          <w:rFonts w:ascii="Times New Roman" w:hAnsi="Times New Roman" w:cs="Times New Roman" w:eastAsia="Times New Roman" w:hint="default"/>
          <w:w w:val="99"/>
        </w:rPr>
        <w:t>M</w:t>
      </w:r>
      <w:r>
        <w:rPr>
          <w:rFonts w:ascii="Times New Roman" w:hAnsi="Times New Roman" w:cs="Times New Roman" w:eastAsia="Times New Roman" w:hint="default"/>
          <w:spacing w:val="-3"/>
          <w:w w:val="99"/>
        </w:rPr>
        <w:t>I</w:t>
      </w:r>
      <w:r>
        <w:rPr>
          <w:rFonts w:ascii="Times New Roman" w:hAnsi="Times New Roman" w:cs="Times New Roman" w:eastAsia="Times New Roman" w:hint="default"/>
          <w:spacing w:val="2"/>
          <w:w w:val="99"/>
        </w:rPr>
        <w:t>P</w:t>
      </w:r>
      <w:r>
        <w:rPr>
          <w:rFonts w:ascii="Times New Roman" w:hAnsi="Times New Roman" w:cs="Times New Roman" w:eastAsia="Times New Roman" w:hint="default"/>
          <w:spacing w:val="1"/>
          <w:w w:val="99"/>
        </w:rPr>
        <w:t>S</w:t>
      </w:r>
      <w:r>
        <w:rPr/>
        <w:t>架构</w:t>
      </w:r>
      <w:r>
        <w:rPr>
          <w:spacing w:val="-85"/>
        </w:rPr>
        <w:t>，</w:t>
      </w:r>
      <w:r>
        <w:rPr/>
        <w:t>随着</w:t>
      </w:r>
      <w:r>
        <w:rPr>
          <w:rFonts w:ascii="Times New Roman" w:hAnsi="Times New Roman" w:cs="Times New Roman" w:eastAsia="Times New Roman" w:hint="default"/>
          <w:w w:val="99"/>
        </w:rPr>
        <w:t>RIS</w:t>
      </w:r>
      <w:r>
        <w:rPr>
          <w:rFonts w:ascii="Times New Roman" w:hAnsi="Times New Roman" w:cs="Times New Roman" w:eastAsia="Times New Roman" w:hint="default"/>
        </w:rPr>
        <w:t>C-</w:t>
      </w:r>
      <w:r>
        <w:rPr>
          <w:rFonts w:ascii="Times New Roman" w:hAnsi="Times New Roman" w:cs="Times New Roman" w:eastAsia="Times New Roman" w:hint="default"/>
          <w:spacing w:val="2"/>
          <w:w w:val="99"/>
        </w:rPr>
        <w:t>V</w:t>
      </w:r>
      <w:r>
        <w:rPr/>
        <w:t>架构的发展</w:t>
      </w:r>
      <w:r>
        <w:rPr>
          <w:spacing w:val="-82"/>
        </w:rPr>
        <w:t>，</w:t>
      </w:r>
      <w:r>
        <w:rPr/>
        <w:t>公</w:t>
      </w:r>
      <w:r>
        <w:rPr>
          <w:spacing w:val="-3"/>
        </w:rPr>
        <w:t>司</w:t>
      </w:r>
      <w:r>
        <w:rPr/>
        <w:t>也在积极跟进和提早布局</w:t>
      </w:r>
      <w:r>
        <w:rPr>
          <w:rFonts w:ascii="Times New Roman" w:hAnsi="Times New Roman" w:cs="Times New Roman" w:eastAsia="Times New Roman" w:hint="default"/>
          <w:w w:val="99"/>
        </w:rPr>
        <w:t>RIS</w:t>
      </w:r>
      <w:r>
        <w:rPr>
          <w:rFonts w:ascii="Times New Roman" w:hAnsi="Times New Roman" w:cs="Times New Roman" w:eastAsia="Times New Roman" w:hint="default"/>
        </w:rPr>
        <w:t>C-</w:t>
      </w:r>
      <w:r>
        <w:rPr>
          <w:rFonts w:ascii="Times New Roman" w:hAnsi="Times New Roman" w:cs="Times New Roman" w:eastAsia="Times New Roman" w:hint="default"/>
          <w:w w:val="99"/>
        </w:rPr>
        <w:t>V</w:t>
      </w:r>
      <w:r>
        <w:rPr>
          <w:rFonts w:ascii="Times New Roman" w:hAnsi="Times New Roman" w:cs="Times New Roman" w:eastAsia="Times New Roman" w:hint="default"/>
        </w:rPr>
      </w:r>
    </w:p>
    <w:p>
      <w:pPr>
        <w:pStyle w:val="BodyText"/>
        <w:spacing w:line="240" w:lineRule="auto" w:before="63"/>
        <w:ind w:right="0"/>
        <w:jc w:val="both"/>
      </w:pPr>
      <w:r>
        <w:rPr/>
        <w:t>相关技术的研发，并将根据技术发展与市场需求情况，择机推出基于</w:t>
      </w:r>
      <w:r>
        <w:rPr>
          <w:rFonts w:ascii="Times New Roman" w:hAnsi="Times New Roman" w:cs="Times New Roman" w:eastAsia="Times New Roman" w:hint="default"/>
        </w:rPr>
        <w:t>RISC-V</w:t>
      </w:r>
      <w:r>
        <w:rPr/>
        <w:t>的芯片产品。从市场应用上，微处理器芯片主</w:t>
      </w:r>
    </w:p>
    <w:p>
      <w:pPr>
        <w:spacing w:after="0" w:line="240"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3"/>
        <w:jc w:val="both"/>
      </w:pPr>
      <w:r>
        <w:rPr>
          <w:spacing w:val="-2"/>
        </w:rPr>
        <w:t>要面向智能物联网类市场，包括智能家居、智能家电、二维码、智能穿戴、智能门锁和生物识别等，智能视频芯片主要面向</w:t>
      </w:r>
      <w:r>
        <w:rPr>
          <w:spacing w:val="-68"/>
        </w:rPr>
        <w:t> </w:t>
      </w:r>
      <w:r>
        <w:rPr>
          <w:spacing w:val="-68"/>
        </w:rPr>
      </w:r>
      <w:r>
        <w:rPr>
          <w:spacing w:val="-2"/>
        </w:rPr>
        <w:t>商用和家用消费类智能摄像头及泛视频类市场，包括安防监控、智能门铃、智能门锁、人脸识别设备等领域。报告期内，公</w:t>
      </w:r>
      <w:r>
        <w:rPr>
          <w:spacing w:val="-68"/>
        </w:rPr>
        <w:t> </w:t>
      </w:r>
      <w:r>
        <w:rPr>
          <w:spacing w:val="-68"/>
        </w:rPr>
      </w:r>
      <w:r>
        <w:rPr>
          <w:spacing w:val="-2"/>
        </w:rPr>
        <w:t>司的芯片产品被广泛应用于二维码扫码设备、智能手表、智能家电面板、门禁类产品、智能音箱、智能摄像头产品等各类智</w:t>
      </w:r>
      <w:r>
        <w:rPr>
          <w:spacing w:val="-67"/>
        </w:rPr>
        <w:t> </w:t>
      </w:r>
      <w:r>
        <w:rPr>
          <w:spacing w:val="-67"/>
        </w:rPr>
      </w:r>
      <w:r>
        <w:rPr/>
        <w:t>能硬件产品。</w:t>
      </w:r>
    </w:p>
    <w:p>
      <w:pPr>
        <w:pStyle w:val="BodyText"/>
        <w:spacing w:line="357" w:lineRule="auto" w:before="59"/>
        <w:ind w:left="513" w:right="1118"/>
        <w:jc w:val="left"/>
      </w:pPr>
      <w:r>
        <w:rPr/>
        <w:t>（三）下一报告期内下游应用领域的宏观需求分析 </w:t>
      </w:r>
      <w:r>
        <w:rPr>
          <w:spacing w:val="-2"/>
        </w:rPr>
        <w:t>下一报告期内，受国内外新冠肺炎疫情冲击，公司下游应用领域的市场需求将会受到一定程度的影响。为了应对疫情冲</w:t>
      </w:r>
    </w:p>
    <w:p>
      <w:pPr>
        <w:pStyle w:val="BodyText"/>
        <w:spacing w:line="237" w:lineRule="exact"/>
        <w:ind w:right="986"/>
        <w:jc w:val="left"/>
      </w:pPr>
      <w:r>
        <w:rPr>
          <w:spacing w:val="-3"/>
        </w:rPr>
        <w:t>击，国家出台了</w:t>
      </w:r>
      <w:r>
        <w:rPr>
          <w:rFonts w:ascii="Times New Roman" w:hAnsi="Times New Roman" w:cs="Times New Roman" w:eastAsia="Times New Roman" w:hint="default"/>
          <w:spacing w:val="-3"/>
        </w:rPr>
        <w:t>“</w:t>
      </w:r>
      <w:r>
        <w:rPr>
          <w:spacing w:val="-3"/>
        </w:rPr>
        <w:t>新基建</w:t>
      </w:r>
      <w:r>
        <w:rPr>
          <w:rFonts w:ascii="Times New Roman" w:hAnsi="Times New Roman" w:cs="Times New Roman" w:eastAsia="Times New Roman" w:hint="default"/>
          <w:spacing w:val="-3"/>
        </w:rPr>
        <w:t>”</w:t>
      </w:r>
      <w:r>
        <w:rPr>
          <w:spacing w:val="-3"/>
        </w:rPr>
        <w:t>政策，加大在</w:t>
      </w:r>
      <w:r>
        <w:rPr>
          <w:rFonts w:ascii="Times New Roman" w:hAnsi="Times New Roman" w:cs="Times New Roman" w:eastAsia="Times New Roman" w:hint="default"/>
          <w:spacing w:val="-3"/>
        </w:rPr>
        <w:t>5G</w:t>
      </w:r>
      <w:r>
        <w:rPr>
          <w:spacing w:val="-3"/>
        </w:rPr>
        <w:t>、人工智能、大数据中心、工业互联网等</w:t>
      </w:r>
      <w:r>
        <w:rPr>
          <w:rFonts w:ascii="Times New Roman" w:hAnsi="Times New Roman" w:cs="Times New Roman" w:eastAsia="Times New Roman" w:hint="default"/>
          <w:spacing w:val="-3"/>
        </w:rPr>
        <w:t>“</w:t>
      </w:r>
      <w:r>
        <w:rPr>
          <w:spacing w:val="-3"/>
        </w:rPr>
        <w:t>新基建</w:t>
      </w:r>
      <w:r>
        <w:rPr>
          <w:rFonts w:ascii="Times New Roman" w:hAnsi="Times New Roman" w:cs="Times New Roman" w:eastAsia="Times New Roman" w:hint="default"/>
          <w:spacing w:val="-3"/>
        </w:rPr>
        <w:t>”</w:t>
      </w:r>
      <w:r>
        <w:rPr>
          <w:spacing w:val="-3"/>
        </w:rPr>
        <w:t>领域的投入，刺激相关领域需求，</w:t>
      </w:r>
    </w:p>
    <w:p>
      <w:pPr>
        <w:pStyle w:val="BodyText"/>
        <w:spacing w:line="316" w:lineRule="auto" w:before="63"/>
        <w:ind w:right="1118"/>
        <w:jc w:val="left"/>
      </w:pPr>
      <w:r>
        <w:rPr>
          <w:spacing w:val="-2"/>
        </w:rPr>
        <w:t>更加积极的财政、货币及相应的产业政策有望进一步出台。公司下游部分应用领域属于国家新一轮政策扶持范围，这将一定</w:t>
      </w:r>
      <w:r>
        <w:rPr>
          <w:spacing w:val="-61"/>
        </w:rPr>
        <w:t> </w:t>
      </w:r>
      <w:r>
        <w:rPr>
          <w:spacing w:val="-61"/>
        </w:rPr>
      </w:r>
      <w:r>
        <w:rPr/>
        <w:t>程度抵消疫情对市场需求的影响，对行业发展起到积极的推动作用。</w:t>
      </w:r>
    </w:p>
    <w:p>
      <w:pPr>
        <w:pStyle w:val="BodyText"/>
        <w:spacing w:line="360" w:lineRule="auto" w:before="59"/>
        <w:ind w:left="513" w:right="1118"/>
        <w:jc w:val="left"/>
      </w:pPr>
      <w:r>
        <w:rPr/>
        <w:t>（四）国内外主要同行业公司名称 </w:t>
      </w:r>
      <w:r>
        <w:rPr>
          <w:spacing w:val="-2"/>
        </w:rPr>
        <w:t>国内外同行业公司主要有联发科、晶晨半导体、恩智浦半导体、德州仪器、安霸、星宸科技、海思半导体、瑞芯微、全</w:t>
      </w:r>
    </w:p>
    <w:p>
      <w:pPr>
        <w:pStyle w:val="BodyText"/>
        <w:spacing w:line="222" w:lineRule="exact"/>
        <w:ind w:right="1133"/>
        <w:jc w:val="left"/>
      </w:pPr>
      <w:r>
        <w:rPr/>
        <w:t>志科技、国科微、富瀚微、安凯微电子等芯片企业。</w:t>
      </w:r>
    </w:p>
    <w:p>
      <w:pPr>
        <w:pStyle w:val="BodyText"/>
        <w:spacing w:line="360" w:lineRule="auto" w:before="115"/>
        <w:ind w:left="513" w:right="4653"/>
        <w:jc w:val="left"/>
      </w:pPr>
      <w:r>
        <w:rPr/>
        <w:t>（五）公司发展战略及经营计划 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中的“九、公司未来发展的展望”相关内容。</w:t>
      </w:r>
    </w:p>
    <w:p>
      <w:pPr>
        <w:spacing w:line="240" w:lineRule="auto" w:before="8"/>
        <w:rPr>
          <w:rFonts w:ascii="宋体" w:hAnsi="宋体" w:cs="宋体" w:eastAsia="宋体" w:hint="default"/>
          <w:sz w:val="16"/>
          <w:szCs w:val="16"/>
        </w:rPr>
      </w:pPr>
    </w:p>
    <w:p>
      <w:pPr>
        <w:pStyle w:val="Heading2"/>
        <w:spacing w:line="240" w:lineRule="auto"/>
        <w:ind w:right="1133"/>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7" w:lineRule="auto" w:before="0"/>
        <w:ind w:left="152" w:right="6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6"/>
        <w:ind w:right="1133"/>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营业收入整体情况</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0"/>
        <w:gridCol w:w="1594"/>
        <w:gridCol w:w="1590"/>
        <w:gridCol w:w="1600"/>
        <w:gridCol w:w="1586"/>
        <w:gridCol w:w="1598"/>
      </w:tblGrid>
      <w:tr>
        <w:trPr>
          <w:trHeight w:val="206" w:hRule="exact"/>
        </w:trPr>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600" w:type="dxa"/>
            <w:vMerge w:val="restart"/>
            <w:tcBorders>
              <w:top w:val="nil" w:sz="6" w:space="0" w:color="auto"/>
              <w:left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600"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金额</w:t>
            </w:r>
          </w:p>
        </w:tc>
        <w:tc>
          <w:tcPr>
            <w:tcW w:w="15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0"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339,351,160.33</w:t>
            </w:r>
          </w:p>
        </w:tc>
        <w:tc>
          <w:tcPr>
            <w:tcW w:w="1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100%</w:t>
            </w:r>
          </w:p>
        </w:tc>
        <w:tc>
          <w:tcPr>
            <w:tcW w:w="1600"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259,670,111.20</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100%</w:t>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30.69%</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集成电路设计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329,134,967.62</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96.99%</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249,006,928.56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95.89%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32.18%</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房租收入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10,216,192.71</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3.01%</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10,663,182.64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2"/>
                <w:sz w:val="18"/>
              </w:rPr>
              <w:t>4.11%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-4.19%</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微处理器芯片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146,807,036.68</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43.26%</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144,824,560.13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55.77%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智能视频芯片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178,542,505.87</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52.61%</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99,485,451.40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38.31%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79.47%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2,855,487.22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1,152,219.27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147.82%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929,937.85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3,544,697.76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-73.77%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10,216,192.71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10,663,182.64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4.11%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-4.19%</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143,027,192.44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108,107,959.16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32.30%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香港地区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47,639,776.31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14.04%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138,467,998.87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140,898,969.40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10,216,192.71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10,663,182.64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4.11%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-4.19%</w:t>
            </w:r>
          </w:p>
        </w:tc>
      </w:tr>
    </w:tbl>
    <w:p>
      <w:pPr>
        <w:pStyle w:val="BodyText"/>
        <w:spacing w:line="338" w:lineRule="auto" w:before="49"/>
        <w:ind w:left="513" w:right="1118" w:hanging="361"/>
        <w:jc w:val="left"/>
      </w:pPr>
      <w:r>
        <w:rPr/>
        <w:t>公司需遵守《深圳证券交易所创业板行业信息披露指引第</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上市公司从事集成电路相关业务》的披露要求 </w:t>
      </w:r>
      <w:r>
        <w:rPr>
          <w:spacing w:val="-2"/>
        </w:rPr>
        <w:t>报告期内当地汇率、与公司业务相关的关税等经济政策未发生重大变化。报告期内，公司的销售渠道较为固定，与主要</w:t>
      </w:r>
    </w:p>
    <w:p>
      <w:pPr>
        <w:pStyle w:val="BodyText"/>
        <w:spacing w:line="316" w:lineRule="auto" w:before="2"/>
        <w:ind w:right="1034"/>
        <w:jc w:val="left"/>
      </w:pPr>
      <w:r>
        <w:rPr/>
        <w:t>客户的关系长期且稳定，客户信誉良好回款情况正常。公司主要业务地区的当地汇率、关税等经济政策未发生重大的变化， 对公司当期和未来的经营业绩未产生重大影响。</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集成电路设计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329,134,967.62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203,716,283.45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32.18%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31.05%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10,216,192.71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655,124.31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0.27%</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微处理器芯片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146,807,036.68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67,153,862.09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54.26%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6.54%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智能视频芯片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178,542,505.87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136,378,817.54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79.47%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73.94%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10,216,192.71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655,124.31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0.27%</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143,027,192.44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77,377,560.06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40.45%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香港地区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47,639,776.31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32,723,900.71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31.31%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138,467,998.87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93,614,822.68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10,216,192.71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655,124.31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0.27%</w:t>
            </w:r>
          </w:p>
        </w:tc>
      </w:tr>
    </w:tbl>
    <w:p>
      <w:pPr>
        <w:pStyle w:val="BodyText"/>
        <w:spacing w:line="240" w:lineRule="auto" w:before="49"/>
        <w:ind w:right="113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3"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集成电路设计</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21,236,903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14,632,875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45.13%</w:t>
            </w:r>
          </w:p>
        </w:tc>
      </w:tr>
      <w:tr>
        <w:trPr>
          <w:trHeight w:val="403"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23,481,963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14,778,278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58.90%</w:t>
            </w:r>
          </w:p>
        </w:tc>
      </w:tr>
      <w:tr>
        <w:trPr>
          <w:trHeight w:val="401"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4,295,166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2,988,294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43.73%</w:t>
            </w:r>
          </w:p>
        </w:tc>
      </w:tr>
    </w:tbl>
    <w:p>
      <w:pPr>
        <w:pStyle w:val="BodyText"/>
        <w:spacing w:line="240" w:lineRule="auto" w:before="49"/>
        <w:ind w:right="1133"/>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338" w:lineRule="auto" w:before="103"/>
        <w:ind w:left="513" w:right="103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报告期内，公司产品在智能视频等领域的销售收入持续增长，为满足市场的销售需求，公司产品的生产量也同比增长。</w:t>
      </w:r>
    </w:p>
    <w:p>
      <w:pPr>
        <w:spacing w:line="240" w:lineRule="auto" w:before="8"/>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产品分类</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集成电路设计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95"/>
              <w:jc w:val="right"/>
              <w:rPr>
                <w:rFonts w:ascii="宋体" w:hAnsi="宋体" w:cs="宋体" w:eastAsia="宋体" w:hint="default"/>
                <w:sz w:val="18"/>
                <w:szCs w:val="18"/>
              </w:rPr>
            </w:pPr>
            <w:r>
              <w:rPr>
                <w:rFonts w:ascii="宋体" w:hAnsi="宋体" w:cs="宋体" w:eastAsia="宋体" w:hint="default"/>
                <w:sz w:val="18"/>
                <w:szCs w:val="18"/>
              </w:rPr>
              <w:t>晶圆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165,507,597.76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122,959,602.15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79.10%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集成电路设计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95"/>
              <w:jc w:val="right"/>
              <w:rPr>
                <w:rFonts w:ascii="宋体" w:hAnsi="宋体" w:cs="宋体" w:eastAsia="宋体" w:hint="default"/>
                <w:sz w:val="18"/>
                <w:szCs w:val="18"/>
              </w:rPr>
            </w:pPr>
            <w:r>
              <w:rPr>
                <w:rFonts w:ascii="宋体" w:hAnsi="宋体" w:cs="宋体" w:eastAsia="宋体" w:hint="default"/>
                <w:sz w:val="18"/>
                <w:szCs w:val="18"/>
              </w:rPr>
              <w:t>封装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35,487,426.64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29,007,293.39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集成电路设计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95"/>
              <w:jc w:val="right"/>
              <w:rPr>
                <w:rFonts w:ascii="宋体" w:hAnsi="宋体" w:cs="宋体" w:eastAsia="宋体" w:hint="default"/>
                <w:sz w:val="18"/>
                <w:szCs w:val="18"/>
              </w:rPr>
            </w:pPr>
            <w:r>
              <w:rPr>
                <w:rFonts w:ascii="宋体" w:hAnsi="宋体" w:cs="宋体" w:eastAsia="宋体" w:hint="default"/>
                <w:sz w:val="18"/>
                <w:szCs w:val="18"/>
              </w:rPr>
              <w:t>测试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2,537,655.23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2,133,047.30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集成电路设计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95"/>
              <w:jc w:val="righ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183,603.82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1,345,645.87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-0.78%</w:t>
            </w:r>
          </w:p>
        </w:tc>
      </w:tr>
    </w:tbl>
    <w:p>
      <w:pPr>
        <w:pStyle w:val="BodyText"/>
        <w:spacing w:line="240" w:lineRule="auto" w:before="49"/>
        <w:ind w:right="1133"/>
        <w:jc w:val="left"/>
      </w:pPr>
      <w:r>
        <w:rPr/>
        <w:t>说明：无</w:t>
      </w:r>
    </w:p>
    <w:p>
      <w:pPr>
        <w:pStyle w:val="BodyText"/>
        <w:spacing w:line="300" w:lineRule="auto" w:before="115"/>
        <w:ind w:right="1124"/>
        <w:jc w:val="left"/>
      </w:pPr>
      <w:r>
        <w:rPr/>
        <w:t>公司需遵守《深圳证券交易所创业板行业信息披露指引第</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上市公司从事集成电路相关业务》的披露要求产品的产 销情况</w:t>
      </w:r>
    </w:p>
    <w:p>
      <w:pPr>
        <w:pStyle w:val="BodyText"/>
        <w:spacing w:line="240" w:lineRule="auto" w:before="72"/>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56"/>
        <w:gridCol w:w="3190"/>
        <w:gridCol w:w="2944"/>
        <w:gridCol w:w="2568"/>
      </w:tblGrid>
      <w:tr>
        <w:trPr>
          <w:trHeight w:val="401" w:hRule="exact"/>
        </w:trPr>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57"/>
        <w:gridCol w:w="1063"/>
        <w:gridCol w:w="1064"/>
        <w:gridCol w:w="1063"/>
        <w:gridCol w:w="982"/>
        <w:gridCol w:w="980"/>
        <w:gridCol w:w="982"/>
        <w:gridCol w:w="860"/>
        <w:gridCol w:w="862"/>
        <w:gridCol w:w="859"/>
      </w:tblGrid>
      <w:tr>
        <w:trPr>
          <w:trHeight w:val="713" w:hRule="exact"/>
        </w:trPr>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销售金额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产能利用率</w:t>
            </w:r>
          </w:p>
        </w:tc>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销售金额</w:t>
            </w:r>
          </w:p>
        </w:tc>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产能利用率</w:t>
            </w:r>
          </w:p>
        </w:tc>
        <w:tc>
          <w:tcPr>
            <w:tcW w:w="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3"/>
              <w:jc w:val="right"/>
              <w:rPr>
                <w:rFonts w:ascii="宋体" w:hAnsi="宋体" w:cs="宋体" w:eastAsia="宋体" w:hint="default"/>
                <w:sz w:val="18"/>
                <w:szCs w:val="18"/>
              </w:rPr>
            </w:pPr>
            <w:r>
              <w:rPr>
                <w:rFonts w:ascii="宋体" w:hAnsi="宋体" w:cs="宋体" w:eastAsia="宋体" w:hint="default"/>
                <w:sz w:val="18"/>
                <w:szCs w:val="18"/>
              </w:rPr>
              <w:t>营业成本</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销售金额</w:t>
            </w:r>
          </w:p>
        </w:tc>
        <w:tc>
          <w:tcPr>
            <w:tcW w:w="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6" w:right="62" w:hanging="272"/>
              <w:jc w:val="left"/>
              <w:rPr>
                <w:rFonts w:ascii="宋体" w:hAnsi="宋体" w:cs="宋体" w:eastAsia="宋体" w:hint="default"/>
                <w:sz w:val="18"/>
                <w:szCs w:val="18"/>
              </w:rPr>
            </w:pPr>
            <w:r>
              <w:rPr>
                <w:rFonts w:ascii="宋体" w:hAnsi="宋体" w:cs="宋体" w:eastAsia="宋体" w:hint="default"/>
                <w:sz w:val="18"/>
                <w:szCs w:val="18"/>
              </w:rPr>
              <w:t>产能利用 率</w:t>
            </w:r>
          </w:p>
        </w:tc>
      </w:tr>
      <w:tr>
        <w:trPr>
          <w:trHeight w:val="715"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54" w:right="151"/>
              <w:jc w:val="left"/>
              <w:rPr>
                <w:rFonts w:ascii="宋体" w:hAnsi="宋体" w:cs="宋体" w:eastAsia="宋体" w:hint="default"/>
                <w:sz w:val="18"/>
                <w:szCs w:val="18"/>
              </w:rPr>
            </w:pPr>
            <w:r>
              <w:rPr>
                <w:rFonts w:ascii="宋体" w:hAnsi="宋体" w:cs="宋体" w:eastAsia="宋体" w:hint="default"/>
                <w:sz w:val="18"/>
                <w:szCs w:val="18"/>
              </w:rPr>
              <w:t>微处理 器芯片</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67,153,862</w:t>
            </w:r>
          </w:p>
          <w:p>
            <w:pPr>
              <w:pStyle w:val="TableParagraph"/>
              <w:spacing w:line="240" w:lineRule="auto" w:before="102"/>
              <w:ind w:right="97"/>
              <w:jc w:val="right"/>
              <w:rPr>
                <w:rFonts w:ascii="Times New Roman" w:hAnsi="Times New Roman" w:cs="Times New Roman" w:eastAsia="Times New Roman" w:hint="default"/>
                <w:sz w:val="18"/>
                <w:szCs w:val="18"/>
              </w:rPr>
            </w:pPr>
            <w:r>
              <w:rPr>
                <w:rFonts w:ascii="Times New Roman"/>
                <w:sz w:val="18"/>
              </w:rPr>
              <w:t>.09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9" w:right="0"/>
              <w:jc w:val="left"/>
              <w:rPr>
                <w:rFonts w:ascii="Times New Roman" w:hAnsi="Times New Roman" w:cs="Times New Roman" w:eastAsia="Times New Roman" w:hint="default"/>
                <w:sz w:val="18"/>
                <w:szCs w:val="18"/>
              </w:rPr>
            </w:pPr>
            <w:r>
              <w:rPr>
                <w:rFonts w:ascii="Times New Roman"/>
                <w:sz w:val="18"/>
              </w:rPr>
              <w:t>146,807,03</w:t>
            </w:r>
          </w:p>
          <w:p>
            <w:pPr>
              <w:pStyle w:val="TableParagraph"/>
              <w:spacing w:line="240" w:lineRule="auto" w:before="102"/>
              <w:ind w:left="635" w:right="0"/>
              <w:jc w:val="left"/>
              <w:rPr>
                <w:rFonts w:ascii="Times New Roman" w:hAnsi="Times New Roman" w:cs="Times New Roman" w:eastAsia="Times New Roman" w:hint="default"/>
                <w:sz w:val="18"/>
                <w:szCs w:val="18"/>
              </w:rPr>
            </w:pPr>
            <w:r>
              <w:rPr>
                <w:rFonts w:ascii="Times New Roman"/>
                <w:sz w:val="18"/>
              </w:rPr>
              <w:t>6.68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8" w:right="0"/>
              <w:jc w:val="left"/>
              <w:rPr>
                <w:rFonts w:ascii="Times New Roman" w:hAnsi="Times New Roman" w:cs="Times New Roman" w:eastAsia="Times New Roman" w:hint="default"/>
                <w:sz w:val="18"/>
                <w:szCs w:val="18"/>
              </w:rPr>
            </w:pPr>
            <w:r>
              <w:rPr>
                <w:rFonts w:ascii="Times New Roman"/>
                <w:sz w:val="18"/>
              </w:rPr>
              <w:t>75,713,34</w:t>
            </w:r>
          </w:p>
          <w:p>
            <w:pPr>
              <w:pStyle w:val="TableParagraph"/>
              <w:spacing w:line="240" w:lineRule="auto" w:before="102"/>
              <w:ind w:left="554" w:right="0"/>
              <w:jc w:val="left"/>
              <w:rPr>
                <w:rFonts w:ascii="Times New Roman" w:hAnsi="Times New Roman" w:cs="Times New Roman" w:eastAsia="Times New Roman" w:hint="default"/>
                <w:sz w:val="18"/>
                <w:szCs w:val="18"/>
              </w:rPr>
            </w:pPr>
            <w:r>
              <w:rPr>
                <w:rFonts w:ascii="Times New Roman"/>
                <w:sz w:val="18"/>
              </w:rPr>
              <w:t>0.36</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9" w:right="0"/>
              <w:jc w:val="left"/>
              <w:rPr>
                <w:rFonts w:ascii="Times New Roman" w:hAnsi="Times New Roman" w:cs="Times New Roman" w:eastAsia="Times New Roman" w:hint="default"/>
                <w:sz w:val="18"/>
                <w:szCs w:val="18"/>
              </w:rPr>
            </w:pPr>
            <w:r>
              <w:rPr>
                <w:rFonts w:ascii="Times New Roman"/>
                <w:sz w:val="18"/>
              </w:rPr>
              <w:t>144,824,5</w:t>
            </w:r>
          </w:p>
          <w:p>
            <w:pPr>
              <w:pStyle w:val="TableParagraph"/>
              <w:spacing w:line="240" w:lineRule="auto" w:before="102"/>
              <w:ind w:left="463" w:right="0"/>
              <w:jc w:val="left"/>
              <w:rPr>
                <w:rFonts w:ascii="Times New Roman" w:hAnsi="Times New Roman" w:cs="Times New Roman" w:eastAsia="Times New Roman" w:hint="default"/>
                <w:sz w:val="18"/>
                <w:szCs w:val="18"/>
              </w:rPr>
            </w:pPr>
            <w:r>
              <w:rPr>
                <w:rFonts w:ascii="Times New Roman"/>
                <w:sz w:val="18"/>
              </w:rPr>
              <w:t>60.13</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-11.31%</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0" w:right="0"/>
              <w:jc w:val="center"/>
              <w:rPr>
                <w:rFonts w:ascii="Times New Roman" w:hAnsi="Times New Roman" w:cs="Times New Roman" w:eastAsia="Times New Roman" w:hint="default"/>
                <w:sz w:val="18"/>
                <w:szCs w:val="18"/>
              </w:rPr>
            </w:pPr>
            <w:r>
              <w:rPr>
                <w:rFonts w:ascii="Times New Roman"/>
                <w:sz w:val="18"/>
              </w:rPr>
              <w:t>1.37%</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54" w:right="151"/>
              <w:jc w:val="left"/>
              <w:rPr>
                <w:rFonts w:ascii="宋体" w:hAnsi="宋体" w:cs="宋体" w:eastAsia="宋体" w:hint="default"/>
                <w:sz w:val="18"/>
                <w:szCs w:val="18"/>
              </w:rPr>
            </w:pPr>
            <w:r>
              <w:rPr>
                <w:rFonts w:ascii="宋体" w:hAnsi="宋体" w:cs="宋体" w:eastAsia="宋体" w:hint="default"/>
                <w:sz w:val="18"/>
                <w:szCs w:val="18"/>
              </w:rPr>
              <w:t>智能视 频芯片</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136,378,81</w:t>
            </w:r>
          </w:p>
          <w:p>
            <w:pPr>
              <w:pStyle w:val="TableParagraph"/>
              <w:spacing w:line="240" w:lineRule="auto" w:before="105"/>
              <w:ind w:left="638" w:right="0"/>
              <w:jc w:val="left"/>
              <w:rPr>
                <w:rFonts w:ascii="Times New Roman" w:hAnsi="Times New Roman" w:cs="Times New Roman" w:eastAsia="Times New Roman" w:hint="default"/>
                <w:sz w:val="18"/>
                <w:szCs w:val="18"/>
              </w:rPr>
            </w:pPr>
            <w:r>
              <w:rPr>
                <w:rFonts w:ascii="Times New Roman"/>
                <w:sz w:val="18"/>
              </w:rPr>
              <w:t>7.54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178,542,50</w:t>
            </w:r>
          </w:p>
          <w:p>
            <w:pPr>
              <w:pStyle w:val="TableParagraph"/>
              <w:spacing w:line="240" w:lineRule="auto" w:before="105"/>
              <w:ind w:left="635" w:right="0"/>
              <w:jc w:val="left"/>
              <w:rPr>
                <w:rFonts w:ascii="Times New Roman" w:hAnsi="Times New Roman" w:cs="Times New Roman" w:eastAsia="Times New Roman" w:hint="default"/>
                <w:sz w:val="18"/>
                <w:szCs w:val="18"/>
              </w:rPr>
            </w:pPr>
            <w:r>
              <w:rPr>
                <w:rFonts w:ascii="Times New Roman"/>
                <w:sz w:val="18"/>
              </w:rPr>
              <w:t>5.87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78,404,06</w:t>
            </w:r>
          </w:p>
          <w:p>
            <w:pPr>
              <w:pStyle w:val="TableParagraph"/>
              <w:spacing w:line="240" w:lineRule="auto" w:before="105"/>
              <w:ind w:left="554" w:right="0"/>
              <w:jc w:val="left"/>
              <w:rPr>
                <w:rFonts w:ascii="Times New Roman" w:hAnsi="Times New Roman" w:cs="Times New Roman" w:eastAsia="Times New Roman" w:hint="default"/>
                <w:sz w:val="18"/>
                <w:szCs w:val="18"/>
              </w:rPr>
            </w:pPr>
            <w:r>
              <w:rPr>
                <w:rFonts w:ascii="Times New Roman"/>
                <w:sz w:val="18"/>
              </w:rPr>
              <w:t>8.79</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9" w:right="0"/>
              <w:jc w:val="left"/>
              <w:rPr>
                <w:rFonts w:ascii="Times New Roman" w:hAnsi="Times New Roman" w:cs="Times New Roman" w:eastAsia="Times New Roman" w:hint="default"/>
                <w:sz w:val="18"/>
                <w:szCs w:val="18"/>
              </w:rPr>
            </w:pPr>
            <w:r>
              <w:rPr>
                <w:rFonts w:ascii="Times New Roman"/>
                <w:sz w:val="18"/>
              </w:rPr>
              <w:t>99,485,45</w:t>
            </w:r>
          </w:p>
          <w:p>
            <w:pPr>
              <w:pStyle w:val="TableParagraph"/>
              <w:spacing w:line="240" w:lineRule="auto" w:before="105"/>
              <w:ind w:left="554" w:right="0"/>
              <w:jc w:val="left"/>
              <w:rPr>
                <w:rFonts w:ascii="Times New Roman" w:hAnsi="Times New Roman" w:cs="Times New Roman" w:eastAsia="Times New Roman" w:hint="default"/>
                <w:sz w:val="18"/>
                <w:szCs w:val="18"/>
              </w:rPr>
            </w:pPr>
            <w:r>
              <w:rPr>
                <w:rFonts w:ascii="Times New Roman"/>
                <w:sz w:val="18"/>
              </w:rPr>
              <w:t>1.40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73.94%</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79.47%</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1133"/>
        <w:jc w:val="left"/>
      </w:pPr>
      <w:r>
        <w:rPr/>
        <w:t>主营业务成本构成</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1"/>
        <w:gridCol w:w="1234"/>
        <w:gridCol w:w="1418"/>
        <w:gridCol w:w="1419"/>
        <w:gridCol w:w="1416"/>
        <w:gridCol w:w="1277"/>
        <w:gridCol w:w="1198"/>
      </w:tblGrid>
      <w:tr>
        <w:trPr>
          <w:trHeight w:val="401" w:hRule="exact"/>
        </w:trPr>
        <w:tc>
          <w:tcPr>
            <w:tcW w:w="16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7"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12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28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4" w:hRule="exact"/>
        </w:trPr>
        <w:tc>
          <w:tcPr>
            <w:tcW w:w="1601" w:type="dxa"/>
            <w:vMerge/>
            <w:tcBorders>
              <w:left w:val="single" w:sz="4" w:space="0" w:color="000000"/>
              <w:bottom w:val="single" w:sz="4" w:space="0" w:color="000000"/>
              <w:right w:val="single" w:sz="4" w:space="0" w:color="000000"/>
            </w:tcBorders>
            <w:shd w:val="clear" w:color="auto" w:fill="D2D2D2"/>
          </w:tcPr>
          <w:p>
            <w:pPr/>
          </w:p>
        </w:tc>
        <w:tc>
          <w:tcPr>
            <w:tcW w:w="1234"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占成本比重</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占成本比重</w:t>
            </w:r>
          </w:p>
        </w:tc>
        <w:tc>
          <w:tcPr>
            <w:tcW w:w="119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微处理器芯片</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晶圆</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49,326,695.67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73.45%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56,319,667.52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74.39%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-0.93%</w:t>
            </w:r>
          </w:p>
        </w:tc>
      </w:tr>
      <w:tr>
        <w:trPr>
          <w:trHeight w:val="403"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微处理器芯片</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封装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3" w:right="0"/>
              <w:jc w:val="left"/>
              <w:rPr>
                <w:rFonts w:ascii="Times New Roman" w:hAnsi="Times New Roman" w:cs="Times New Roman" w:eastAsia="Times New Roman" w:hint="default"/>
                <w:sz w:val="18"/>
                <w:szCs w:val="18"/>
              </w:rPr>
            </w:pPr>
            <w:r>
              <w:rPr>
                <w:rFonts w:ascii="Times New Roman"/>
                <w:sz w:val="18"/>
              </w:rPr>
              <w:t>16,458,683.08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24.51%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1" w:right="0"/>
              <w:jc w:val="left"/>
              <w:rPr>
                <w:rFonts w:ascii="Times New Roman" w:hAnsi="Times New Roman" w:cs="Times New Roman" w:eastAsia="Times New Roman" w:hint="default"/>
                <w:sz w:val="18"/>
                <w:szCs w:val="18"/>
              </w:rPr>
            </w:pPr>
            <w:r>
              <w:rPr>
                <w:rFonts w:ascii="Times New Roman"/>
                <w:sz w:val="18"/>
              </w:rPr>
              <w:t>17,918,414.76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23.67%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0.84%</w:t>
            </w:r>
          </w:p>
        </w:tc>
      </w:tr>
      <w:tr>
        <w:trPr>
          <w:trHeight w:val="401"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微处理器芯片</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测试</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2" w:right="0"/>
              <w:jc w:val="left"/>
              <w:rPr>
                <w:rFonts w:ascii="Times New Roman" w:hAnsi="Times New Roman" w:cs="Times New Roman" w:eastAsia="Times New Roman" w:hint="default"/>
                <w:sz w:val="18"/>
                <w:szCs w:val="18"/>
              </w:rPr>
            </w:pPr>
            <w:r>
              <w:rPr>
                <w:rFonts w:ascii="Times New Roman"/>
                <w:sz w:val="18"/>
              </w:rPr>
              <w:t>1,368,483.34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2.04%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0" w:right="0"/>
              <w:jc w:val="left"/>
              <w:rPr>
                <w:rFonts w:ascii="Times New Roman" w:hAnsi="Times New Roman" w:cs="Times New Roman" w:eastAsia="Times New Roman" w:hint="default"/>
                <w:sz w:val="18"/>
                <w:szCs w:val="18"/>
              </w:rPr>
            </w:pPr>
            <w:r>
              <w:rPr>
                <w:rFonts w:ascii="Times New Roman"/>
                <w:sz w:val="18"/>
              </w:rPr>
              <w:t>1,457,791.77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1.93%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0.11%</w:t>
            </w:r>
          </w:p>
        </w:tc>
      </w:tr>
      <w:tr>
        <w:trPr>
          <w:trHeight w:val="403"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微处理器芯片</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17,466.31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-0.02%</w:t>
            </w:r>
          </w:p>
        </w:tc>
      </w:tr>
      <w:tr>
        <w:trPr>
          <w:trHeight w:val="401"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智能视频芯片</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晶圆</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116,180,902.09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85.19%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1" w:right="0"/>
              <w:jc w:val="left"/>
              <w:rPr>
                <w:rFonts w:ascii="Times New Roman" w:hAnsi="Times New Roman" w:cs="Times New Roman" w:eastAsia="Times New Roman" w:hint="default"/>
                <w:sz w:val="18"/>
                <w:szCs w:val="18"/>
              </w:rPr>
            </w:pPr>
            <w:r>
              <w:rPr>
                <w:rFonts w:ascii="Times New Roman"/>
                <w:sz w:val="18"/>
              </w:rPr>
              <w:t>66,639,934.63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85.00%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0.19%</w:t>
            </w:r>
          </w:p>
        </w:tc>
      </w:tr>
      <w:tr>
        <w:trPr>
          <w:trHeight w:val="403"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智能视频芯片</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封装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3" w:right="0"/>
              <w:jc w:val="left"/>
              <w:rPr>
                <w:rFonts w:ascii="Times New Roman" w:hAnsi="Times New Roman" w:cs="Times New Roman" w:eastAsia="Times New Roman" w:hint="default"/>
                <w:sz w:val="18"/>
                <w:szCs w:val="18"/>
              </w:rPr>
            </w:pPr>
            <w:r>
              <w:rPr>
                <w:rFonts w:ascii="Times New Roman"/>
                <w:sz w:val="18"/>
              </w:rPr>
              <w:t>19,028,743.56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13.95%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6" w:right="0"/>
              <w:jc w:val="left"/>
              <w:rPr>
                <w:rFonts w:ascii="Times New Roman" w:hAnsi="Times New Roman" w:cs="Times New Roman" w:eastAsia="Times New Roman" w:hint="default"/>
                <w:sz w:val="18"/>
                <w:szCs w:val="18"/>
              </w:rPr>
            </w:pPr>
            <w:r>
              <w:rPr>
                <w:rFonts w:ascii="Times New Roman"/>
                <w:sz w:val="18"/>
              </w:rPr>
              <w:t>11,088,878.63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14.14%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-0.19%</w:t>
            </w:r>
          </w:p>
        </w:tc>
      </w:tr>
      <w:tr>
        <w:trPr>
          <w:trHeight w:val="401"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智能视频芯片</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测试</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2" w:right="0"/>
              <w:jc w:val="left"/>
              <w:rPr>
                <w:rFonts w:ascii="Times New Roman" w:hAnsi="Times New Roman" w:cs="Times New Roman" w:eastAsia="Times New Roman" w:hint="default"/>
                <w:sz w:val="18"/>
                <w:szCs w:val="18"/>
              </w:rPr>
            </w:pPr>
            <w:r>
              <w:rPr>
                <w:rFonts w:ascii="Times New Roman"/>
                <w:sz w:val="18"/>
              </w:rPr>
              <w:t>1,169,171.89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0.86%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675,255.53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0.86%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同比变化</w:t>
      </w:r>
      <w:r>
        <w:rPr>
          <w:spacing w:val="-44"/>
        </w:rPr>
        <w:t> </w:t>
      </w:r>
      <w:r>
        <w:rPr>
          <w:rFonts w:ascii="Times New Roman" w:hAnsi="Times New Roman" w:cs="Times New Roman" w:eastAsia="Times New Roman" w:hint="default"/>
        </w:rPr>
        <w:t>30%</w:t>
      </w:r>
      <w:r>
        <w:rPr/>
        <w:t>以上</w:t>
      </w:r>
    </w:p>
    <w:p>
      <w:pPr>
        <w:pStyle w:val="BodyText"/>
        <w:spacing w:line="240" w:lineRule="auto" w:before="103"/>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478"/>
        <w:gridCol w:w="5103"/>
      </w:tblGrid>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191,716,134.28</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56.49%</w:t>
            </w:r>
          </w:p>
        </w:tc>
      </w:tr>
      <w:tr>
        <w:trPr>
          <w:trHeight w:val="403"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101,178,113.26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29.82%</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50,055,459.11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14.75%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38"/>
              <w:jc w:val="righ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20,935,546.74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6.17%</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38"/>
              <w:jc w:val="righ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9,900,102.01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2.92%</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38"/>
              <w:jc w:val="righ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9,646,913.16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2.84%</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5"/>
              <w:jc w:val="righ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191,716,134.28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56.49%</w:t>
            </w:r>
          </w:p>
        </w:tc>
      </w:tr>
    </w:tbl>
    <w:p>
      <w:pPr>
        <w:pStyle w:val="BodyText"/>
        <w:spacing w:line="240" w:lineRule="auto" w:before="49"/>
        <w:ind w:right="1133"/>
        <w:jc w:val="left"/>
      </w:pPr>
      <w:r>
        <w:rPr/>
        <w:t>主要客户其他情况说明</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591"/>
        <w:gridCol w:w="4991"/>
      </w:tblGrid>
      <w:tr>
        <w:trPr>
          <w:trHeight w:val="401" w:hRule="exact"/>
        </w:trPr>
        <w:tc>
          <w:tcPr>
            <w:tcW w:w="4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216,959,222.89</w:t>
            </w:r>
          </w:p>
        </w:tc>
      </w:tr>
      <w:tr>
        <w:trPr>
          <w:trHeight w:val="404" w:hRule="exact"/>
        </w:trPr>
        <w:tc>
          <w:tcPr>
            <w:tcW w:w="4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83.08%</w:t>
            </w:r>
          </w:p>
        </w:tc>
      </w:tr>
      <w:tr>
        <w:trPr>
          <w:trHeight w:val="401" w:hRule="exact"/>
        </w:trPr>
        <w:tc>
          <w:tcPr>
            <w:tcW w:w="4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72,594,564.69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27.80%</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55,181,776.30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21.13%</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35,324,457.17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13.53%</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34,403,228.77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13.17%</w:t>
            </w:r>
          </w:p>
        </w:tc>
      </w:tr>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19,455,195.96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7.45%</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216,959,222.89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83.08%</w:t>
            </w:r>
          </w:p>
        </w:tc>
      </w:tr>
    </w:tbl>
    <w:p>
      <w:pPr>
        <w:pStyle w:val="BodyText"/>
        <w:spacing w:line="240" w:lineRule="auto" w:before="49"/>
        <w:ind w:right="1133"/>
        <w:jc w:val="left"/>
      </w:pPr>
      <w:r>
        <w:rPr/>
        <w:t>主要供应商其他情况说明</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62"/>
        <w:gridCol w:w="1637"/>
        <w:gridCol w:w="1637"/>
        <w:gridCol w:w="1462"/>
        <w:gridCol w:w="3517"/>
      </w:tblGrid>
      <w:tr>
        <w:trPr>
          <w:trHeight w:val="403" w:hRule="exact"/>
        </w:trPr>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10,079,230.32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10,677,738.77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-5.61%</w:t>
            </w:r>
          </w:p>
        </w:tc>
        <w:tc>
          <w:tcPr>
            <w:tcW w:w="35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67,773,457.12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30,728,720.84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120.55%</w:t>
            </w:r>
          </w:p>
        </w:tc>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主要系并购事项中介机构服务费增加所致</w:t>
            </w:r>
          </w:p>
        </w:tc>
      </w:tr>
      <w:tr>
        <w:trPr>
          <w:trHeight w:val="401" w:hRule="exact"/>
        </w:trPr>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-1,656,023.79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-845,271.06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-95.92%</w:t>
            </w:r>
          </w:p>
        </w:tc>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主要系利息收入增加所致</w:t>
            </w:r>
          </w:p>
        </w:tc>
      </w:tr>
      <w:tr>
        <w:trPr>
          <w:trHeight w:val="403" w:hRule="exact"/>
        </w:trPr>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62,015,627.30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73,964,380.09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-16.15%</w:t>
            </w:r>
          </w:p>
        </w:tc>
        <w:tc>
          <w:tcPr>
            <w:tcW w:w="35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39,678,235.78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15,705,478.46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152.64%</w:t>
            </w:r>
          </w:p>
        </w:tc>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主要系政府补助增加所致</w:t>
            </w:r>
          </w:p>
        </w:tc>
      </w:tr>
      <w:tr>
        <w:trPr>
          <w:trHeight w:val="403" w:hRule="exact"/>
        </w:trPr>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278,111.78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93,969.99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195.96%</w:t>
            </w:r>
          </w:p>
        </w:tc>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主要系生产经营无关的收入增加所致</w:t>
            </w:r>
          </w:p>
        </w:tc>
      </w:tr>
      <w:tr>
        <w:trPr>
          <w:trHeight w:val="401" w:hRule="exact"/>
        </w:trPr>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营业外支出</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3,747,102.37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1,893,018.33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97.94%</w:t>
            </w:r>
          </w:p>
        </w:tc>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主要系存货报废增加所致</w:t>
            </w:r>
          </w:p>
        </w:tc>
      </w:tr>
      <w:tr>
        <w:trPr>
          <w:trHeight w:val="403" w:hRule="exact"/>
        </w:trPr>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所得税费用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656,844.38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302,168.78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117.38%</w:t>
            </w:r>
          </w:p>
        </w:tc>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主要系利润增长致当期所得税费用增加所致</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left="272" w:right="1034" w:firstLine="360"/>
        <w:jc w:val="left"/>
      </w:pPr>
      <w:r>
        <w:rPr>
          <w:spacing w:val="-2"/>
        </w:rPr>
        <w:t>公司研发项目均围绕公司主业，旨在不断提高公司核心竞争力，强化公司在核心领域的技术积累，增强公司的研发实力</w:t>
      </w:r>
      <w:r>
        <w:rPr/>
        <w:t> 和技术创新能力，并通过持续的新产品的研发，使公司的产品始终保持突出的市场竞争力，同时，通过不断完善产品方案， 推动公司在各细分市场的产品落地，加快客户产品的市场化进度。</w:t>
      </w:r>
    </w:p>
    <w:p>
      <w:pPr>
        <w:pStyle w:val="BodyText"/>
        <w:spacing w:line="309" w:lineRule="auto" w:before="19"/>
        <w:ind w:left="272" w:right="1024" w:firstLine="360"/>
        <w:jc w:val="left"/>
      </w:pPr>
      <w:r>
        <w:rPr>
          <w:spacing w:val="-2"/>
        </w:rPr>
        <w:t>报告期内，公司完成了</w:t>
      </w:r>
      <w:r>
        <w:rPr>
          <w:rFonts w:ascii="Times New Roman" w:hAnsi="Times New Roman" w:cs="Times New Roman" w:eastAsia="Times New Roman" w:hint="default"/>
          <w:spacing w:val="-2"/>
        </w:rPr>
        <w:t>XBurst2</w:t>
      </w:r>
      <w:r>
        <w:rPr>
          <w:rFonts w:ascii="Times New Roman" w:hAnsi="Times New Roman" w:cs="Times New Roman" w:eastAsia="Times New Roman" w:hint="default"/>
        </w:rPr>
        <w:t> </w:t>
      </w:r>
      <w:r>
        <w:rPr>
          <w:rFonts w:ascii="Times New Roman" w:hAnsi="Times New Roman" w:cs="Times New Roman" w:eastAsia="Times New Roman" w:hint="default"/>
          <w:spacing w:val="-2"/>
        </w:rPr>
        <w:t>CPU</w:t>
      </w:r>
      <w:r>
        <w:rPr>
          <w:spacing w:val="-2"/>
        </w:rPr>
        <w:t>的研发工作，</w:t>
      </w:r>
      <w:r>
        <w:rPr>
          <w:rFonts w:ascii="Times New Roman" w:hAnsi="Times New Roman" w:cs="Times New Roman" w:eastAsia="Times New Roman" w:hint="default"/>
          <w:spacing w:val="-2"/>
        </w:rPr>
        <w:t>XBurst2</w:t>
      </w:r>
      <w:r>
        <w:rPr>
          <w:rFonts w:ascii="Times New Roman" w:hAnsi="Times New Roman" w:cs="Times New Roman" w:eastAsia="Times New Roman" w:hint="default"/>
        </w:rPr>
        <w:t> </w:t>
      </w:r>
      <w:r>
        <w:rPr>
          <w:rFonts w:ascii="Times New Roman" w:hAnsi="Times New Roman" w:cs="Times New Roman" w:eastAsia="Times New Roman" w:hint="default"/>
          <w:spacing w:val="-2"/>
        </w:rPr>
        <w:t>CPU</w:t>
      </w:r>
      <w:r>
        <w:rPr>
          <w:spacing w:val="-2"/>
        </w:rPr>
        <w:t>达到量产化标准；公司持续进行</w:t>
      </w:r>
      <w:r>
        <w:rPr>
          <w:rFonts w:ascii="Times New Roman" w:hAnsi="Times New Roman" w:cs="Times New Roman" w:eastAsia="Times New Roman" w:hint="default"/>
          <w:spacing w:val="-2"/>
        </w:rPr>
        <w:t>RISC-V</w:t>
      </w:r>
      <w:r>
        <w:rPr>
          <w:rFonts w:ascii="Times New Roman" w:hAnsi="Times New Roman" w:cs="Times New Roman" w:eastAsia="Times New Roman" w:hint="default"/>
        </w:rPr>
        <w:t> </w:t>
      </w:r>
      <w:r>
        <w:rPr>
          <w:rFonts w:ascii="Times New Roman" w:hAnsi="Times New Roman" w:cs="Times New Roman" w:eastAsia="Times New Roman" w:hint="default"/>
          <w:spacing w:val="-1"/>
        </w:rPr>
        <w:t>CPU</w:t>
      </w:r>
      <w:r>
        <w:rPr>
          <w:spacing w:val="-1"/>
        </w:rPr>
        <w:t>的研发工作，</w:t>
      </w:r>
      <w:r>
        <w:rPr/>
        <w:t> 该研发为对关键性核心技术的储备；同时，在视频编解码、影像信号处理、神经网络处理器和</w:t>
      </w:r>
      <w:r>
        <w:rPr>
          <w:rFonts w:ascii="Times New Roman" w:hAnsi="Times New Roman" w:cs="Times New Roman" w:eastAsia="Times New Roman" w:hint="default"/>
        </w:rPr>
        <w:t>AI</w:t>
      </w:r>
      <w:r>
        <w:rPr/>
        <w:t>算法等技术方面持续投入， 不断提高技术领先性，增强核心技术的积累。芯片研发方面，公司完成了基于</w:t>
      </w:r>
      <w:r>
        <w:rPr>
          <w:rFonts w:ascii="Times New Roman" w:hAnsi="Times New Roman" w:cs="Times New Roman" w:eastAsia="Times New Roman" w:hint="default"/>
        </w:rPr>
        <w:t>XBurst2</w:t>
      </w:r>
      <w:r>
        <w:rPr>
          <w:rFonts w:ascii="Times New Roman" w:hAnsi="Times New Roman" w:cs="Times New Roman" w:eastAsia="Times New Roman" w:hint="default"/>
          <w:spacing w:val="-8"/>
        </w:rPr>
        <w:t> </w:t>
      </w:r>
      <w:r>
        <w:rPr>
          <w:rFonts w:ascii="Times New Roman" w:hAnsi="Times New Roman" w:cs="Times New Roman" w:eastAsia="Times New Roman" w:hint="default"/>
        </w:rPr>
        <w:t>CPU</w:t>
      </w:r>
      <w:r>
        <w:rPr/>
        <w:t>的芯片产品的研发并于报告期内 </w:t>
      </w:r>
      <w:r>
        <w:rPr>
          <w:spacing w:val="-2"/>
        </w:rPr>
        <w:t>投片；完成了面向智能视频领域的新产品研发，于报告期内投片并实现量产销售。方案研发方面，在物联网领域，公司进一</w:t>
      </w:r>
      <w:r>
        <w:rPr>
          <w:spacing w:val="-66"/>
        </w:rPr>
        <w:t> </w:t>
      </w:r>
      <w:r>
        <w:rPr>
          <w:spacing w:val="-66"/>
        </w:rPr>
      </w:r>
      <w:r>
        <w:rPr>
          <w:spacing w:val="-2"/>
        </w:rPr>
        <w:t>步完善了基础软件系统和产品硬件方案研发，对语音、显示等核心算法进行了优化，提高了核心方案的智能处理能力；在智</w:t>
      </w:r>
      <w:r>
        <w:rPr>
          <w:spacing w:val="-64"/>
        </w:rPr>
        <w:t> </w:t>
      </w:r>
      <w:r>
        <w:rPr>
          <w:spacing w:val="-64"/>
        </w:rPr>
      </w:r>
      <w:r>
        <w:rPr>
          <w:spacing w:val="-2"/>
        </w:rPr>
        <w:t>能视频领域，基于最新的芯片产品，公司完成了相应的方案研发并快速推向市场，公司电池类摄像头整体方案于报告期内取</w:t>
      </w:r>
      <w:r>
        <w:rPr>
          <w:spacing w:val="-63"/>
        </w:rPr>
        <w:t> </w:t>
      </w:r>
      <w:r>
        <w:rPr>
          <w:spacing w:val="-63"/>
        </w:rPr>
      </w:r>
      <w:r>
        <w:rPr>
          <w:spacing w:val="-2"/>
        </w:rPr>
        <w:t>得关键指标突破，方案更加成熟稳定。公司各项研发工作均符合公司预定目标，并将有助于公司未来的技术储备，增强公司</w:t>
      </w:r>
      <w:r>
        <w:rPr>
          <w:spacing w:val="-64"/>
        </w:rPr>
        <w:t> </w:t>
      </w:r>
      <w:r>
        <w:rPr>
          <w:spacing w:val="-64"/>
        </w:rPr>
      </w:r>
      <w:r>
        <w:rPr/>
        <w:t>技术与产品方面的核心竞争力，有助于公司的市场推广与产品销售。</w:t>
      </w:r>
    </w:p>
    <w:p>
      <w:pPr>
        <w:pStyle w:val="BodyText"/>
        <w:spacing w:line="240" w:lineRule="auto" w:before="65"/>
        <w:ind w:left="272" w:right="1034"/>
        <w:jc w:val="left"/>
      </w:pPr>
      <w:r>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280" w:type="dxa"/>
        <w:tblLayout w:type="fixed"/>
        <w:tblCellMar>
          <w:top w:w="0" w:type="dxa"/>
          <w:left w:w="0" w:type="dxa"/>
          <w:bottom w:w="0" w:type="dxa"/>
          <w:right w:w="0" w:type="dxa"/>
        </w:tblCellMar>
        <w:tblLook w:val="01E0"/>
      </w:tblPr>
      <w:tblGrid>
        <w:gridCol w:w="2925"/>
        <w:gridCol w:w="2279"/>
        <w:gridCol w:w="2268"/>
        <w:gridCol w:w="2269"/>
      </w:tblGrid>
      <w:tr>
        <w:trPr>
          <w:trHeight w:val="403" w:hRule="exact"/>
        </w:trPr>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182</w:t>
            </w:r>
          </w:p>
        </w:tc>
      </w:tr>
      <w:tr>
        <w:trPr>
          <w:trHeight w:val="403" w:hRule="exact"/>
        </w:trPr>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76.43%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77.45%</w:t>
            </w:r>
          </w:p>
        </w:tc>
      </w:tr>
      <w:tr>
        <w:trPr>
          <w:trHeight w:val="401" w:hRule="exact"/>
        </w:trPr>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62,015,627.30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73,964,380.09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56,740,130.85</w:t>
            </w:r>
          </w:p>
        </w:tc>
      </w:tr>
      <w:tr>
        <w:trPr>
          <w:trHeight w:val="403" w:hRule="exact"/>
        </w:trPr>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18.27%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28.48%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30.76%</w:t>
            </w:r>
          </w:p>
        </w:tc>
      </w:tr>
      <w:tr>
        <w:trPr>
          <w:trHeight w:val="401" w:hRule="exact"/>
        </w:trPr>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left="272" w:right="1034"/>
        <w:jc w:val="left"/>
      </w:pPr>
      <w:r>
        <w:rPr/>
        <w:t>研发投入总额占营业收入的比重较上年发生显著变化的原因</w:t>
      </w:r>
    </w:p>
    <w:p>
      <w:pPr>
        <w:pStyle w:val="BodyText"/>
        <w:spacing w:line="338" w:lineRule="auto" w:before="117"/>
        <w:ind w:left="272"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3"/>
        <w:ind w:left="272"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272" w:right="1034"/>
        <w:jc w:val="left"/>
        <w:rPr>
          <w:rFonts w:ascii="Times New Roman" w:hAnsi="Times New Roman" w:cs="Times New Roman" w:eastAsia="Times New Roman" w:hint="default"/>
        </w:rPr>
      </w:pPr>
      <w:r>
        <w:rPr/>
        <w:t>公司需遵守《深圳证券交易所创业板行业信息披露指引第</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上市公司从事集成电路相关业务》的披露要求</w:t>
      </w:r>
      <w:r>
        <w:rPr>
          <w:rFonts w:ascii="Times New Roman" w:hAnsi="Times New Roman" w:cs="Times New Roman" w:eastAsia="Times New Roman" w:hint="default"/>
        </w:rPr>
        <w:t>:</w:t>
      </w:r>
    </w:p>
    <w:p>
      <w:pPr>
        <w:pStyle w:val="BodyText"/>
        <w:spacing w:line="360" w:lineRule="auto" w:before="101"/>
        <w:ind w:left="633" w:right="1034"/>
        <w:jc w:val="left"/>
      </w:pPr>
      <w:r>
        <w:rPr/>
        <w:t>（一）知识产权基本情况 </w:t>
      </w:r>
      <w:r>
        <w:rPr>
          <w:spacing w:val="-2"/>
        </w:rPr>
        <w:t>截至报告期末，公司及全资子公司累计共获得授权的专利证书</w:t>
      </w:r>
      <w:r>
        <w:rPr>
          <w:rFonts w:ascii="Times New Roman" w:hAnsi="Times New Roman" w:cs="Times New Roman" w:eastAsia="Times New Roman" w:hint="default"/>
          <w:spacing w:val="-2"/>
        </w:rPr>
        <w:t>65</w:t>
      </w:r>
      <w:r>
        <w:rPr>
          <w:spacing w:val="-2"/>
        </w:rPr>
        <w:t>件，其中发明专利</w:t>
      </w:r>
      <w:r>
        <w:rPr>
          <w:rFonts w:ascii="Times New Roman" w:hAnsi="Times New Roman" w:cs="Times New Roman" w:eastAsia="Times New Roman" w:hint="default"/>
          <w:spacing w:val="-2"/>
        </w:rPr>
        <w:t>28</w:t>
      </w:r>
      <w:r>
        <w:rPr>
          <w:spacing w:val="-2"/>
        </w:rPr>
        <w:t>件，实用新型专利</w:t>
      </w:r>
      <w:r>
        <w:rPr>
          <w:rFonts w:ascii="Times New Roman" w:hAnsi="Times New Roman" w:cs="Times New Roman" w:eastAsia="Times New Roman" w:hint="default"/>
          <w:spacing w:val="-2"/>
        </w:rPr>
        <w:t>37</w:t>
      </w:r>
      <w:r>
        <w:rPr>
          <w:spacing w:val="-2"/>
        </w:rPr>
        <w:t>件；累计共获</w:t>
      </w:r>
    </w:p>
    <w:p>
      <w:pPr>
        <w:pStyle w:val="BodyText"/>
        <w:spacing w:line="212" w:lineRule="exact"/>
        <w:ind w:left="272" w:right="1034"/>
        <w:jc w:val="left"/>
      </w:pPr>
      <w:r>
        <w:rPr/>
        <w:t>得计算机软件著作权登记证书共</w:t>
      </w:r>
      <w:r>
        <w:rPr>
          <w:rFonts w:ascii="Times New Roman" w:hAnsi="Times New Roman" w:cs="Times New Roman" w:eastAsia="Times New Roman" w:hint="default"/>
        </w:rPr>
        <w:t>109</w:t>
      </w:r>
      <w:r>
        <w:rPr/>
        <w:t>件，集成电路布图设计权</w:t>
      </w:r>
      <w:r>
        <w:rPr>
          <w:rFonts w:ascii="Times New Roman" w:hAnsi="Times New Roman" w:cs="Times New Roman" w:eastAsia="Times New Roman" w:hint="default"/>
        </w:rPr>
        <w:t>26</w:t>
      </w:r>
      <w:r>
        <w:rPr/>
        <w:t>件。截至报告期末，公司及全资子公司获得的专利证书、计</w:t>
      </w:r>
    </w:p>
    <w:p>
      <w:pPr>
        <w:pStyle w:val="BodyText"/>
        <w:spacing w:line="240" w:lineRule="auto" w:before="63"/>
        <w:ind w:left="272" w:right="1034"/>
        <w:jc w:val="left"/>
      </w:pPr>
      <w:r>
        <w:rPr/>
        <w:t>算机软件著作权及集成电路布图如下：</w:t>
      </w:r>
    </w:p>
    <w:p>
      <w:pPr>
        <w:pStyle w:val="BodyText"/>
        <w:spacing w:line="240" w:lineRule="auto" w:before="117"/>
        <w:ind w:left="272" w:right="1034"/>
        <w:jc w:val="left"/>
      </w:pPr>
      <w:r>
        <w:rPr>
          <w:rFonts w:ascii="Times New Roman" w:hAnsi="Times New Roman" w:cs="Times New Roman" w:eastAsia="Times New Roman" w:hint="default"/>
        </w:rPr>
        <w:t>(1)</w:t>
      </w:r>
      <w:r>
        <w:rPr/>
        <w:t>专利</w:t>
      </w:r>
    </w:p>
    <w:p>
      <w:pPr>
        <w:spacing w:line="240" w:lineRule="auto" w:before="1"/>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627"/>
        <w:gridCol w:w="2720"/>
        <w:gridCol w:w="1692"/>
        <w:gridCol w:w="965"/>
        <w:gridCol w:w="1668"/>
        <w:gridCol w:w="1306"/>
        <w:gridCol w:w="962"/>
      </w:tblGrid>
      <w:tr>
        <w:trPr>
          <w:trHeight w:val="348"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1"/>
              <w:jc w:val="right"/>
              <w:rPr>
                <w:rFonts w:ascii="宋体" w:hAnsi="宋体" w:cs="宋体" w:eastAsia="宋体" w:hint="default"/>
                <w:sz w:val="18"/>
                <w:szCs w:val="18"/>
              </w:rPr>
            </w:pPr>
            <w:r>
              <w:rPr>
                <w:rFonts w:ascii="宋体" w:hAnsi="宋体" w:cs="宋体" w:eastAsia="宋体" w:hint="default"/>
                <w:b/>
                <w:bCs/>
                <w:w w:val="95"/>
                <w:sz w:val="18"/>
                <w:szCs w:val="18"/>
              </w:rPr>
              <w:t>专利类型</w:t>
            </w:r>
            <w:r>
              <w:rPr>
                <w:rFonts w:ascii="宋体" w:hAnsi="宋体" w:cs="宋体" w:eastAsia="宋体" w:hint="default"/>
                <w:sz w:val="18"/>
                <w:szCs w:val="18"/>
              </w:rPr>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授权公告日</w:t>
            </w:r>
            <w:r>
              <w:rPr>
                <w:rFonts w:ascii="宋体" w:hAnsi="宋体" w:cs="宋体" w:eastAsia="宋体" w:hint="default"/>
                <w:sz w:val="18"/>
                <w:szCs w:val="18"/>
              </w:rPr>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专利权人</w:t>
            </w:r>
            <w:r>
              <w:rPr>
                <w:rFonts w:ascii="宋体" w:hAnsi="宋体" w:cs="宋体" w:eastAsia="宋体" w:hint="default"/>
                <w:sz w:val="18"/>
                <w:szCs w:val="18"/>
              </w:rPr>
            </w:r>
          </w:p>
        </w:tc>
      </w:tr>
      <w:tr>
        <w:trPr>
          <w:trHeight w:val="660"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1"/>
              <w:jc w:val="left"/>
              <w:rPr>
                <w:rFonts w:ascii="Times New Roman" w:hAnsi="Times New Roman" w:cs="Times New Roman" w:eastAsia="Times New Roman" w:hint="default"/>
                <w:sz w:val="18"/>
                <w:szCs w:val="18"/>
              </w:rPr>
            </w:pPr>
            <w:r>
              <w:rPr>
                <w:rFonts w:ascii="宋体" w:hAnsi="宋体" w:cs="宋体" w:eastAsia="宋体" w:hint="default"/>
                <w:sz w:val="18"/>
                <w:szCs w:val="18"/>
              </w:rPr>
              <w:t>一种降低</w:t>
            </w:r>
            <w:r>
              <w:rPr>
                <w:rFonts w:ascii="Times New Roman" w:hAnsi="Times New Roman" w:cs="Times New Roman" w:eastAsia="Times New Roman" w:hint="default"/>
                <w:sz w:val="18"/>
                <w:szCs w:val="18"/>
              </w:rPr>
              <w:t>CPU</w:t>
            </w:r>
            <w:r>
              <w:rPr>
                <w:rFonts w:ascii="宋体" w:hAnsi="宋体" w:cs="宋体" w:eastAsia="宋体" w:hint="default"/>
                <w:sz w:val="18"/>
                <w:szCs w:val="18"/>
              </w:rPr>
              <w:t>功耗的方法及一种低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功耗</w:t>
            </w:r>
            <w:r>
              <w:rPr>
                <w:rFonts w:ascii="Times New Roman" w:hAnsi="Times New Roman" w:cs="Times New Roman" w:eastAsia="Times New Roman" w:hint="default"/>
                <w:sz w:val="18"/>
                <w:szCs w:val="18"/>
              </w:rPr>
              <w:t>CPU</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ZL201010256819.6</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1033472</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658"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1"/>
              <w:jc w:val="left"/>
              <w:rPr>
                <w:rFonts w:ascii="Times New Roman" w:hAnsi="Times New Roman" w:cs="Times New Roman" w:eastAsia="Times New Roman" w:hint="default"/>
                <w:sz w:val="18"/>
                <w:szCs w:val="18"/>
              </w:rPr>
            </w:pPr>
            <w:r>
              <w:rPr>
                <w:rFonts w:ascii="宋体" w:hAnsi="宋体" w:cs="宋体" w:eastAsia="宋体" w:hint="default"/>
                <w:sz w:val="18"/>
                <w:szCs w:val="18"/>
              </w:rPr>
              <w:t>一种降低</w:t>
            </w:r>
            <w:r>
              <w:rPr>
                <w:rFonts w:ascii="Times New Roman" w:hAnsi="Times New Roman" w:cs="Times New Roman" w:eastAsia="Times New Roman" w:hint="default"/>
                <w:sz w:val="18"/>
                <w:szCs w:val="18"/>
              </w:rPr>
              <w:t>CPU</w:t>
            </w:r>
            <w:r>
              <w:rPr>
                <w:rFonts w:ascii="宋体" w:hAnsi="宋体" w:cs="宋体" w:eastAsia="宋体" w:hint="default"/>
                <w:sz w:val="18"/>
                <w:szCs w:val="18"/>
              </w:rPr>
              <w:t>功耗的方法及一种低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功耗</w:t>
            </w:r>
            <w:r>
              <w:rPr>
                <w:rFonts w:ascii="Times New Roman" w:hAnsi="Times New Roman" w:cs="Times New Roman" w:eastAsia="Times New Roman" w:hint="default"/>
                <w:sz w:val="18"/>
                <w:szCs w:val="18"/>
              </w:rPr>
              <w:t>CPU</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ZL201010256830.2</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1033522</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660"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一种解码多个视频文件的方法及设 备</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ZL201210357168.9</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1623252</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658"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一种片上系统的验证方法、装置和 系统</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ZL201310032498.5</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1637103</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5</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数据存储方法和存储器</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ZL201210281042.8</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1660594</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bl>
    <w:p>
      <w:pPr>
        <w:spacing w:after="0" w:line="240" w:lineRule="auto"/>
        <w:jc w:val="center"/>
        <w:rPr>
          <w:rFonts w:ascii="宋体" w:hAnsi="宋体" w:cs="宋体" w:eastAsia="宋体" w:hint="default"/>
          <w:sz w:val="18"/>
          <w:szCs w:val="18"/>
        </w:rPr>
        <w:sectPr>
          <w:pgSz w:w="11910" w:h="16840"/>
          <w:pgMar w:header="745" w:footer="979" w:top="1060" w:bottom="1160" w:left="86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627"/>
        <w:gridCol w:w="2720"/>
        <w:gridCol w:w="1692"/>
        <w:gridCol w:w="965"/>
        <w:gridCol w:w="1668"/>
        <w:gridCol w:w="1306"/>
        <w:gridCol w:w="962"/>
      </w:tblGrid>
      <w:tr>
        <w:trPr>
          <w:trHeight w:val="348"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11"/>
              <w:jc w:val="right"/>
              <w:rPr>
                <w:rFonts w:ascii="宋体" w:hAnsi="宋体" w:cs="宋体" w:eastAsia="宋体" w:hint="default"/>
                <w:sz w:val="18"/>
                <w:szCs w:val="18"/>
              </w:rPr>
            </w:pPr>
            <w:r>
              <w:rPr>
                <w:rFonts w:ascii="宋体" w:hAnsi="宋体" w:cs="宋体" w:eastAsia="宋体" w:hint="default"/>
                <w:b/>
                <w:bCs/>
                <w:w w:val="95"/>
                <w:sz w:val="18"/>
                <w:szCs w:val="18"/>
              </w:rPr>
              <w:t>专利类型</w:t>
            </w:r>
            <w:r>
              <w:rPr>
                <w:rFonts w:ascii="宋体" w:hAnsi="宋体" w:cs="宋体" w:eastAsia="宋体" w:hint="default"/>
                <w:sz w:val="18"/>
                <w:szCs w:val="18"/>
              </w:rPr>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b/>
                <w:bCs/>
                <w:sz w:val="18"/>
                <w:szCs w:val="18"/>
              </w:rPr>
              <w:t>授权公告日</w:t>
            </w:r>
            <w:r>
              <w:rPr>
                <w:rFonts w:ascii="宋体" w:hAnsi="宋体" w:cs="宋体" w:eastAsia="宋体" w:hint="default"/>
                <w:sz w:val="18"/>
                <w:szCs w:val="18"/>
              </w:rPr>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b/>
                <w:bCs/>
                <w:sz w:val="18"/>
                <w:szCs w:val="18"/>
              </w:rPr>
              <w:t>专利权人</w:t>
            </w:r>
            <w:r>
              <w:rPr>
                <w:rFonts w:ascii="宋体" w:hAnsi="宋体" w:cs="宋体" w:eastAsia="宋体" w:hint="default"/>
                <w:sz w:val="18"/>
                <w:szCs w:val="18"/>
              </w:rPr>
            </w:r>
          </w:p>
        </w:tc>
      </w:tr>
      <w:tr>
        <w:trPr>
          <w:trHeight w:val="346"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6</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一种离散内存访问的方法与装置</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ZL201210330697.X</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1713904</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7</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电泳显示控制方法及其装置</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ZL201210183947.1</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1867228</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6"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8</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芯片封装</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ZL201210057491.4</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2072381</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9</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一种短彩信搜索方法和设备</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ZL201210372271.0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2071159</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6"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10</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一种消除防竞争码的方法及装置</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ZL201310072457.9</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2165005</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660"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11</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一种应用于嵌入式系统的总线监控 方法及装置</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ZL201310016113.6</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2160411</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12</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一种图像降噪处理方法及装置</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ZL201410018208.6</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2346862</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658"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13</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电视节目控制方法、终端、电视接 收器及系统</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ZL201310269317.0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2363445</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14</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一种应用在智能手表上的识别方法</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ZL201410052088.1</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2377719</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658"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15</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一种系统休眠状态下的信息显示方 法与装置</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ZL201410085249.7</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2378049</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660"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16</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一种四线电阻触摸屏两点触控手势 识别的方法</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ZL201310269850.7</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2377535</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17</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智能眼镜</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ZL201510002266.4</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2390825</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658"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18</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一种确定运动矢量代价的方法及装 置</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ZL201410406661.4</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2585305</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660"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19</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一种检测摄像头被遮挡的方法及系 统</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ZL201410422978.7</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2588135</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658"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一种运动估计中确定运动矢量代价 的方法及装置</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ZL201410406168.2</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2641471</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660"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21</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1"/>
              <w:jc w:val="left"/>
              <w:rPr>
                <w:rFonts w:ascii="宋体" w:hAnsi="宋体" w:cs="宋体" w:eastAsia="宋体" w:hint="default"/>
                <w:sz w:val="18"/>
                <w:szCs w:val="18"/>
              </w:rPr>
            </w:pPr>
            <w:r>
              <w:rPr>
                <w:rFonts w:ascii="宋体" w:hAnsi="宋体" w:cs="宋体" w:eastAsia="宋体" w:hint="default"/>
                <w:spacing w:val="2"/>
                <w:sz w:val="18"/>
                <w:szCs w:val="18"/>
              </w:rPr>
              <w:t>基于</w:t>
            </w:r>
            <w:r>
              <w:rPr>
                <w:rFonts w:ascii="Times New Roman" w:hAnsi="Times New Roman" w:cs="Times New Roman" w:eastAsia="Times New Roman" w:hint="default"/>
                <w:spacing w:val="2"/>
                <w:sz w:val="18"/>
                <w:szCs w:val="18"/>
              </w:rPr>
              <w:t>HEVC</w:t>
            </w:r>
            <w:r>
              <w:rPr>
                <w:rFonts w:ascii="宋体" w:hAnsi="宋体" w:cs="宋体" w:eastAsia="宋体" w:hint="default"/>
                <w:spacing w:val="2"/>
                <w:sz w:val="18"/>
                <w:szCs w:val="18"/>
              </w:rPr>
              <w:t>的预测模式确定方法及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装置</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ZL201510137764.X</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2819039</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6"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22</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一种视频变换的实现方法及装置</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ZL201510228029.X</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2868439</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23</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一种入侵与周界防范方法及装置</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ZL201410528276.7</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3246021</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660"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24</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一种基于符号位分组的图像数据压 缩方法及装置</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ZL201510135467.1</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3252331</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658"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25</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8"/>
              <w:ind w:left="2" w:right="1"/>
              <w:jc w:val="left"/>
              <w:rPr>
                <w:rFonts w:ascii="宋体" w:hAnsi="宋体" w:cs="宋体" w:eastAsia="宋体" w:hint="default"/>
                <w:sz w:val="18"/>
                <w:szCs w:val="18"/>
              </w:rPr>
            </w:pPr>
            <w:r>
              <w:rPr>
                <w:rFonts w:ascii="宋体" w:hAnsi="宋体" w:cs="宋体" w:eastAsia="宋体" w:hint="default"/>
                <w:spacing w:val="2"/>
                <w:sz w:val="18"/>
                <w:szCs w:val="18"/>
              </w:rPr>
              <w:t>一种</w:t>
            </w:r>
            <w:r>
              <w:rPr>
                <w:rFonts w:ascii="Times New Roman" w:hAnsi="Times New Roman" w:cs="Times New Roman" w:eastAsia="Times New Roman" w:hint="default"/>
                <w:spacing w:val="2"/>
                <w:sz w:val="18"/>
                <w:szCs w:val="18"/>
              </w:rPr>
              <w:t>HEVC</w:t>
            </w:r>
            <w:r>
              <w:rPr>
                <w:rFonts w:ascii="宋体" w:hAnsi="宋体" w:cs="宋体" w:eastAsia="宋体" w:hint="default"/>
                <w:spacing w:val="2"/>
                <w:sz w:val="18"/>
                <w:szCs w:val="18"/>
              </w:rPr>
              <w:t>标准中视频编解码变换</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方法及装置</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ZL201510226992.4</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3254704</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660"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26</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1"/>
              <w:jc w:val="left"/>
              <w:rPr>
                <w:rFonts w:ascii="宋体" w:hAnsi="宋体" w:cs="宋体" w:eastAsia="宋体" w:hint="default"/>
                <w:sz w:val="18"/>
                <w:szCs w:val="18"/>
              </w:rPr>
            </w:pPr>
            <w:r>
              <w:rPr>
                <w:rFonts w:ascii="宋体" w:hAnsi="宋体" w:cs="宋体" w:eastAsia="宋体" w:hint="default"/>
                <w:spacing w:val="2"/>
                <w:sz w:val="18"/>
                <w:szCs w:val="18"/>
              </w:rPr>
              <w:t>一种</w:t>
            </w:r>
            <w:r>
              <w:rPr>
                <w:rFonts w:ascii="Times New Roman" w:hAnsi="Times New Roman" w:cs="Times New Roman" w:eastAsia="Times New Roman" w:hint="default"/>
                <w:spacing w:val="2"/>
                <w:sz w:val="18"/>
                <w:szCs w:val="18"/>
              </w:rPr>
              <w:t>HEVC</w:t>
            </w:r>
            <w:r>
              <w:rPr>
                <w:rFonts w:ascii="宋体" w:hAnsi="宋体" w:cs="宋体" w:eastAsia="宋体" w:hint="default"/>
                <w:spacing w:val="2"/>
                <w:sz w:val="18"/>
                <w:szCs w:val="18"/>
              </w:rPr>
              <w:t>中的运动矢量预测方法</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及装置</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ZL201510363459.2</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3387346</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658"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27</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一种视频编码中聚堆变换误差和的 计算方法及装置</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ZL201510553104.X</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3452480</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28</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视频帧压缩方法及装置</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ZL201510154972.0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3532130</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29</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芯片封装结构</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ZL201220701052.8</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3105515</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6"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30</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Times New Roman" w:hAnsi="Times New Roman" w:cs="Times New Roman" w:eastAsia="Times New Roman" w:hint="default"/>
                <w:sz w:val="18"/>
                <w:szCs w:val="18"/>
              </w:rPr>
              <w:t>HEVC</w:t>
            </w:r>
            <w:r>
              <w:rPr>
                <w:rFonts w:ascii="宋体" w:hAnsi="宋体" w:cs="宋体" w:eastAsia="宋体" w:hint="default"/>
                <w:sz w:val="18"/>
                <w:szCs w:val="18"/>
              </w:rPr>
              <w:t>的像素预测装置</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ZL201520180813.3</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4416801</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31</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一种智能手表</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ZL201420275637.7</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3855090</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6"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32</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一种智能手表通信系统</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ZL201420306345.5</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1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3989602</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33</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一种智能手表</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ZL201420179170.6</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3989409</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bl>
    <w:p>
      <w:pPr>
        <w:spacing w:after="0" w:line="240" w:lineRule="auto"/>
        <w:jc w:val="center"/>
        <w:rPr>
          <w:rFonts w:ascii="宋体" w:hAnsi="宋体" w:cs="宋体" w:eastAsia="宋体" w:hint="default"/>
          <w:sz w:val="18"/>
          <w:szCs w:val="18"/>
        </w:rPr>
        <w:sectPr>
          <w:pgSz w:w="11910" w:h="16840"/>
          <w:pgMar w:header="745" w:footer="979" w:top="1060" w:bottom="1160" w:left="86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627"/>
        <w:gridCol w:w="2720"/>
        <w:gridCol w:w="1692"/>
        <w:gridCol w:w="965"/>
        <w:gridCol w:w="1668"/>
        <w:gridCol w:w="1306"/>
        <w:gridCol w:w="962"/>
      </w:tblGrid>
      <w:tr>
        <w:trPr>
          <w:trHeight w:val="348"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11"/>
              <w:jc w:val="right"/>
              <w:rPr>
                <w:rFonts w:ascii="宋体" w:hAnsi="宋体" w:cs="宋体" w:eastAsia="宋体" w:hint="default"/>
                <w:sz w:val="18"/>
                <w:szCs w:val="18"/>
              </w:rPr>
            </w:pPr>
            <w:r>
              <w:rPr>
                <w:rFonts w:ascii="宋体" w:hAnsi="宋体" w:cs="宋体" w:eastAsia="宋体" w:hint="default"/>
                <w:b/>
                <w:bCs/>
                <w:w w:val="95"/>
                <w:sz w:val="18"/>
                <w:szCs w:val="18"/>
              </w:rPr>
              <w:t>专利类型</w:t>
            </w:r>
            <w:r>
              <w:rPr>
                <w:rFonts w:ascii="宋体" w:hAnsi="宋体" w:cs="宋体" w:eastAsia="宋体" w:hint="default"/>
                <w:sz w:val="18"/>
                <w:szCs w:val="18"/>
              </w:rPr>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b/>
                <w:bCs/>
                <w:sz w:val="18"/>
                <w:szCs w:val="18"/>
              </w:rPr>
              <w:t>授权公告日</w:t>
            </w:r>
            <w:r>
              <w:rPr>
                <w:rFonts w:ascii="宋体" w:hAnsi="宋体" w:cs="宋体" w:eastAsia="宋体" w:hint="default"/>
                <w:sz w:val="18"/>
                <w:szCs w:val="18"/>
              </w:rPr>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b/>
                <w:bCs/>
                <w:sz w:val="18"/>
                <w:szCs w:val="18"/>
              </w:rPr>
              <w:t>专利权人</w:t>
            </w:r>
            <w:r>
              <w:rPr>
                <w:rFonts w:ascii="宋体" w:hAnsi="宋体" w:cs="宋体" w:eastAsia="宋体" w:hint="default"/>
                <w:sz w:val="18"/>
                <w:szCs w:val="18"/>
              </w:rPr>
            </w:r>
          </w:p>
        </w:tc>
      </w:tr>
      <w:tr>
        <w:trPr>
          <w:trHeight w:val="346"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34</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一种智能眼镜</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ZL201520344871.5</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4703185</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35</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一种智能眼镜</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ZL201520345276.3</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4739387</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6"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36</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一种智能眼镜</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ZL201520344980.7</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4841579</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37</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一种智能手表</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ZL201520492879.6</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5058580</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6"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38</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一种电路板</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ZL201520742296.4</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5060249</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39</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一种智能手表</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ZL201520093026.5</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5144715</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40</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一种智能眼镜</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ZL201520345136.6</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5183676</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6"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41</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一种输出模块</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ZL201520742993.X</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5233414</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9"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42</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一种智能眼镜</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ZL201620276401.4</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5558948</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6"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43</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一种智能眼镜</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ZL201620034447.5</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5718240</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44</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一种印制电路板</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ZL201620035479.7</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5748463</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45</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一种组网系统</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ZL201621397804.0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6928194</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6"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46</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一种智能眼镜</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ZL201621195679.5</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6160121</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47</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一种悍球阵列结构</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ZL201621195178.7</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6158182</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6"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48</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一种智能门铃</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ZL201520212254.X</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5022985</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合肥君正</w:t>
            </w:r>
          </w:p>
        </w:tc>
      </w:tr>
      <w:tr>
        <w:trPr>
          <w:trHeight w:val="348"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49</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一种智能门铃</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ZL201520296820.X</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4935079</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合肥君正</w:t>
            </w:r>
          </w:p>
        </w:tc>
      </w:tr>
      <w:tr>
        <w:trPr>
          <w:trHeight w:val="658"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50</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2"/>
              <w:jc w:val="left"/>
              <w:rPr>
                <w:rFonts w:ascii="宋体" w:hAnsi="宋体" w:cs="宋体" w:eastAsia="宋体" w:hint="default"/>
                <w:sz w:val="18"/>
                <w:szCs w:val="18"/>
              </w:rPr>
            </w:pPr>
            <w:r>
              <w:rPr>
                <w:rFonts w:ascii="宋体" w:hAnsi="宋体" w:cs="宋体" w:eastAsia="宋体" w:hint="default"/>
                <w:sz w:val="18"/>
                <w:szCs w:val="18"/>
              </w:rPr>
              <w:t>一种控制智能模式的系统制智能终 端进入静音模式的系统</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ZL201420081618.0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3832924</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君正时代</w:t>
            </w:r>
          </w:p>
        </w:tc>
      </w:tr>
      <w:tr>
        <w:trPr>
          <w:trHeight w:val="348"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51</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一种智能手表（实用新型）</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ZL201420684117.1</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4270858</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君正时代</w:t>
            </w:r>
          </w:p>
        </w:tc>
      </w:tr>
      <w:tr>
        <w:trPr>
          <w:trHeight w:val="348"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52</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一种智能手表</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ZL201620507309.4</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5673178</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君正时代</w:t>
            </w:r>
          </w:p>
        </w:tc>
      </w:tr>
      <w:tr>
        <w:trPr>
          <w:trHeight w:val="346"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53</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一种智能手表</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ZL201620510944.8</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5811012</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君正时代</w:t>
            </w:r>
          </w:p>
        </w:tc>
      </w:tr>
      <w:tr>
        <w:trPr>
          <w:trHeight w:val="660"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54</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2"/>
              <w:jc w:val="left"/>
              <w:rPr>
                <w:rFonts w:ascii="宋体" w:hAnsi="宋体" w:cs="宋体" w:eastAsia="宋体" w:hint="default"/>
                <w:sz w:val="18"/>
                <w:szCs w:val="18"/>
              </w:rPr>
            </w:pPr>
            <w:r>
              <w:rPr>
                <w:rFonts w:ascii="宋体" w:hAnsi="宋体" w:cs="宋体" w:eastAsia="宋体" w:hint="default"/>
                <w:sz w:val="18"/>
                <w:szCs w:val="18"/>
              </w:rPr>
              <w:t>一种带心电传感器的智能手表及底 座</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ZL201620508568.9</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5811713</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君正时代</w:t>
            </w:r>
          </w:p>
        </w:tc>
      </w:tr>
      <w:tr>
        <w:trPr>
          <w:trHeight w:val="346"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55</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一种开发平台式集成电路装置</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ZL201620508578.2</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6005988</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君正时代</w:t>
            </w:r>
          </w:p>
        </w:tc>
      </w:tr>
      <w:tr>
        <w:trPr>
          <w:trHeight w:val="660"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56</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一种芯片平台智能射频解锁用固定 架</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ZL201920397093.4</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9345653</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君正时代</w:t>
            </w:r>
          </w:p>
        </w:tc>
      </w:tr>
      <w:tr>
        <w:trPr>
          <w:trHeight w:val="348"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57</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一种芯片平台二维码扫描结构</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ZL201920397116.1</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9351285</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君正时代</w:t>
            </w:r>
          </w:p>
        </w:tc>
      </w:tr>
      <w:tr>
        <w:trPr>
          <w:trHeight w:val="346"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58</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一种芯片平台二维码扫描装置</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ZL201920397063.3</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9351646</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君正时代</w:t>
            </w:r>
          </w:p>
        </w:tc>
      </w:tr>
      <w:tr>
        <w:trPr>
          <w:trHeight w:val="348"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59</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一种芯片智能音箱用芯片定位装置</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ZL201920397385.8</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9441599</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君正时代</w:t>
            </w:r>
          </w:p>
        </w:tc>
      </w:tr>
      <w:tr>
        <w:trPr>
          <w:trHeight w:val="346"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60</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一种芯片的智能音箱安装平台</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ZL201920397127.X</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9442865</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君正时代</w:t>
            </w:r>
          </w:p>
        </w:tc>
      </w:tr>
      <w:tr>
        <w:trPr>
          <w:trHeight w:val="660"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61</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一种芯片平台智能射频解锁用角度 调节装置</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ZL201920397445.6</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9685484</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君正时代</w:t>
            </w:r>
          </w:p>
        </w:tc>
      </w:tr>
      <w:tr>
        <w:trPr>
          <w:trHeight w:val="658"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62</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一种芯片平台智能家居语音控制系 统</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ZL201920397092.X</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9797819</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君正时代</w:t>
            </w:r>
          </w:p>
        </w:tc>
      </w:tr>
      <w:tr>
        <w:trPr>
          <w:trHeight w:val="348"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63</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一种芯片的方向智能跟随音箱</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ZL201920397091.5</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9798652</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君正时代</w:t>
            </w:r>
          </w:p>
        </w:tc>
      </w:tr>
      <w:tr>
        <w:trPr>
          <w:trHeight w:val="660"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64</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一种芯片的带有显示装置的分体式 音箱</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ZL201920397384.3</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9797821</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君正时代</w:t>
            </w:r>
          </w:p>
        </w:tc>
      </w:tr>
      <w:tr>
        <w:trPr>
          <w:trHeight w:val="346"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65</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一种播放提示音的装置</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ZL201920397003.1</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1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9768602</w:t>
            </w:r>
            <w:r>
              <w:rPr>
                <w:rFonts w:ascii="宋体" w:hAnsi="宋体" w:cs="宋体" w:eastAsia="宋体" w:hint="default"/>
                <w:sz w:val="18"/>
                <w:szCs w:val="18"/>
              </w:rPr>
              <w:t>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君正时代</w:t>
            </w:r>
          </w:p>
        </w:tc>
      </w:tr>
    </w:tbl>
    <w:p>
      <w:pPr>
        <w:pStyle w:val="BodyText"/>
        <w:spacing w:line="240" w:lineRule="auto" w:before="49"/>
        <w:ind w:left="272" w:right="1034"/>
        <w:jc w:val="left"/>
      </w:pPr>
      <w:r>
        <w:rPr>
          <w:rFonts w:ascii="Times New Roman" w:hAnsi="Times New Roman" w:cs="Times New Roman" w:eastAsia="Times New Roman" w:hint="default"/>
        </w:rPr>
        <w:t>(2)</w:t>
      </w:r>
      <w:r>
        <w:rPr/>
        <w:t>计算机软件著作权</w:t>
      </w:r>
    </w:p>
    <w:p>
      <w:pPr>
        <w:spacing w:after="0" w:line="240" w:lineRule="auto"/>
        <w:jc w:val="left"/>
        <w:sectPr>
          <w:pgSz w:w="11910" w:h="16840"/>
          <w:pgMar w:header="745" w:footer="979" w:top="1060" w:bottom="1160" w:left="86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624"/>
        <w:gridCol w:w="3572"/>
        <w:gridCol w:w="1930"/>
        <w:gridCol w:w="1474"/>
        <w:gridCol w:w="1532"/>
        <w:gridCol w:w="962"/>
      </w:tblGrid>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b/>
                <w:bCs/>
                <w:sz w:val="18"/>
                <w:szCs w:val="18"/>
              </w:rPr>
              <w:t>授权日</w:t>
            </w:r>
            <w:r>
              <w:rPr>
                <w:rFonts w:ascii="宋体" w:hAnsi="宋体" w:cs="宋体" w:eastAsia="宋体" w:hint="default"/>
                <w:sz w:val="18"/>
                <w:szCs w:val="18"/>
              </w:rPr>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11"/>
              <w:jc w:val="right"/>
              <w:rPr>
                <w:rFonts w:ascii="宋体" w:hAnsi="宋体" w:cs="宋体" w:eastAsia="宋体" w:hint="default"/>
                <w:sz w:val="18"/>
                <w:szCs w:val="18"/>
              </w:rPr>
            </w:pPr>
            <w:r>
              <w:rPr>
                <w:rFonts w:ascii="宋体" w:hAnsi="宋体" w:cs="宋体" w:eastAsia="宋体" w:hint="default"/>
                <w:b/>
                <w:bCs/>
                <w:w w:val="95"/>
                <w:sz w:val="18"/>
                <w:szCs w:val="18"/>
              </w:rPr>
              <w:t>所有权人</w:t>
            </w:r>
            <w:r>
              <w:rPr>
                <w:rFonts w:ascii="宋体" w:hAnsi="宋体" w:cs="宋体" w:eastAsia="宋体" w:hint="default"/>
                <w:sz w:val="18"/>
                <w:szCs w:val="18"/>
              </w:rPr>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1</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USB Boot</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主机端程序</w:t>
            </w:r>
            <w:r>
              <w:rPr>
                <w:rFonts w:ascii="Times New Roman" w:hAnsi="Times New Roman" w:cs="Times New Roman" w:eastAsia="Times New Roman" w:hint="default"/>
                <w:sz w:val="18"/>
                <w:szCs w:val="18"/>
              </w:rPr>
              <w:t>1.4</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0140963</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2009SR013962</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USB Boot</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设备端程序</w:t>
            </w:r>
            <w:r>
              <w:rPr>
                <w:rFonts w:ascii="Times New Roman" w:hAnsi="Times New Roman" w:cs="Times New Roman" w:eastAsia="Times New Roman" w:hint="default"/>
                <w:sz w:val="18"/>
                <w:szCs w:val="18"/>
              </w:rPr>
              <w:t>1.4</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0141003</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2009SR014002</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3</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定点</w:t>
            </w:r>
            <w:r>
              <w:rPr>
                <w:rFonts w:ascii="Times New Roman" w:hAnsi="Times New Roman" w:cs="Times New Roman" w:eastAsia="Times New Roman" w:hint="default"/>
                <w:spacing w:val="-2"/>
                <w:sz w:val="18"/>
                <w:szCs w:val="18"/>
              </w:rPr>
              <w:t>W</w:t>
            </w:r>
            <w:r>
              <w:rPr>
                <w:rFonts w:ascii="Times New Roman" w:hAnsi="Times New Roman" w:cs="Times New Roman" w:eastAsia="Times New Roman" w:hint="default"/>
                <w:spacing w:val="3"/>
                <w:w w:val="99"/>
                <w:sz w:val="18"/>
                <w:szCs w:val="18"/>
              </w:rPr>
              <w:t>M</w:t>
            </w:r>
            <w:r>
              <w:rPr>
                <w:rFonts w:ascii="Times New Roman" w:hAnsi="Times New Roman" w:cs="Times New Roman" w:eastAsia="Times New Roman" w:hint="default"/>
                <w:spacing w:val="-3"/>
                <w:w w:val="99"/>
                <w:sz w:val="18"/>
                <w:szCs w:val="18"/>
              </w:rPr>
              <w:t>A</w:t>
            </w:r>
            <w:r>
              <w:rPr>
                <w:rFonts w:ascii="宋体" w:hAnsi="宋体" w:cs="宋体" w:eastAsia="宋体" w:hint="default"/>
                <w:sz w:val="18"/>
                <w:szCs w:val="18"/>
              </w:rPr>
              <w:t>解码</w:t>
            </w:r>
            <w:r>
              <w:rPr>
                <w:rFonts w:ascii="宋体" w:hAnsi="宋体" w:cs="宋体" w:eastAsia="宋体" w:hint="default"/>
                <w:spacing w:val="-80"/>
                <w:sz w:val="18"/>
                <w:szCs w:val="18"/>
              </w:rPr>
              <w:t>器</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W</w:t>
            </w:r>
            <w:r>
              <w:rPr>
                <w:rFonts w:ascii="Times New Roman" w:hAnsi="Times New Roman" w:cs="Times New Roman" w:eastAsia="Times New Roman" w:hint="default"/>
                <w:spacing w:val="3"/>
                <w:w w:val="99"/>
                <w:sz w:val="18"/>
                <w:szCs w:val="18"/>
              </w:rPr>
              <w:t>M</w:t>
            </w: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w w:val="99"/>
                <w:sz w:val="18"/>
                <w:szCs w:val="18"/>
              </w:rPr>
              <w:t>F</w:t>
            </w:r>
            <w:r>
              <w:rPr>
                <w:rFonts w:ascii="Times New Roman" w:hAnsi="Times New Roman" w:cs="Times New Roman" w:eastAsia="Times New Roman" w:hint="default"/>
                <w:w w:val="99"/>
                <w:sz w:val="18"/>
                <w:szCs w:val="18"/>
              </w:rPr>
              <w:t>I</w:t>
            </w:r>
            <w:r>
              <w:rPr>
                <w:rFonts w:ascii="Times New Roman" w:hAnsi="Times New Roman" w:cs="Times New Roman" w:eastAsia="Times New Roman" w:hint="default"/>
                <w:spacing w:val="1"/>
                <w:w w:val="99"/>
                <w:sz w:val="18"/>
                <w:szCs w:val="18"/>
              </w:rPr>
              <w:t>X</w:t>
            </w:r>
            <w:r>
              <w:rPr>
                <w:rFonts w:ascii="Times New Roman" w:hAnsi="Times New Roman" w:cs="Times New Roman" w:eastAsia="Times New Roman" w:hint="default"/>
                <w:w w:val="99"/>
                <w:sz w:val="18"/>
                <w:szCs w:val="18"/>
              </w:rPr>
              <w:t>ED</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w w:val="99"/>
                <w:sz w:val="18"/>
                <w:szCs w:val="18"/>
              </w:rPr>
              <w:t>D</w:t>
            </w:r>
            <w:r>
              <w:rPr>
                <w:rFonts w:ascii="Times New Roman" w:hAnsi="Times New Roman" w:cs="Times New Roman" w:eastAsia="Times New Roman" w:hint="default"/>
                <w:spacing w:val="-2"/>
                <w:w w:val="99"/>
                <w:sz w:val="18"/>
                <w:szCs w:val="18"/>
              </w:rPr>
              <w:t>e</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od</w:t>
            </w:r>
            <w:r>
              <w:rPr>
                <w:rFonts w:ascii="Times New Roman" w:hAnsi="Times New Roman" w:cs="Times New Roman" w:eastAsia="Times New Roman" w:hint="default"/>
                <w:spacing w:val="-1"/>
                <w:sz w:val="18"/>
                <w:szCs w:val="18"/>
              </w:rPr>
              <w:t>e</w:t>
            </w:r>
            <w:r>
              <w:rPr>
                <w:rFonts w:ascii="Times New Roman" w:hAnsi="Times New Roman" w:cs="Times New Roman" w:eastAsia="Times New Roman" w:hint="default"/>
                <w:sz w:val="18"/>
                <w:szCs w:val="18"/>
              </w:rPr>
              <w:t>r)</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0141009</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2009SR014008</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660"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1"/>
                <w:sz w:val="18"/>
                <w:szCs w:val="18"/>
              </w:rPr>
              <w:t>Deb</w:t>
            </w:r>
            <w:r>
              <w:rPr>
                <w:rFonts w:ascii="宋体" w:hAnsi="宋体" w:cs="宋体" w:eastAsia="宋体" w:hint="default"/>
                <w:spacing w:val="11"/>
                <w:sz w:val="18"/>
                <w:szCs w:val="18"/>
              </w:rPr>
              <w:t>软件包管理器（</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pkg-manager-ingenic)[</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简 称：包管理器］</w:t>
            </w:r>
            <w:r>
              <w:rPr>
                <w:rFonts w:ascii="Times New Roman" w:hAnsi="Times New Roman" w:cs="Times New Roman" w:eastAsia="Times New Roman" w:hint="default"/>
                <w:sz w:val="18"/>
                <w:szCs w:val="18"/>
              </w:rPr>
              <w:t>1.0.0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0140961</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2009SR013960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5</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定点</w:t>
            </w:r>
            <w:r>
              <w:rPr>
                <w:rFonts w:ascii="Times New Roman" w:hAnsi="Times New Roman" w:cs="Times New Roman" w:eastAsia="Times New Roman" w:hint="default"/>
                <w:sz w:val="18"/>
                <w:szCs w:val="18"/>
              </w:rPr>
              <w:t>Atrac3</w:t>
            </w:r>
            <w:r>
              <w:rPr>
                <w:rFonts w:ascii="宋体" w:hAnsi="宋体" w:cs="宋体" w:eastAsia="宋体" w:hint="default"/>
                <w:sz w:val="18"/>
                <w:szCs w:val="18"/>
              </w:rPr>
              <w:t>解码器（</w:t>
            </w:r>
            <w:r>
              <w:rPr>
                <w:rFonts w:ascii="Times New Roman" w:hAnsi="Times New Roman" w:cs="Times New Roman" w:eastAsia="Times New Roman" w:hint="default"/>
                <w:sz w:val="18"/>
                <w:szCs w:val="18"/>
              </w:rPr>
              <w:t>Jz_atrac3_decoder)1.2</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0141008</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2009SR014007</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6</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网络管理软件［简称：网络管理器］</w:t>
            </w:r>
            <w:r>
              <w:rPr>
                <w:rFonts w:ascii="Times New Roman" w:hAnsi="Times New Roman" w:cs="Times New Roman" w:eastAsia="Times New Roman" w:hint="default"/>
                <w:sz w:val="18"/>
                <w:szCs w:val="18"/>
              </w:rPr>
              <w:t>1.0.0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0140962</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2009SR013961</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7</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定点</w:t>
            </w:r>
            <w:r>
              <w:rPr>
                <w:rFonts w:ascii="Times New Roman" w:hAnsi="Times New Roman" w:cs="Times New Roman" w:eastAsia="Times New Roman" w:hint="default"/>
                <w:sz w:val="18"/>
                <w:szCs w:val="18"/>
              </w:rPr>
              <w:t>mp3</w:t>
            </w:r>
            <w:r>
              <w:rPr>
                <w:rFonts w:ascii="宋体" w:hAnsi="宋体" w:cs="宋体" w:eastAsia="宋体" w:hint="default"/>
                <w:sz w:val="18"/>
                <w:szCs w:val="18"/>
              </w:rPr>
              <w:t>编码器（</w:t>
            </w:r>
            <w:r>
              <w:rPr>
                <w:rFonts w:ascii="Times New Roman" w:hAnsi="Times New Roman" w:cs="Times New Roman" w:eastAsia="Times New Roman" w:hint="default"/>
                <w:sz w:val="18"/>
                <w:szCs w:val="18"/>
              </w:rPr>
              <w:t>Jz_mp3_encoder)1.2</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0141004</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2009SR014003</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8</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JDI</w:t>
            </w:r>
            <w:r>
              <w:rPr>
                <w:rFonts w:ascii="宋体" w:hAnsi="宋体" w:cs="宋体" w:eastAsia="宋体" w:hint="default"/>
                <w:sz w:val="18"/>
                <w:szCs w:val="18"/>
              </w:rPr>
              <w:t>远程调试程序（</w:t>
            </w:r>
            <w:r>
              <w:rPr>
                <w:rFonts w:ascii="Times New Roman" w:hAnsi="Times New Roman" w:cs="Times New Roman" w:eastAsia="Times New Roman" w:hint="default"/>
                <w:sz w:val="18"/>
                <w:szCs w:val="18"/>
              </w:rPr>
              <w:t>JDI debug</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server)1.0.0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0141007</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2009SR014006</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9</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ELF</w:t>
            </w:r>
            <w:r>
              <w:rPr>
                <w:rFonts w:ascii="宋体" w:hAnsi="宋体" w:cs="宋体" w:eastAsia="宋体" w:hint="default"/>
                <w:sz w:val="18"/>
                <w:szCs w:val="18"/>
              </w:rPr>
              <w:t>文件工具软件</w:t>
            </w:r>
            <w:r>
              <w:rPr>
                <w:rFonts w:ascii="Times New Roman" w:hAnsi="Times New Roman" w:cs="Times New Roman" w:eastAsia="Times New Roman" w:hint="default"/>
                <w:sz w:val="18"/>
                <w:szCs w:val="18"/>
              </w:rPr>
              <w:t>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0392816</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2012SR024780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10</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二进制文件转</w:t>
            </w:r>
            <w:r>
              <w:rPr>
                <w:rFonts w:ascii="Times New Roman" w:hAnsi="Times New Roman" w:cs="Times New Roman" w:eastAsia="Times New Roman" w:hint="default"/>
                <w:sz w:val="18"/>
                <w:szCs w:val="18"/>
              </w:rPr>
              <w:t>MIPS</w:t>
            </w:r>
            <w:r>
              <w:rPr>
                <w:rFonts w:ascii="宋体" w:hAnsi="宋体" w:cs="宋体" w:eastAsia="宋体" w:hint="default"/>
                <w:sz w:val="18"/>
                <w:szCs w:val="18"/>
              </w:rPr>
              <w:t>汇编工具软件</w:t>
            </w:r>
            <w:r>
              <w:rPr>
                <w:rFonts w:ascii="Times New Roman" w:hAnsi="Times New Roman" w:cs="Times New Roman" w:eastAsia="Times New Roman" w:hint="default"/>
                <w:sz w:val="18"/>
                <w:szCs w:val="18"/>
              </w:rPr>
              <w:t>1.0.0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0391680</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2012RS023644</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11</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Wifi</w:t>
            </w:r>
            <w:r>
              <w:rPr>
                <w:rFonts w:ascii="宋体" w:hAnsi="宋体" w:cs="宋体" w:eastAsia="宋体" w:hint="default"/>
                <w:sz w:val="18"/>
                <w:szCs w:val="18"/>
              </w:rPr>
              <w:t>信号质量测试系统软件</w:t>
            </w:r>
            <w:r>
              <w:rPr>
                <w:rFonts w:ascii="Times New Roman" w:hAnsi="Times New Roman" w:cs="Times New Roman" w:eastAsia="Times New Roman" w:hint="default"/>
                <w:sz w:val="18"/>
                <w:szCs w:val="18"/>
              </w:rPr>
              <w:t>1.0.0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0393820</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2012SR025784</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12</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音频驱动软件</w:t>
            </w:r>
            <w:r>
              <w:rPr>
                <w:rFonts w:ascii="Times New Roman" w:hAnsi="Times New Roman" w:cs="Times New Roman" w:eastAsia="Times New Roman" w:hint="default"/>
                <w:sz w:val="18"/>
                <w:szCs w:val="18"/>
              </w:rPr>
              <w:t>1.0.0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0391620</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2012SR023584</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13</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基于非回弹缓冲的</w:t>
            </w:r>
            <w:r>
              <w:rPr>
                <w:rFonts w:ascii="Times New Roman" w:hAnsi="Times New Roman" w:cs="Times New Roman" w:eastAsia="Times New Roman" w:hint="default"/>
                <w:sz w:val="18"/>
                <w:szCs w:val="18"/>
              </w:rPr>
              <w:t>MMC</w:t>
            </w:r>
            <w:r>
              <w:rPr>
                <w:rFonts w:ascii="宋体" w:hAnsi="宋体" w:cs="宋体" w:eastAsia="宋体" w:hint="default"/>
                <w:sz w:val="18"/>
                <w:szCs w:val="18"/>
              </w:rPr>
              <w:t>驱动程序</w:t>
            </w:r>
            <w:r>
              <w:rPr>
                <w:rFonts w:ascii="Times New Roman" w:hAnsi="Times New Roman" w:cs="Times New Roman" w:eastAsia="Times New Roman" w:hint="default"/>
                <w:sz w:val="18"/>
                <w:szCs w:val="18"/>
              </w:rPr>
              <w:t>1.0.0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0391752</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2012SR023716</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14</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中国移动设备管理服务软件</w:t>
            </w:r>
            <w:r>
              <w:rPr>
                <w:rFonts w:ascii="Times New Roman" w:hAnsi="Times New Roman" w:cs="Times New Roman" w:eastAsia="Times New Roman" w:hint="default"/>
                <w:sz w:val="18"/>
                <w:szCs w:val="18"/>
              </w:rPr>
              <w:t>1.0.0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0393536</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2012SR025500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15</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短彩信文件夹管理软件</w:t>
            </w:r>
            <w:r>
              <w:rPr>
                <w:rFonts w:ascii="Times New Roman" w:hAnsi="Times New Roman" w:cs="Times New Roman" w:eastAsia="Times New Roman" w:hint="default"/>
                <w:sz w:val="18"/>
                <w:szCs w:val="18"/>
              </w:rPr>
              <w:t>1.0.0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0501278</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2012SR133242</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16</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移动</w:t>
            </w:r>
            <w:r>
              <w:rPr>
                <w:rFonts w:ascii="Times New Roman" w:hAnsi="Times New Roman" w:cs="Times New Roman" w:eastAsia="Times New Roman" w:hint="default"/>
                <w:sz w:val="18"/>
                <w:szCs w:val="18"/>
              </w:rPr>
              <w:t>CMMB</w:t>
            </w:r>
            <w:r>
              <w:rPr>
                <w:rFonts w:ascii="宋体" w:hAnsi="宋体" w:cs="宋体" w:eastAsia="宋体" w:hint="default"/>
                <w:sz w:val="18"/>
                <w:szCs w:val="18"/>
              </w:rPr>
              <w:t>手机电视软件</w:t>
            </w:r>
            <w:r>
              <w:rPr>
                <w:rFonts w:ascii="Times New Roman" w:hAnsi="Times New Roman" w:cs="Times New Roman" w:eastAsia="Times New Roman" w:hint="default"/>
                <w:sz w:val="18"/>
                <w:szCs w:val="18"/>
              </w:rPr>
              <w:t>1.0.0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0391734</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2012SR023698</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17</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XOS</w:t>
            </w:r>
            <w:r>
              <w:rPr>
                <w:rFonts w:ascii="宋体" w:hAnsi="宋体" w:cs="宋体" w:eastAsia="宋体" w:hint="default"/>
                <w:sz w:val="18"/>
                <w:szCs w:val="18"/>
              </w:rPr>
              <w:t>操作系统</w:t>
            </w:r>
            <w:r>
              <w:rPr>
                <w:rFonts w:ascii="Times New Roman" w:hAnsi="Times New Roman" w:cs="Times New Roman" w:eastAsia="Times New Roman" w:hint="default"/>
                <w:sz w:val="18"/>
                <w:szCs w:val="18"/>
              </w:rPr>
              <w:t>1.0.0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0450293</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2012SR082257</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18</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电池驱动系统软件</w:t>
            </w:r>
            <w:r>
              <w:rPr>
                <w:rFonts w:ascii="Times New Roman" w:hAnsi="Times New Roman" w:cs="Times New Roman" w:eastAsia="Times New Roman" w:hint="default"/>
                <w:sz w:val="18"/>
                <w:szCs w:val="18"/>
              </w:rPr>
              <w:t>1.0.0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0394089</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2012SR026053</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19</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农历显示软件</w:t>
            </w:r>
            <w:r>
              <w:rPr>
                <w:rFonts w:ascii="Times New Roman" w:hAnsi="Times New Roman" w:cs="Times New Roman" w:eastAsia="Times New Roman" w:hint="default"/>
                <w:sz w:val="18"/>
                <w:szCs w:val="18"/>
              </w:rPr>
              <w:t>1.0.0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0501847</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2012SR133811</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20</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秒表、倒计时软件</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0501737</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2012SR133701</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21</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记事本应用软件</w:t>
            </w:r>
            <w:r>
              <w:rPr>
                <w:rFonts w:ascii="Times New Roman" w:hAnsi="Times New Roman" w:cs="Times New Roman" w:eastAsia="Times New Roman" w:hint="default"/>
                <w:sz w:val="18"/>
                <w:szCs w:val="18"/>
              </w:rPr>
              <w:t>1.0.0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0501731</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2012SR133695</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22</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文件管理器软件</w:t>
            </w:r>
            <w:r>
              <w:rPr>
                <w:rFonts w:ascii="Times New Roman" w:hAnsi="Times New Roman" w:cs="Times New Roman" w:eastAsia="Times New Roman" w:hint="default"/>
                <w:sz w:val="18"/>
                <w:szCs w:val="18"/>
              </w:rPr>
              <w:t>1.0.0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0501694</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2012SR133658</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23</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世界时间软件</w:t>
            </w:r>
            <w:r>
              <w:rPr>
                <w:rFonts w:ascii="Times New Roman" w:hAnsi="Times New Roman" w:cs="Times New Roman" w:eastAsia="Times New Roman" w:hint="default"/>
                <w:sz w:val="18"/>
                <w:szCs w:val="18"/>
              </w:rPr>
              <w:t>1.0.0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0500921</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2012SR132885</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24</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收音机软件</w:t>
            </w:r>
            <w:r>
              <w:rPr>
                <w:rFonts w:ascii="Times New Roman" w:hAnsi="Times New Roman" w:cs="Times New Roman" w:eastAsia="Times New Roman" w:hint="default"/>
                <w:sz w:val="18"/>
                <w:szCs w:val="18"/>
              </w:rPr>
              <w:t>1.0.0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0501712</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2012SR133676</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25</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SysInfo</w:t>
            </w:r>
            <w:r>
              <w:rPr>
                <w:rFonts w:ascii="宋体" w:hAnsi="宋体" w:cs="宋体" w:eastAsia="宋体" w:hint="default"/>
                <w:sz w:val="18"/>
                <w:szCs w:val="18"/>
              </w:rPr>
              <w:t>系统信息查看软件</w:t>
            </w:r>
            <w:r>
              <w:rPr>
                <w:rFonts w:ascii="Times New Roman" w:hAnsi="Times New Roman" w:cs="Times New Roman" w:eastAsia="Times New Roman" w:hint="default"/>
                <w:sz w:val="18"/>
                <w:szCs w:val="18"/>
              </w:rPr>
              <w:t>1.0.0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0391753</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2012SR023717</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26</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GIF</w:t>
            </w:r>
            <w:r>
              <w:rPr>
                <w:rFonts w:ascii="宋体" w:hAnsi="宋体" w:cs="宋体" w:eastAsia="宋体" w:hint="default"/>
                <w:sz w:val="18"/>
                <w:szCs w:val="18"/>
              </w:rPr>
              <w:t>动画播放软件</w:t>
            </w:r>
            <w:r>
              <w:rPr>
                <w:rFonts w:ascii="Times New Roman" w:hAnsi="Times New Roman" w:cs="Times New Roman" w:eastAsia="Times New Roman" w:hint="default"/>
                <w:sz w:val="18"/>
                <w:szCs w:val="18"/>
              </w:rPr>
              <w:t>1.0.0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0501448</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2012SR133412</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27</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手机短信缓存软件</w:t>
            </w:r>
            <w:r>
              <w:rPr>
                <w:rFonts w:ascii="Times New Roman" w:hAnsi="Times New Roman" w:cs="Times New Roman" w:eastAsia="Times New Roman" w:hint="default"/>
                <w:sz w:val="18"/>
                <w:szCs w:val="18"/>
              </w:rPr>
              <w:t>1.0.0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0501442</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2012SR133406</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28</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工厂模式应用软件</w:t>
            </w:r>
            <w:r>
              <w:rPr>
                <w:rFonts w:ascii="Times New Roman" w:hAnsi="Times New Roman" w:cs="Times New Roman" w:eastAsia="Times New Roman" w:hint="default"/>
                <w:sz w:val="18"/>
                <w:szCs w:val="18"/>
              </w:rPr>
              <w:t>1.0.0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0501283</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2012SR133247</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29</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抓取调试信息软件</w:t>
            </w:r>
            <w:r>
              <w:rPr>
                <w:rFonts w:ascii="Times New Roman" w:hAnsi="Times New Roman" w:cs="Times New Roman" w:eastAsia="Times New Roman" w:hint="default"/>
                <w:sz w:val="18"/>
                <w:szCs w:val="18"/>
              </w:rPr>
              <w:t>1.0.0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0501078</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2012SR133042</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30</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移动视频电话系统</w:t>
            </w:r>
            <w:r>
              <w:rPr>
                <w:rFonts w:ascii="Times New Roman" w:hAnsi="Times New Roman" w:cs="Times New Roman" w:eastAsia="Times New Roman" w:hint="default"/>
                <w:sz w:val="18"/>
                <w:szCs w:val="18"/>
              </w:rPr>
              <w:t>1.0.0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0501445</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2012SR133409</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31</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通话记录搜索软件</w:t>
            </w:r>
            <w:r>
              <w:rPr>
                <w:rFonts w:ascii="Times New Roman" w:hAnsi="Times New Roman" w:cs="Times New Roman" w:eastAsia="Times New Roman" w:hint="default"/>
                <w:sz w:val="18"/>
                <w:szCs w:val="18"/>
              </w:rPr>
              <w:t>1.0.0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0500978</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2012SR132942</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32</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多卡管理软件</w:t>
            </w:r>
            <w:r>
              <w:rPr>
                <w:rFonts w:ascii="Times New Roman" w:hAnsi="Times New Roman" w:cs="Times New Roman" w:eastAsia="Times New Roman" w:hint="default"/>
                <w:sz w:val="18"/>
                <w:szCs w:val="18"/>
              </w:rPr>
              <w:t>1.0.0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0501479</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2012SR133443</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33</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拨号键盘软件</w:t>
            </w:r>
            <w:r>
              <w:rPr>
                <w:rFonts w:ascii="Times New Roman" w:hAnsi="Times New Roman" w:cs="Times New Roman" w:eastAsia="Times New Roman" w:hint="default"/>
                <w:sz w:val="18"/>
                <w:szCs w:val="18"/>
              </w:rPr>
              <w:t>1.0.0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0501852</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2012SR133816</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34</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JZ4780</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LCD</w:t>
            </w:r>
            <w:r>
              <w:rPr>
                <w:rFonts w:ascii="宋体" w:hAnsi="宋体" w:cs="宋体" w:eastAsia="宋体" w:hint="default"/>
                <w:sz w:val="18"/>
                <w:szCs w:val="18"/>
              </w:rPr>
              <w:t>双屏多分辨率显示软件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0686782</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2014SR017538</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35</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XOS</w:t>
            </w:r>
            <w:r>
              <w:rPr>
                <w:rFonts w:ascii="宋体" w:hAnsi="宋体" w:cs="宋体" w:eastAsia="宋体" w:hint="default"/>
                <w:sz w:val="18"/>
                <w:szCs w:val="18"/>
              </w:rPr>
              <w:t>操作系统</w:t>
            </w:r>
            <w:r>
              <w:rPr>
                <w:rFonts w:ascii="Times New Roman" w:hAnsi="Times New Roman" w:cs="Times New Roman" w:eastAsia="Times New Roman" w:hint="default"/>
                <w:sz w:val="18"/>
                <w:szCs w:val="18"/>
              </w:rPr>
              <w:t>1.1</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0735377</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2014SR066133</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36</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使用</w:t>
            </w:r>
            <w:r>
              <w:rPr>
                <w:rFonts w:ascii="Times New Roman" w:hAnsi="Times New Roman" w:cs="Times New Roman" w:eastAsia="Times New Roman" w:hint="default"/>
                <w:sz w:val="18"/>
                <w:szCs w:val="18"/>
              </w:rPr>
              <w:t>DMA</w:t>
            </w:r>
            <w:r>
              <w:rPr>
                <w:rFonts w:ascii="宋体" w:hAnsi="宋体" w:cs="宋体" w:eastAsia="宋体" w:hint="default"/>
                <w:sz w:val="18"/>
                <w:szCs w:val="18"/>
              </w:rPr>
              <w:t>方式实现</w:t>
            </w:r>
            <w:r>
              <w:rPr>
                <w:rFonts w:ascii="Times New Roman" w:hAnsi="Times New Roman" w:cs="Times New Roman" w:eastAsia="Times New Roman" w:hint="default"/>
                <w:sz w:val="18"/>
                <w:szCs w:val="18"/>
              </w:rPr>
              <w:t>DDR</w:t>
            </w:r>
            <w:r>
              <w:rPr>
                <w:rFonts w:ascii="宋体" w:hAnsi="宋体" w:cs="宋体" w:eastAsia="宋体" w:hint="default"/>
                <w:sz w:val="18"/>
                <w:szCs w:val="18"/>
              </w:rPr>
              <w:t>探测功能的软件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0685984</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2014SR016740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37</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MIC_N  </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LINE_IN</w:t>
            </w:r>
            <w:r>
              <w:rPr>
                <w:rFonts w:ascii="宋体" w:hAnsi="宋体" w:cs="宋体" w:eastAsia="宋体" w:hint="default"/>
                <w:sz w:val="18"/>
                <w:szCs w:val="18"/>
              </w:rPr>
              <w:t>切换功能实现软件</w:t>
            </w:r>
            <w:r>
              <w:rPr>
                <w:rFonts w:ascii="Times New Roman" w:hAnsi="Times New Roman" w:cs="Times New Roman" w:eastAsia="Times New Roman" w:hint="default"/>
                <w:sz w:val="18"/>
                <w:szCs w:val="18"/>
              </w:rPr>
              <w:t>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0685976</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2014SR016732</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38</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16"/>
                <w:sz w:val="18"/>
                <w:szCs w:val="18"/>
              </w:rPr>
              <w:t>嵌入式</w:t>
            </w:r>
            <w:r>
              <w:rPr>
                <w:rFonts w:ascii="Times New Roman" w:hAnsi="Times New Roman" w:cs="Times New Roman" w:eastAsia="Times New Roman" w:hint="default"/>
                <w:spacing w:val="16"/>
                <w:sz w:val="18"/>
                <w:szCs w:val="18"/>
              </w:rPr>
              <w:t>CPU</w:t>
            </w:r>
            <w:r>
              <w:rPr>
                <w:rFonts w:ascii="宋体" w:hAnsi="宋体" w:cs="宋体" w:eastAsia="宋体" w:hint="default"/>
                <w:spacing w:val="16"/>
                <w:sz w:val="18"/>
                <w:szCs w:val="18"/>
              </w:rPr>
              <w:t>自动化系统级测试的实现软件</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0685965</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2014SR016721</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bl>
    <w:p>
      <w:pPr>
        <w:spacing w:after="0" w:line="240" w:lineRule="auto"/>
        <w:jc w:val="right"/>
        <w:rPr>
          <w:rFonts w:ascii="宋体" w:hAnsi="宋体" w:cs="宋体" w:eastAsia="宋体" w:hint="default"/>
          <w:sz w:val="18"/>
          <w:szCs w:val="18"/>
        </w:rPr>
        <w:sectPr>
          <w:pgSz w:w="11910" w:h="16840"/>
          <w:pgMar w:header="745" w:footer="979" w:top="1060" w:bottom="1160" w:left="7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624"/>
        <w:gridCol w:w="3572"/>
        <w:gridCol w:w="1930"/>
        <w:gridCol w:w="1474"/>
        <w:gridCol w:w="1532"/>
        <w:gridCol w:w="962"/>
      </w:tblGrid>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b/>
                <w:bCs/>
                <w:sz w:val="18"/>
                <w:szCs w:val="18"/>
              </w:rPr>
              <w:t>授权日</w:t>
            </w:r>
            <w:r>
              <w:rPr>
                <w:rFonts w:ascii="宋体" w:hAnsi="宋体" w:cs="宋体" w:eastAsia="宋体" w:hint="default"/>
                <w:sz w:val="18"/>
                <w:szCs w:val="18"/>
              </w:rPr>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11"/>
              <w:jc w:val="right"/>
              <w:rPr>
                <w:rFonts w:ascii="宋体" w:hAnsi="宋体" w:cs="宋体" w:eastAsia="宋体" w:hint="default"/>
                <w:sz w:val="18"/>
                <w:szCs w:val="18"/>
              </w:rPr>
            </w:pPr>
            <w:r>
              <w:rPr>
                <w:rFonts w:ascii="宋体" w:hAnsi="宋体" w:cs="宋体" w:eastAsia="宋体" w:hint="default"/>
                <w:b/>
                <w:bCs/>
                <w:w w:val="95"/>
                <w:sz w:val="18"/>
                <w:szCs w:val="18"/>
              </w:rPr>
              <w:t>所有权人</w:t>
            </w:r>
            <w:r>
              <w:rPr>
                <w:rFonts w:ascii="宋体" w:hAnsi="宋体" w:cs="宋体" w:eastAsia="宋体" w:hint="default"/>
                <w:sz w:val="18"/>
                <w:szCs w:val="18"/>
              </w:rPr>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V1.0</w:t>
            </w:r>
          </w:p>
        </w:tc>
        <w:tc>
          <w:tcPr>
            <w:tcW w:w="1930"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39</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二维码扫描工具软件</w:t>
            </w:r>
            <w:r>
              <w:rPr>
                <w:rFonts w:ascii="Times New Roman" w:hAnsi="Times New Roman" w:cs="Times New Roman" w:eastAsia="Times New Roman" w:hint="default"/>
                <w:sz w:val="18"/>
                <w:szCs w:val="18"/>
              </w:rPr>
              <w:t>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0686019</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2014SR016775</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40</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w:t>
            </w:r>
            <w:r>
              <w:rPr>
                <w:rFonts w:ascii="Times New Roman" w:hAnsi="Times New Roman" w:cs="Times New Roman" w:eastAsia="Times New Roman" w:hint="default"/>
                <w:sz w:val="18"/>
                <w:szCs w:val="18"/>
              </w:rPr>
              <w:t>Android</w:t>
            </w:r>
            <w:r>
              <w:rPr>
                <w:rFonts w:ascii="宋体" w:hAnsi="宋体" w:cs="宋体" w:eastAsia="宋体" w:hint="default"/>
                <w:sz w:val="18"/>
                <w:szCs w:val="18"/>
              </w:rPr>
              <w:t>播放器软件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1589069</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2017SR003785</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41</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w:t>
            </w:r>
            <w:r>
              <w:rPr>
                <w:rFonts w:ascii="Times New Roman" w:hAnsi="Times New Roman" w:cs="Times New Roman" w:eastAsia="Times New Roman" w:hint="default"/>
                <w:sz w:val="18"/>
                <w:szCs w:val="18"/>
              </w:rPr>
              <w:t>ios</w:t>
            </w:r>
            <w:r>
              <w:rPr>
                <w:rFonts w:ascii="宋体" w:hAnsi="宋体" w:cs="宋体" w:eastAsia="宋体" w:hint="default"/>
                <w:sz w:val="18"/>
                <w:szCs w:val="18"/>
              </w:rPr>
              <w:t>播放器软件</w:t>
            </w:r>
            <w:r>
              <w:rPr>
                <w:rFonts w:ascii="Times New Roman" w:hAnsi="Times New Roman" w:cs="Times New Roman" w:eastAsia="Times New Roman" w:hint="default"/>
                <w:sz w:val="18"/>
                <w:szCs w:val="18"/>
              </w:rPr>
              <w:t>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1589200</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2017SR003916</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42</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嵌入式蓝牙</w:t>
            </w:r>
            <w:r>
              <w:rPr>
                <w:rFonts w:ascii="Times New Roman" w:hAnsi="Times New Roman" w:cs="Times New Roman" w:eastAsia="Times New Roman" w:hint="default"/>
                <w:sz w:val="18"/>
                <w:szCs w:val="18"/>
              </w:rPr>
              <w:t>BLE</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Server</w:t>
            </w:r>
            <w:r>
              <w:rPr>
                <w:rFonts w:ascii="宋体" w:hAnsi="宋体" w:cs="宋体" w:eastAsia="宋体" w:hint="default"/>
                <w:sz w:val="18"/>
                <w:szCs w:val="18"/>
              </w:rPr>
              <w:t>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2157763</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2017SR572479</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43</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iOS</w:t>
            </w:r>
            <w:r>
              <w:rPr>
                <w:rFonts w:ascii="宋体" w:hAnsi="宋体" w:cs="宋体" w:eastAsia="宋体" w:hint="default"/>
                <w:sz w:val="18"/>
                <w:szCs w:val="18"/>
              </w:rPr>
              <w:t>智能眼镜助手软剑</w:t>
            </w:r>
            <w:r>
              <w:rPr>
                <w:rFonts w:ascii="Times New Roman" w:hAnsi="Times New Roman" w:cs="Times New Roman" w:eastAsia="Times New Roman" w:hint="default"/>
                <w:sz w:val="18"/>
                <w:szCs w:val="18"/>
              </w:rPr>
              <w:t>V1.7</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2157788</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2017SR572504</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44</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Android</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ANCS</w:t>
            </w:r>
            <w:r>
              <w:rPr>
                <w:rFonts w:ascii="宋体" w:hAnsi="宋体" w:cs="宋体" w:eastAsia="宋体" w:hint="default"/>
                <w:sz w:val="18"/>
                <w:szCs w:val="18"/>
              </w:rPr>
              <w:t>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2157790</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2017SR572506</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45</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Manhattan</w:t>
            </w:r>
            <w:r>
              <w:rPr>
                <w:rFonts w:ascii="宋体" w:hAnsi="宋体" w:cs="宋体" w:eastAsia="宋体" w:hint="default"/>
                <w:sz w:val="18"/>
                <w:szCs w:val="18"/>
              </w:rPr>
              <w:t>编译软件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2194536</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2017SR609252</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Times New Roman" w:hAnsi="Times New Roman" w:cs="Times New Roman" w:eastAsia="Times New Roman" w:hint="default"/>
                <w:sz w:val="18"/>
                <w:szCs w:val="18"/>
              </w:rPr>
            </w:pPr>
            <w:r>
              <w:rPr>
                <w:rFonts w:ascii="Times New Roman"/>
                <w:sz w:val="18"/>
              </w:rPr>
              <w:t>46</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USBCloner</w:t>
            </w:r>
            <w:r>
              <w:rPr>
                <w:rFonts w:ascii="宋体" w:hAnsi="宋体" w:cs="宋体" w:eastAsia="宋体" w:hint="default"/>
                <w:sz w:val="18"/>
                <w:szCs w:val="18"/>
              </w:rPr>
              <w:t>烧录工具软件</w:t>
            </w:r>
            <w:r>
              <w:rPr>
                <w:rFonts w:ascii="Times New Roman" w:hAnsi="Times New Roman" w:cs="Times New Roman" w:eastAsia="Times New Roman" w:hint="default"/>
                <w:sz w:val="18"/>
                <w:szCs w:val="18"/>
              </w:rPr>
              <w:t>V2.2.0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2206497</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2017SR621213</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47</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君正媒体设备控制软件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4530296</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2019SR1109539</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48</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w:t>
            </w:r>
            <w:r>
              <w:rPr>
                <w:rFonts w:ascii="Times New Roman" w:hAnsi="Times New Roman" w:cs="Times New Roman" w:eastAsia="Times New Roman" w:hint="default"/>
                <w:sz w:val="18"/>
                <w:szCs w:val="18"/>
              </w:rPr>
              <w:t>DirectFB-Lite</w:t>
            </w:r>
            <w:r>
              <w:rPr>
                <w:rFonts w:ascii="宋体" w:hAnsi="宋体" w:cs="宋体" w:eastAsia="宋体" w:hint="default"/>
                <w:sz w:val="18"/>
                <w:szCs w:val="18"/>
              </w:rPr>
              <w:t>智能家居交互软件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4530273</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2019SR1109516</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49</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w:t>
            </w:r>
            <w:r>
              <w:rPr>
                <w:rFonts w:ascii="Times New Roman" w:hAnsi="Times New Roman" w:cs="Times New Roman" w:eastAsia="Times New Roman" w:hint="default"/>
                <w:sz w:val="18"/>
                <w:szCs w:val="18"/>
              </w:rPr>
              <w:t>AWTK</w:t>
            </w:r>
            <w:r>
              <w:rPr>
                <w:rFonts w:ascii="宋体" w:hAnsi="宋体" w:cs="宋体" w:eastAsia="宋体" w:hint="default"/>
                <w:sz w:val="18"/>
                <w:szCs w:val="18"/>
              </w:rPr>
              <w:t>智能抽油烟机交互软件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4530368</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2019SR1109611</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50</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w:t>
            </w:r>
            <w:r>
              <w:rPr>
                <w:rFonts w:ascii="Times New Roman" w:hAnsi="Times New Roman" w:cs="Times New Roman" w:eastAsia="Times New Roman" w:hint="default"/>
                <w:sz w:val="18"/>
                <w:szCs w:val="18"/>
              </w:rPr>
              <w:t>MiniGUI</w:t>
            </w:r>
            <w:r>
              <w:rPr>
                <w:rFonts w:ascii="宋体" w:hAnsi="宋体" w:cs="宋体" w:eastAsia="宋体" w:hint="default"/>
                <w:sz w:val="18"/>
                <w:szCs w:val="18"/>
              </w:rPr>
              <w:t>智能烤箱交互软件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4530372</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2019SR1109615</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51</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w:t>
            </w:r>
            <w:r>
              <w:rPr>
                <w:rFonts w:ascii="Times New Roman" w:hAnsi="Times New Roman" w:cs="Times New Roman" w:eastAsia="Times New Roman" w:hint="default"/>
                <w:sz w:val="18"/>
                <w:szCs w:val="18"/>
              </w:rPr>
              <w:t>IPCMessage</w:t>
            </w:r>
            <w:r>
              <w:rPr>
                <w:rFonts w:ascii="宋体" w:hAnsi="宋体" w:cs="宋体" w:eastAsia="宋体" w:hint="default"/>
                <w:sz w:val="18"/>
                <w:szCs w:val="18"/>
              </w:rPr>
              <w:t>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4549997</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2019SR1129240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52</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君正网络管理软件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4550006</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2019SR1129249</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53</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君正量产测试软件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4536220</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2019SR1115463</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54</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进度条延迟测试软件</w:t>
            </w:r>
            <w:r>
              <w:rPr>
                <w:rFonts w:ascii="Times New Roman" w:hAnsi="Times New Roman" w:cs="Times New Roman" w:eastAsia="Times New Roman" w:hint="default"/>
                <w:sz w:val="18"/>
                <w:szCs w:val="18"/>
              </w:rPr>
              <w:t>1.0.0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0971556</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2015SR084470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合肥君正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55</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DoorBell</w:t>
            </w:r>
            <w:r>
              <w:rPr>
                <w:rFonts w:ascii="宋体" w:hAnsi="宋体" w:cs="宋体" w:eastAsia="宋体" w:hint="default"/>
                <w:sz w:val="18"/>
                <w:szCs w:val="18"/>
              </w:rPr>
              <w:t>语音双通软件</w:t>
            </w:r>
            <w:r>
              <w:rPr>
                <w:rFonts w:ascii="Times New Roman" w:hAnsi="Times New Roman" w:cs="Times New Roman" w:eastAsia="Times New Roman" w:hint="default"/>
                <w:sz w:val="18"/>
                <w:szCs w:val="18"/>
              </w:rPr>
              <w:t>1.0.0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1085160</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2015SR198074</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合肥君正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56</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ienc</w:t>
            </w:r>
            <w:r>
              <w:rPr>
                <w:rFonts w:ascii="宋体" w:hAnsi="宋体" w:cs="宋体" w:eastAsia="宋体" w:hint="default"/>
                <w:sz w:val="18"/>
                <w:szCs w:val="18"/>
              </w:rPr>
              <w:t>编码器系统</w:t>
            </w:r>
            <w:r>
              <w:rPr>
                <w:rFonts w:ascii="Times New Roman" w:hAnsi="Times New Roman" w:cs="Times New Roman" w:eastAsia="Times New Roman" w:hint="default"/>
                <w:sz w:val="18"/>
                <w:szCs w:val="18"/>
              </w:rPr>
              <w:t>1.0.0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1085378</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2015SR198292</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13"/>
              <w:jc w:val="right"/>
              <w:rPr>
                <w:rFonts w:ascii="宋体" w:hAnsi="宋体" w:cs="宋体" w:eastAsia="宋体" w:hint="default"/>
                <w:sz w:val="18"/>
                <w:szCs w:val="18"/>
              </w:rPr>
            </w:pPr>
            <w:r>
              <w:rPr>
                <w:rFonts w:ascii="宋体" w:hAnsi="宋体" w:cs="宋体" w:eastAsia="宋体" w:hint="default"/>
                <w:sz w:val="18"/>
                <w:szCs w:val="18"/>
              </w:rPr>
              <w:t>合肥君正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57</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IOS</w:t>
            </w:r>
            <w:r>
              <w:rPr>
                <w:rFonts w:ascii="宋体" w:hAnsi="宋体" w:cs="宋体" w:eastAsia="宋体" w:hint="default"/>
                <w:sz w:val="18"/>
                <w:szCs w:val="18"/>
              </w:rPr>
              <w:t>实时视频软件</w:t>
            </w:r>
            <w:r>
              <w:rPr>
                <w:rFonts w:ascii="Times New Roman" w:hAnsi="Times New Roman" w:cs="Times New Roman" w:eastAsia="Times New Roman" w:hint="default"/>
                <w:sz w:val="18"/>
                <w:szCs w:val="18"/>
              </w:rPr>
              <w:t>1.0.0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1085407</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2015SR198321</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合肥君正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58</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智能视频语音监控系统</w:t>
            </w:r>
            <w:r>
              <w:rPr>
                <w:rFonts w:ascii="Times New Roman" w:hAnsi="Times New Roman" w:cs="Times New Roman" w:eastAsia="Times New Roman" w:hint="default"/>
                <w:sz w:val="18"/>
                <w:szCs w:val="18"/>
              </w:rPr>
              <w:t>1.0.0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1269904</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2016SR091287</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合肥君正</w:t>
            </w:r>
          </w:p>
        </w:tc>
      </w:tr>
      <w:tr>
        <w:trPr>
          <w:trHeight w:val="65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59</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pacing w:val="2"/>
                <w:sz w:val="18"/>
                <w:szCs w:val="18"/>
              </w:rPr>
              <w:t>基于智能监控视频的</w:t>
            </w:r>
            <w:r>
              <w:rPr>
                <w:rFonts w:ascii="Times New Roman" w:hAnsi="Times New Roman" w:cs="Times New Roman" w:eastAsia="Times New Roman" w:hint="default"/>
                <w:spacing w:val="2"/>
                <w:sz w:val="18"/>
                <w:szCs w:val="18"/>
              </w:rPr>
              <w:t>QQ</w:t>
            </w:r>
            <w:r>
              <w:rPr>
                <w:rFonts w:ascii="宋体" w:hAnsi="宋体" w:cs="宋体" w:eastAsia="宋体" w:hint="default"/>
                <w:spacing w:val="2"/>
                <w:sz w:val="18"/>
                <w:szCs w:val="18"/>
              </w:rPr>
              <w:t>物联采集端控制软件</w:t>
            </w:r>
          </w:p>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1269871</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2016SR091254</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合肥君正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60</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视频监控主控</w:t>
            </w:r>
            <w:r>
              <w:rPr>
                <w:rFonts w:ascii="Times New Roman" w:hAnsi="Times New Roman" w:cs="Times New Roman" w:eastAsia="Times New Roman" w:hint="default"/>
                <w:sz w:val="18"/>
                <w:szCs w:val="18"/>
              </w:rPr>
              <w:t>CPU</w:t>
            </w:r>
            <w:r>
              <w:rPr>
                <w:rFonts w:ascii="宋体" w:hAnsi="宋体" w:cs="宋体" w:eastAsia="宋体" w:hint="default"/>
                <w:sz w:val="18"/>
                <w:szCs w:val="18"/>
              </w:rPr>
              <w:t>指令集验证</w:t>
            </w:r>
            <w:r>
              <w:rPr>
                <w:rFonts w:ascii="Times New Roman" w:hAnsi="Times New Roman" w:cs="Times New Roman" w:eastAsia="Times New Roman" w:hint="default"/>
                <w:sz w:val="18"/>
                <w:szCs w:val="18"/>
              </w:rPr>
              <w:t>IRG</w:t>
            </w:r>
            <w:r>
              <w:rPr>
                <w:rFonts w:ascii="宋体" w:hAnsi="宋体" w:cs="宋体" w:eastAsia="宋体" w:hint="default"/>
                <w:sz w:val="18"/>
                <w:szCs w:val="18"/>
              </w:rPr>
              <w:t>系统</w:t>
            </w:r>
            <w:r>
              <w:rPr>
                <w:rFonts w:ascii="Times New Roman" w:hAnsi="Times New Roman" w:cs="Times New Roman" w:eastAsia="Times New Roman" w:hint="default"/>
                <w:sz w:val="18"/>
                <w:szCs w:val="18"/>
              </w:rPr>
              <w:t>V2.20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1268946</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2016SR090329</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合肥君正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61</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视频监控主控</w:t>
            </w:r>
            <w:r>
              <w:rPr>
                <w:rFonts w:ascii="Times New Roman" w:hAnsi="Times New Roman" w:cs="Times New Roman" w:eastAsia="Times New Roman" w:hint="default"/>
                <w:sz w:val="18"/>
                <w:szCs w:val="18"/>
              </w:rPr>
              <w:t>CPU</w:t>
            </w:r>
            <w:r>
              <w:rPr>
                <w:rFonts w:ascii="宋体" w:hAnsi="宋体" w:cs="宋体" w:eastAsia="宋体" w:hint="default"/>
                <w:sz w:val="18"/>
                <w:szCs w:val="18"/>
              </w:rPr>
              <w:t>全模拟器软件</w:t>
            </w:r>
            <w:r>
              <w:rPr>
                <w:rFonts w:ascii="Times New Roman" w:hAnsi="Times New Roman" w:cs="Times New Roman" w:eastAsia="Times New Roman" w:hint="default"/>
                <w:sz w:val="18"/>
                <w:szCs w:val="18"/>
              </w:rPr>
              <w:t>V2.20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1269911</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2016SR091294</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合肥君正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62</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视频监控主控</w:t>
            </w:r>
            <w:r>
              <w:rPr>
                <w:rFonts w:ascii="Times New Roman" w:hAnsi="Times New Roman" w:cs="Times New Roman" w:eastAsia="Times New Roman" w:hint="default"/>
                <w:sz w:val="18"/>
                <w:szCs w:val="18"/>
              </w:rPr>
              <w:t>CPU</w:t>
            </w:r>
            <w:r>
              <w:rPr>
                <w:rFonts w:ascii="宋体" w:hAnsi="宋体" w:cs="宋体" w:eastAsia="宋体" w:hint="default"/>
                <w:sz w:val="18"/>
                <w:szCs w:val="18"/>
              </w:rPr>
              <w:t>模拟器</w:t>
            </w:r>
            <w:r>
              <w:rPr>
                <w:rFonts w:ascii="Times New Roman" w:hAnsi="Times New Roman" w:cs="Times New Roman" w:eastAsia="Times New Roman" w:hint="default"/>
                <w:sz w:val="18"/>
                <w:szCs w:val="18"/>
              </w:rPr>
              <w:t>Trace</w:t>
            </w:r>
            <w:r>
              <w:rPr>
                <w:rFonts w:ascii="宋体" w:hAnsi="宋体" w:cs="宋体" w:eastAsia="宋体" w:hint="default"/>
                <w:sz w:val="18"/>
                <w:szCs w:val="18"/>
              </w:rPr>
              <w:t>系统</w:t>
            </w:r>
            <w:r>
              <w:rPr>
                <w:rFonts w:ascii="Times New Roman" w:hAnsi="Times New Roman" w:cs="Times New Roman" w:eastAsia="Times New Roman" w:hint="default"/>
                <w:sz w:val="18"/>
                <w:szCs w:val="18"/>
              </w:rPr>
              <w:t>V2.0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1268949</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2016SR090332</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合肥君正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63</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图像传感器原始数据视频显示软件</w:t>
            </w:r>
            <w:r>
              <w:rPr>
                <w:rFonts w:ascii="Times New Roman" w:hAnsi="Times New Roman" w:cs="Times New Roman" w:eastAsia="Times New Roman" w:hint="default"/>
                <w:sz w:val="18"/>
                <w:szCs w:val="18"/>
              </w:rPr>
              <w:t>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1268943</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2016SR090326</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合肥君正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64</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ISP</w:t>
            </w:r>
            <w:r>
              <w:rPr>
                <w:rFonts w:ascii="宋体" w:hAnsi="宋体" w:cs="宋体" w:eastAsia="宋体" w:hint="default"/>
                <w:sz w:val="18"/>
                <w:szCs w:val="18"/>
              </w:rPr>
              <w:t>调试工具</w:t>
            </w:r>
            <w:r>
              <w:rPr>
                <w:rFonts w:ascii="Times New Roman" w:hAnsi="Times New Roman" w:cs="Times New Roman" w:eastAsia="Times New Roman" w:hint="default"/>
                <w:sz w:val="18"/>
                <w:szCs w:val="18"/>
              </w:rPr>
              <w:t>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1987603</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2017SR402319</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13"/>
              <w:jc w:val="right"/>
              <w:rPr>
                <w:rFonts w:ascii="宋体" w:hAnsi="宋体" w:cs="宋体" w:eastAsia="宋体" w:hint="default"/>
                <w:sz w:val="18"/>
                <w:szCs w:val="18"/>
              </w:rPr>
            </w:pPr>
            <w:r>
              <w:rPr>
                <w:rFonts w:ascii="宋体" w:hAnsi="宋体" w:cs="宋体" w:eastAsia="宋体" w:hint="default"/>
                <w:sz w:val="18"/>
                <w:szCs w:val="18"/>
              </w:rPr>
              <w:t>合肥君正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65</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w:t>
            </w:r>
            <w:r>
              <w:rPr>
                <w:rFonts w:ascii="Times New Roman" w:hAnsi="Times New Roman" w:cs="Times New Roman" w:eastAsia="Times New Roman" w:hint="default"/>
                <w:sz w:val="18"/>
                <w:szCs w:val="18"/>
              </w:rPr>
              <w:t>SoC</w:t>
            </w:r>
            <w:r>
              <w:rPr>
                <w:rFonts w:ascii="宋体" w:hAnsi="宋体" w:cs="宋体" w:eastAsia="宋体" w:hint="default"/>
                <w:sz w:val="18"/>
                <w:szCs w:val="18"/>
              </w:rPr>
              <w:t>芯片开发验证平台工具软件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4507190</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2019SR1086433</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合肥君正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66</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w:t>
            </w:r>
            <w:r>
              <w:rPr>
                <w:rFonts w:ascii="Times New Roman" w:hAnsi="Times New Roman" w:cs="Times New Roman" w:eastAsia="Times New Roman" w:hint="default"/>
                <w:sz w:val="18"/>
                <w:szCs w:val="18"/>
              </w:rPr>
              <w:t>CPU test engine</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kernel</w:t>
            </w:r>
            <w:r>
              <w:rPr>
                <w:rFonts w:ascii="宋体" w:hAnsi="宋体" w:cs="宋体" w:eastAsia="宋体" w:hint="default"/>
                <w:sz w:val="18"/>
                <w:szCs w:val="18"/>
              </w:rPr>
              <w:t>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4507182</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2019SR1086425</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合肥君正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67</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w:t>
            </w:r>
            <w:r>
              <w:rPr>
                <w:rFonts w:ascii="Times New Roman" w:hAnsi="Times New Roman" w:cs="Times New Roman" w:eastAsia="Times New Roman" w:hint="default"/>
                <w:sz w:val="18"/>
                <w:szCs w:val="18"/>
              </w:rPr>
              <w:t>T01</w:t>
            </w:r>
            <w:r>
              <w:rPr>
                <w:rFonts w:ascii="宋体" w:hAnsi="宋体" w:cs="宋体" w:eastAsia="宋体" w:hint="default"/>
                <w:sz w:val="18"/>
                <w:szCs w:val="18"/>
              </w:rPr>
              <w:t>效果演示评估软</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4507175</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2019SR1086418</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合肥君正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68</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w:t>
            </w:r>
            <w:r>
              <w:rPr>
                <w:rFonts w:ascii="Times New Roman" w:hAnsi="Times New Roman" w:cs="Times New Roman" w:eastAsia="Times New Roman" w:hint="default"/>
                <w:sz w:val="18"/>
                <w:szCs w:val="18"/>
              </w:rPr>
              <w:t>T02</w:t>
            </w:r>
            <w:r>
              <w:rPr>
                <w:rFonts w:ascii="宋体" w:hAnsi="宋体" w:cs="宋体" w:eastAsia="宋体" w:hint="default"/>
                <w:sz w:val="18"/>
                <w:szCs w:val="18"/>
              </w:rPr>
              <w:t>效果演示评估软</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4506617</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2019SR1085860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合肥君正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69</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w:t>
            </w:r>
            <w:r>
              <w:rPr>
                <w:rFonts w:ascii="Times New Roman" w:hAnsi="Times New Roman" w:cs="Times New Roman" w:eastAsia="Times New Roman" w:hint="default"/>
                <w:sz w:val="18"/>
                <w:szCs w:val="18"/>
              </w:rPr>
              <w:t>CLM</w:t>
            </w:r>
            <w:r>
              <w:rPr>
                <w:rFonts w:ascii="宋体" w:hAnsi="宋体" w:cs="宋体" w:eastAsia="宋体" w:hint="default"/>
                <w:sz w:val="18"/>
                <w:szCs w:val="18"/>
              </w:rPr>
              <w:t>模块调试软件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4507196</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2019SR1086439</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合肥君正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70</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w:t>
            </w:r>
            <w:r>
              <w:rPr>
                <w:rFonts w:ascii="Times New Roman" w:hAnsi="Times New Roman" w:cs="Times New Roman" w:eastAsia="Times New Roman" w:hint="default"/>
                <w:sz w:val="18"/>
                <w:szCs w:val="18"/>
              </w:rPr>
              <w:t>Nexta-Aide</w:t>
            </w:r>
            <w:r>
              <w:rPr>
                <w:rFonts w:ascii="宋体" w:hAnsi="宋体" w:cs="宋体" w:eastAsia="宋体" w:hint="default"/>
                <w:sz w:val="18"/>
                <w:szCs w:val="18"/>
              </w:rPr>
              <w:t>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4511679</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2019SR1090922</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合肥君正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71</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w:t>
            </w:r>
            <w:r>
              <w:rPr>
                <w:rFonts w:ascii="Times New Roman" w:hAnsi="Times New Roman" w:cs="Times New Roman" w:eastAsia="Times New Roman" w:hint="default"/>
                <w:sz w:val="18"/>
                <w:szCs w:val="18"/>
              </w:rPr>
              <w:t>ZRTCam IOS</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AppV1.0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4611601</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2019SR1090844</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合肥君正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72</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w:t>
            </w:r>
            <w:r>
              <w:rPr>
                <w:rFonts w:ascii="Times New Roman" w:hAnsi="Times New Roman" w:cs="Times New Roman" w:eastAsia="Times New Roman" w:hint="default"/>
                <w:sz w:val="18"/>
                <w:szCs w:val="18"/>
              </w:rPr>
              <w:t>ZRTCam Android</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AppV1.0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4611597</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2019SR1090840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合肥君正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73</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君正图像格式转换软件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4797329</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2019SR1376572</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合肥君正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74</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w:t>
            </w:r>
            <w:r>
              <w:rPr>
                <w:rFonts w:ascii="Times New Roman" w:hAnsi="Times New Roman" w:cs="Times New Roman" w:eastAsia="Times New Roman" w:hint="default"/>
                <w:sz w:val="18"/>
                <w:szCs w:val="18"/>
              </w:rPr>
              <w:t>SRAM</w:t>
            </w:r>
            <w:r>
              <w:rPr>
                <w:rFonts w:ascii="宋体" w:hAnsi="宋体" w:cs="宋体" w:eastAsia="宋体" w:hint="default"/>
                <w:sz w:val="18"/>
                <w:szCs w:val="18"/>
              </w:rPr>
              <w:t>自动生成工具</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4700597</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2019SR1279840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合肥君正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75</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君正人脸闸机管理系统</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4700577</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2019SR1279820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合肥君正</w:t>
            </w:r>
          </w:p>
        </w:tc>
      </w:tr>
    </w:tbl>
    <w:p>
      <w:pPr>
        <w:spacing w:after="0" w:line="240" w:lineRule="auto"/>
        <w:jc w:val="right"/>
        <w:rPr>
          <w:rFonts w:ascii="宋体" w:hAnsi="宋体" w:cs="宋体" w:eastAsia="宋体" w:hint="default"/>
          <w:sz w:val="18"/>
          <w:szCs w:val="18"/>
        </w:rPr>
        <w:sectPr>
          <w:pgSz w:w="11910" w:h="16840"/>
          <w:pgMar w:header="745" w:footer="979" w:top="1060" w:bottom="1160" w:left="7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624"/>
        <w:gridCol w:w="3572"/>
        <w:gridCol w:w="1930"/>
        <w:gridCol w:w="1474"/>
        <w:gridCol w:w="1532"/>
        <w:gridCol w:w="962"/>
      </w:tblGrid>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b/>
                <w:bCs/>
                <w:sz w:val="18"/>
                <w:szCs w:val="18"/>
              </w:rPr>
              <w:t>授权日</w:t>
            </w:r>
            <w:r>
              <w:rPr>
                <w:rFonts w:ascii="宋体" w:hAnsi="宋体" w:cs="宋体" w:eastAsia="宋体" w:hint="default"/>
                <w:sz w:val="18"/>
                <w:szCs w:val="18"/>
              </w:rPr>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11"/>
              <w:jc w:val="right"/>
              <w:rPr>
                <w:rFonts w:ascii="宋体" w:hAnsi="宋体" w:cs="宋体" w:eastAsia="宋体" w:hint="default"/>
                <w:sz w:val="18"/>
                <w:szCs w:val="18"/>
              </w:rPr>
            </w:pPr>
            <w:r>
              <w:rPr>
                <w:rFonts w:ascii="宋体" w:hAnsi="宋体" w:cs="宋体" w:eastAsia="宋体" w:hint="default"/>
                <w:b/>
                <w:bCs/>
                <w:w w:val="95"/>
                <w:sz w:val="18"/>
                <w:szCs w:val="18"/>
              </w:rPr>
              <w:t>所有权人</w:t>
            </w:r>
            <w:r>
              <w:rPr>
                <w:rFonts w:ascii="宋体" w:hAnsi="宋体" w:cs="宋体" w:eastAsia="宋体" w:hint="default"/>
                <w:sz w:val="18"/>
                <w:szCs w:val="18"/>
              </w:rPr>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76</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君正处理器模拟库软件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4630247</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2019SR1109490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合肥君正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77</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君正无线软件系统</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0464592</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2012SR096556</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君正时代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78</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w:t>
            </w:r>
            <w:r>
              <w:rPr>
                <w:rFonts w:ascii="Times New Roman" w:hAnsi="Times New Roman" w:cs="Times New Roman" w:eastAsia="Times New Roman" w:hint="default"/>
                <w:sz w:val="18"/>
                <w:szCs w:val="18"/>
              </w:rPr>
              <w:t>android</w:t>
            </w:r>
            <w:r>
              <w:rPr>
                <w:rFonts w:ascii="宋体" w:hAnsi="宋体" w:cs="宋体" w:eastAsia="宋体" w:hint="default"/>
                <w:sz w:val="18"/>
                <w:szCs w:val="18"/>
              </w:rPr>
              <w:t>平台</w:t>
            </w:r>
            <w:r>
              <w:rPr>
                <w:rFonts w:ascii="Times New Roman" w:hAnsi="Times New Roman" w:cs="Times New Roman" w:eastAsia="Times New Roman" w:hint="default"/>
                <w:sz w:val="18"/>
                <w:szCs w:val="18"/>
              </w:rPr>
              <w:t>3G</w:t>
            </w:r>
            <w:r>
              <w:rPr>
                <w:rFonts w:ascii="宋体" w:hAnsi="宋体" w:cs="宋体" w:eastAsia="宋体" w:hint="default"/>
                <w:sz w:val="18"/>
                <w:szCs w:val="18"/>
              </w:rPr>
              <w:t>新系统</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0464595</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2012SR096559</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君正时代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79</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w:t>
            </w:r>
            <w:r>
              <w:rPr>
                <w:rFonts w:ascii="Times New Roman" w:hAnsi="Times New Roman" w:cs="Times New Roman" w:eastAsia="Times New Roman" w:hint="default"/>
                <w:sz w:val="18"/>
                <w:szCs w:val="18"/>
              </w:rPr>
              <w:t>Pretest</w:t>
            </w:r>
            <w:r>
              <w:rPr>
                <w:rFonts w:ascii="宋体" w:hAnsi="宋体" w:cs="宋体" w:eastAsia="宋体" w:hint="default"/>
                <w:sz w:val="18"/>
                <w:szCs w:val="18"/>
              </w:rPr>
              <w:t>板端测试软件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0464597</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2012SR096561</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君正时代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80</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君正媒体播放器软件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0464596</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2012SR096560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君正时代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81</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w:t>
            </w:r>
            <w:r>
              <w:rPr>
                <w:rFonts w:ascii="Times New Roman" w:hAnsi="Times New Roman" w:cs="Times New Roman" w:eastAsia="Times New Roman" w:hint="default"/>
                <w:sz w:val="18"/>
                <w:szCs w:val="18"/>
              </w:rPr>
              <w:t>MusicPlayer</w:t>
            </w:r>
            <w:r>
              <w:rPr>
                <w:rFonts w:ascii="宋体" w:hAnsi="宋体" w:cs="宋体" w:eastAsia="宋体" w:hint="default"/>
                <w:sz w:val="18"/>
                <w:szCs w:val="18"/>
              </w:rPr>
              <w:t>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0464602</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2012SR096566</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君正时代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82</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君正电池助手软件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0465343</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2012SR097307</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君正时代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83</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w:t>
            </w:r>
            <w:r>
              <w:rPr>
                <w:rFonts w:ascii="Times New Roman" w:hAnsi="Times New Roman" w:cs="Times New Roman" w:eastAsia="Times New Roman" w:hint="default"/>
                <w:sz w:val="18"/>
                <w:szCs w:val="18"/>
              </w:rPr>
              <w:t>Remote</w:t>
            </w:r>
            <w:r>
              <w:rPr>
                <w:rFonts w:ascii="宋体" w:hAnsi="宋体" w:cs="宋体" w:eastAsia="宋体" w:hint="default"/>
                <w:sz w:val="18"/>
                <w:szCs w:val="18"/>
              </w:rPr>
              <w:t>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0654977</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2013SR149215</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君正时代</w:t>
            </w:r>
          </w:p>
        </w:tc>
      </w:tr>
      <w:tr>
        <w:trPr>
          <w:trHeight w:val="34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Times New Roman" w:hAnsi="Times New Roman" w:cs="Times New Roman" w:eastAsia="Times New Roman" w:hint="default"/>
                <w:sz w:val="18"/>
                <w:szCs w:val="18"/>
              </w:rPr>
            </w:pPr>
            <w:r>
              <w:rPr>
                <w:rFonts w:ascii="Times New Roman"/>
                <w:sz w:val="18"/>
              </w:rPr>
              <w:t>84</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w:t>
            </w:r>
            <w:r>
              <w:rPr>
                <w:rFonts w:ascii="Times New Roman" w:hAnsi="Times New Roman" w:cs="Times New Roman" w:eastAsia="Times New Roman" w:hint="default"/>
                <w:sz w:val="18"/>
                <w:szCs w:val="18"/>
              </w:rPr>
              <w:t>WiFi</w:t>
            </w:r>
            <w:r>
              <w:rPr>
                <w:rFonts w:ascii="宋体" w:hAnsi="宋体" w:cs="宋体" w:eastAsia="宋体" w:hint="default"/>
                <w:sz w:val="18"/>
                <w:szCs w:val="18"/>
              </w:rPr>
              <w:t>音箱</w:t>
            </w:r>
            <w:r>
              <w:rPr>
                <w:rFonts w:ascii="Times New Roman" w:hAnsi="Times New Roman" w:cs="Times New Roman" w:eastAsia="Times New Roman" w:hint="default"/>
                <w:sz w:val="18"/>
                <w:szCs w:val="18"/>
              </w:rPr>
              <w:t>SmartConfig</w:t>
            </w:r>
            <w:r>
              <w:rPr>
                <w:rFonts w:ascii="宋体" w:hAnsi="宋体" w:cs="宋体" w:eastAsia="宋体" w:hint="default"/>
                <w:sz w:val="18"/>
                <w:szCs w:val="18"/>
              </w:rPr>
              <w:t>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0656320</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2013SR150558</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君正时代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85</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w:t>
            </w:r>
            <w:r>
              <w:rPr>
                <w:rFonts w:ascii="Times New Roman" w:hAnsi="Times New Roman" w:cs="Times New Roman" w:eastAsia="Times New Roman" w:hint="default"/>
                <w:sz w:val="18"/>
                <w:szCs w:val="18"/>
              </w:rPr>
              <w:t>DLNA</w:t>
            </w:r>
            <w:r>
              <w:rPr>
                <w:rFonts w:ascii="宋体" w:hAnsi="宋体" w:cs="宋体" w:eastAsia="宋体" w:hint="default"/>
                <w:sz w:val="18"/>
                <w:szCs w:val="18"/>
              </w:rPr>
              <w:t>控制端软件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0666281</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2013SR160519</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君正时代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86</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w:t>
            </w:r>
            <w:r>
              <w:rPr>
                <w:rFonts w:ascii="Times New Roman" w:hAnsi="Times New Roman" w:cs="Times New Roman" w:eastAsia="Times New Roman" w:hint="default"/>
                <w:sz w:val="18"/>
                <w:szCs w:val="18"/>
              </w:rPr>
              <w:t>CPU</w:t>
            </w:r>
            <w:r>
              <w:rPr>
                <w:rFonts w:ascii="宋体" w:hAnsi="宋体" w:cs="宋体" w:eastAsia="宋体" w:hint="default"/>
                <w:sz w:val="18"/>
                <w:szCs w:val="18"/>
              </w:rPr>
              <w:t>频率调节软件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0669741</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2014SR000497</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君正时代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87</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君正主题软件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1061973</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2015SR174887</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君正时代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88</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君正远程音乐播放器软件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1061615</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2015SR174529</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君正时代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89</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君正本地音乐播放器软件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1062147</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2015SR175061</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君正时代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90</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君正月相软件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1062149</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2015SR175063</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君正时代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91</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君正天气预报软件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1065107</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2015SR178021</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君正时代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92</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君正运动与健康软件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1065108</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2015SR178022</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君正时代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93</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君正通讯中心软件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1529333</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2016SR350717</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君正时代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94</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君正闹钟软件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1529400</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2016SR350784</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13"/>
              <w:jc w:val="right"/>
              <w:rPr>
                <w:rFonts w:ascii="宋体" w:hAnsi="宋体" w:cs="宋体" w:eastAsia="宋体" w:hint="default"/>
                <w:sz w:val="18"/>
                <w:szCs w:val="18"/>
              </w:rPr>
            </w:pPr>
            <w:r>
              <w:rPr>
                <w:rFonts w:ascii="宋体" w:hAnsi="宋体" w:cs="宋体" w:eastAsia="宋体" w:hint="default"/>
                <w:sz w:val="18"/>
                <w:szCs w:val="18"/>
              </w:rPr>
              <w:t>君正时代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95</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君正语音助手软件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1529387</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2016SR350771</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君正时代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96</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君正找手机或手表软件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1529381</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2016SR350765</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君正时代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97</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君正消息中心软件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1529394</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2016SR350778</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君正时代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98</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君正远程相机软件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1531127</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2016SR352511</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君正时代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99</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君正工业自动识别软件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4009506</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2019SR0588749</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君正时代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100</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君正智能家居显示面板软件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4009517</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2019SR0588760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君正时代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101</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君正智能门禁软件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4057905</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2019SR0637148</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君正时代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102</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君正离线语音控制软件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4057921</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2019SR0637164</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君正时代</w:t>
            </w:r>
          </w:p>
        </w:tc>
      </w:tr>
      <w:tr>
        <w:trPr>
          <w:trHeight w:val="34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Times New Roman" w:hAnsi="Times New Roman" w:cs="Times New Roman" w:eastAsia="Times New Roman" w:hint="default"/>
                <w:sz w:val="18"/>
                <w:szCs w:val="18"/>
              </w:rPr>
            </w:pPr>
            <w:r>
              <w:rPr>
                <w:rFonts w:ascii="Times New Roman"/>
                <w:sz w:val="18"/>
              </w:rPr>
              <w:t>103</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君正智能人脸锁软件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4057114</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2019SR0636357</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君正时代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104</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君正智能显示音箱控制软件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4057436</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2019SR0636679</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君正时代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105</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君正智能射频解锁软件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4057447</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2019SR0636690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君正时代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106</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君正智能指纹锁解锁软件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4057454</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2019SR0636697</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君正时代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107</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君正图像识别控制软件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4569537</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2019SR1148780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君正时代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108</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君正坐姿识别控制软件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4569542</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2019SR1148785</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君正时代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109</w:t>
            </w:r>
          </w:p>
        </w:tc>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君正条码识别控制软件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4569547</w:t>
            </w:r>
            <w:r>
              <w:rPr>
                <w:rFonts w:ascii="宋体" w:hAnsi="宋体" w:cs="宋体" w:eastAsia="宋体" w:hint="default"/>
                <w:sz w:val="18"/>
                <w:szCs w:val="18"/>
              </w:rPr>
              <w:t>号</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2019SR1148790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君正时代</w:t>
            </w:r>
          </w:p>
        </w:tc>
      </w:tr>
    </w:tbl>
    <w:p>
      <w:pPr>
        <w:pStyle w:val="BodyText"/>
        <w:spacing w:line="240" w:lineRule="auto" w:before="49"/>
        <w:ind w:left="352" w:right="0"/>
        <w:jc w:val="left"/>
      </w:pPr>
      <w:r>
        <w:rPr>
          <w:rFonts w:ascii="Times New Roman" w:hAnsi="Times New Roman" w:cs="Times New Roman" w:eastAsia="Times New Roman" w:hint="default"/>
        </w:rPr>
        <w:t>(3)</w:t>
      </w:r>
      <w:r>
        <w:rPr/>
        <w:t>集成电路布图</w:t>
      </w:r>
    </w:p>
    <w:p>
      <w:pPr>
        <w:spacing w:line="240" w:lineRule="auto" w:before="1"/>
        <w:rPr>
          <w:rFonts w:ascii="宋体" w:hAnsi="宋体" w:cs="宋体" w:eastAsia="宋体" w:hint="default"/>
          <w:sz w:val="7"/>
          <w:szCs w:val="7"/>
        </w:rPr>
      </w:pPr>
    </w:p>
    <w:tbl>
      <w:tblPr>
        <w:tblW w:w="0" w:type="auto"/>
        <w:jc w:val="left"/>
        <w:tblInd w:w="400" w:type="dxa"/>
        <w:tblLayout w:type="fixed"/>
        <w:tblCellMar>
          <w:top w:w="0" w:type="dxa"/>
          <w:left w:w="0" w:type="dxa"/>
          <w:bottom w:w="0" w:type="dxa"/>
          <w:right w:w="0" w:type="dxa"/>
        </w:tblCellMar>
        <w:tblLook w:val="01E0"/>
      </w:tblPr>
      <w:tblGrid>
        <w:gridCol w:w="624"/>
        <w:gridCol w:w="2180"/>
        <w:gridCol w:w="1913"/>
        <w:gridCol w:w="1700"/>
        <w:gridCol w:w="1942"/>
        <w:gridCol w:w="1171"/>
      </w:tblGrid>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b/>
                <w:bCs/>
                <w:sz w:val="18"/>
                <w:szCs w:val="18"/>
              </w:rPr>
              <w:t>布局设计名称</w:t>
            </w:r>
            <w:r>
              <w:rPr>
                <w:rFonts w:ascii="宋体" w:hAnsi="宋体" w:cs="宋体" w:eastAsia="宋体" w:hint="default"/>
                <w:sz w:val="18"/>
                <w:szCs w:val="18"/>
              </w:rPr>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b/>
                <w:bCs/>
                <w:sz w:val="18"/>
                <w:szCs w:val="18"/>
              </w:rPr>
              <w:t>布局设计登记号</w:t>
            </w:r>
            <w:r>
              <w:rPr>
                <w:rFonts w:ascii="宋体" w:hAnsi="宋体" w:cs="宋体" w:eastAsia="宋体" w:hint="default"/>
                <w:sz w:val="18"/>
                <w:szCs w:val="18"/>
              </w:rPr>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登记证书号</w:t>
            </w:r>
            <w:r>
              <w:rPr>
                <w:rFonts w:ascii="宋体" w:hAnsi="宋体" w:cs="宋体" w:eastAsia="宋体" w:hint="default"/>
                <w:sz w:val="18"/>
                <w:szCs w:val="18"/>
              </w:rPr>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授权日</w:t>
            </w:r>
            <w:r>
              <w:rPr>
                <w:rFonts w:ascii="宋体" w:hAnsi="宋体" w:cs="宋体" w:eastAsia="宋体" w:hint="default"/>
                <w:sz w:val="18"/>
                <w:szCs w:val="18"/>
              </w:rPr>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所有权人</w:t>
            </w:r>
            <w:r>
              <w:rPr>
                <w:rFonts w:ascii="宋体" w:hAnsi="宋体" w:cs="宋体" w:eastAsia="宋体" w:hint="default"/>
                <w:sz w:val="18"/>
                <w:szCs w:val="18"/>
              </w:rPr>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1</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JZ4725B</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center"/>
              <w:rPr>
                <w:rFonts w:ascii="Times New Roman" w:hAnsi="Times New Roman" w:cs="Times New Roman" w:eastAsia="Times New Roman" w:hint="default"/>
                <w:sz w:val="18"/>
                <w:szCs w:val="18"/>
              </w:rPr>
            </w:pPr>
            <w:r>
              <w:rPr>
                <w:rFonts w:ascii="Times New Roman"/>
                <w:sz w:val="18"/>
              </w:rPr>
              <w:t>BS.10500857.5</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3867</w:t>
            </w:r>
            <w:r>
              <w:rPr>
                <w:rFonts w:ascii="宋体" w:hAnsi="宋体" w:cs="宋体" w:eastAsia="宋体" w:hint="default"/>
                <w:sz w:val="18"/>
                <w:szCs w:val="18"/>
              </w:rPr>
              <w:t>号</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JZ4730E</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BS.10500856.7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3866</w:t>
            </w:r>
            <w:r>
              <w:rPr>
                <w:rFonts w:ascii="宋体" w:hAnsi="宋体" w:cs="宋体" w:eastAsia="宋体" w:hint="default"/>
                <w:sz w:val="18"/>
                <w:szCs w:val="18"/>
              </w:rPr>
              <w:t>号</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3</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JZ4740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center"/>
              <w:rPr>
                <w:rFonts w:ascii="Times New Roman" w:hAnsi="Times New Roman" w:cs="Times New Roman" w:eastAsia="Times New Roman" w:hint="default"/>
                <w:sz w:val="18"/>
                <w:szCs w:val="18"/>
              </w:rPr>
            </w:pPr>
            <w:r>
              <w:rPr>
                <w:rFonts w:ascii="Times New Roman"/>
                <w:sz w:val="18"/>
              </w:rPr>
              <w:t>BS.10500848.6</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3865</w:t>
            </w:r>
            <w:r>
              <w:rPr>
                <w:rFonts w:ascii="宋体" w:hAnsi="宋体" w:cs="宋体" w:eastAsia="宋体" w:hint="default"/>
                <w:sz w:val="18"/>
                <w:szCs w:val="18"/>
              </w:rPr>
              <w:t>号</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bl>
    <w:p>
      <w:pPr>
        <w:spacing w:after="0" w:line="240" w:lineRule="auto"/>
        <w:jc w:val="center"/>
        <w:rPr>
          <w:rFonts w:ascii="宋体" w:hAnsi="宋体" w:cs="宋体" w:eastAsia="宋体" w:hint="default"/>
          <w:sz w:val="18"/>
          <w:szCs w:val="18"/>
        </w:rPr>
        <w:sectPr>
          <w:pgSz w:w="11910" w:h="16840"/>
          <w:pgMar w:header="745" w:footer="979" w:top="1060" w:bottom="1160" w:left="780" w:right="0"/>
        </w:sectPr>
      </w:pPr>
    </w:p>
    <w:p>
      <w:pPr>
        <w:spacing w:line="240" w:lineRule="auto" w:before="6"/>
        <w:rPr>
          <w:rFonts w:ascii="宋体" w:hAnsi="宋体" w:cs="宋体" w:eastAsia="宋体" w:hint="default"/>
          <w:sz w:val="28"/>
          <w:szCs w:val="28"/>
        </w:rPr>
      </w:pPr>
    </w:p>
    <w:tbl>
      <w:tblPr>
        <w:tblW w:w="0" w:type="auto"/>
        <w:jc w:val="left"/>
        <w:tblInd w:w="200" w:type="dxa"/>
        <w:tblLayout w:type="fixed"/>
        <w:tblCellMar>
          <w:top w:w="0" w:type="dxa"/>
          <w:left w:w="0" w:type="dxa"/>
          <w:bottom w:w="0" w:type="dxa"/>
          <w:right w:w="0" w:type="dxa"/>
        </w:tblCellMar>
        <w:tblLook w:val="01E0"/>
      </w:tblPr>
      <w:tblGrid>
        <w:gridCol w:w="624"/>
        <w:gridCol w:w="2180"/>
        <w:gridCol w:w="1913"/>
        <w:gridCol w:w="1700"/>
        <w:gridCol w:w="1942"/>
        <w:gridCol w:w="1171"/>
      </w:tblGrid>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
              <w:jc w:val="center"/>
              <w:rPr>
                <w:rFonts w:ascii="宋体" w:hAnsi="宋体" w:cs="宋体" w:eastAsia="宋体" w:hint="default"/>
                <w:sz w:val="18"/>
                <w:szCs w:val="18"/>
              </w:rPr>
            </w:pPr>
            <w:r>
              <w:rPr>
                <w:rFonts w:ascii="宋体" w:hAnsi="宋体" w:cs="宋体" w:eastAsia="宋体" w:hint="default"/>
                <w:b/>
                <w:bCs/>
                <w:sz w:val="18"/>
                <w:szCs w:val="18"/>
              </w:rPr>
              <w:t>布局设计名称</w:t>
            </w:r>
            <w:r>
              <w:rPr>
                <w:rFonts w:ascii="宋体" w:hAnsi="宋体" w:cs="宋体" w:eastAsia="宋体" w:hint="default"/>
                <w:sz w:val="18"/>
                <w:szCs w:val="18"/>
              </w:rPr>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3"/>
              <w:jc w:val="center"/>
              <w:rPr>
                <w:rFonts w:ascii="宋体" w:hAnsi="宋体" w:cs="宋体" w:eastAsia="宋体" w:hint="default"/>
                <w:sz w:val="18"/>
                <w:szCs w:val="18"/>
              </w:rPr>
            </w:pPr>
            <w:r>
              <w:rPr>
                <w:rFonts w:ascii="宋体" w:hAnsi="宋体" w:cs="宋体" w:eastAsia="宋体" w:hint="default"/>
                <w:b/>
                <w:bCs/>
                <w:sz w:val="18"/>
                <w:szCs w:val="18"/>
              </w:rPr>
              <w:t>布局设计登记号</w:t>
            </w:r>
            <w:r>
              <w:rPr>
                <w:rFonts w:ascii="宋体" w:hAnsi="宋体" w:cs="宋体" w:eastAsia="宋体" w:hint="default"/>
                <w:sz w:val="18"/>
                <w:szCs w:val="18"/>
              </w:rPr>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b/>
                <w:bCs/>
                <w:sz w:val="18"/>
                <w:szCs w:val="18"/>
              </w:rPr>
              <w:t>登记证书号</w:t>
            </w:r>
            <w:r>
              <w:rPr>
                <w:rFonts w:ascii="宋体" w:hAnsi="宋体" w:cs="宋体" w:eastAsia="宋体" w:hint="default"/>
                <w:sz w:val="18"/>
                <w:szCs w:val="18"/>
              </w:rPr>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hAnsi="宋体" w:cs="宋体" w:eastAsia="宋体" w:hint="default"/>
                <w:b/>
                <w:bCs/>
                <w:sz w:val="18"/>
                <w:szCs w:val="18"/>
              </w:rPr>
              <w:t>授权日</w:t>
            </w:r>
            <w:r>
              <w:rPr>
                <w:rFonts w:ascii="宋体" w:hAnsi="宋体" w:cs="宋体" w:eastAsia="宋体" w:hint="default"/>
                <w:sz w:val="18"/>
                <w:szCs w:val="18"/>
              </w:rPr>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b/>
                <w:bCs/>
                <w:sz w:val="18"/>
                <w:szCs w:val="18"/>
              </w:rPr>
              <w:t>所有权人</w:t>
            </w:r>
            <w:r>
              <w:rPr>
                <w:rFonts w:ascii="宋体" w:hAnsi="宋体" w:cs="宋体" w:eastAsia="宋体" w:hint="default"/>
                <w:sz w:val="18"/>
                <w:szCs w:val="18"/>
              </w:rPr>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4</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JZ4750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center"/>
              <w:rPr>
                <w:rFonts w:ascii="Times New Roman" w:hAnsi="Times New Roman" w:cs="Times New Roman" w:eastAsia="Times New Roman" w:hint="default"/>
                <w:sz w:val="18"/>
                <w:szCs w:val="18"/>
              </w:rPr>
            </w:pPr>
            <w:r>
              <w:rPr>
                <w:rFonts w:ascii="Times New Roman"/>
                <w:sz w:val="18"/>
              </w:rPr>
              <w:t>BS.10500861.3</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3871</w:t>
            </w:r>
            <w:r>
              <w:rPr>
                <w:rFonts w:ascii="宋体" w:hAnsi="宋体" w:cs="宋体" w:eastAsia="宋体" w:hint="default"/>
                <w:sz w:val="18"/>
                <w:szCs w:val="18"/>
              </w:rPr>
              <w:t>号</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5</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JZ4755</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BS.10500858.3</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3868</w:t>
            </w:r>
            <w:r>
              <w:rPr>
                <w:rFonts w:ascii="宋体" w:hAnsi="宋体" w:cs="宋体" w:eastAsia="宋体" w:hint="default"/>
                <w:sz w:val="18"/>
                <w:szCs w:val="18"/>
              </w:rPr>
              <w:t>号</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6</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JZ4760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center"/>
              <w:rPr>
                <w:rFonts w:ascii="Times New Roman" w:hAnsi="Times New Roman" w:cs="Times New Roman" w:eastAsia="Times New Roman" w:hint="default"/>
                <w:sz w:val="18"/>
                <w:szCs w:val="18"/>
              </w:rPr>
            </w:pPr>
            <w:r>
              <w:rPr>
                <w:rFonts w:ascii="Times New Roman"/>
                <w:sz w:val="18"/>
              </w:rPr>
              <w:t>BS.10500859.1</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3869</w:t>
            </w:r>
            <w:r>
              <w:rPr>
                <w:rFonts w:ascii="宋体" w:hAnsi="宋体" w:cs="宋体" w:eastAsia="宋体" w:hint="default"/>
                <w:sz w:val="18"/>
                <w:szCs w:val="18"/>
              </w:rPr>
              <w:t>号</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7</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JZ4760B</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BS.10500860.5</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3870</w:t>
            </w:r>
            <w:r>
              <w:rPr>
                <w:rFonts w:ascii="宋体" w:hAnsi="宋体" w:cs="宋体" w:eastAsia="宋体" w:hint="default"/>
                <w:sz w:val="18"/>
                <w:szCs w:val="18"/>
              </w:rPr>
              <w:t>号</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8</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JZ4770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BS.145003515</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9650</w:t>
            </w:r>
            <w:r>
              <w:rPr>
                <w:rFonts w:ascii="宋体" w:hAnsi="宋体" w:cs="宋体" w:eastAsia="宋体" w:hint="default"/>
                <w:sz w:val="18"/>
                <w:szCs w:val="18"/>
              </w:rPr>
              <w:t>号</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9</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JZ4775</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BS.145003477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9651</w:t>
            </w:r>
            <w:r>
              <w:rPr>
                <w:rFonts w:ascii="宋体" w:hAnsi="宋体" w:cs="宋体" w:eastAsia="宋体" w:hint="default"/>
                <w:sz w:val="18"/>
                <w:szCs w:val="18"/>
              </w:rPr>
              <w:t>号</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10</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JZ4780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BS.145003507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9933</w:t>
            </w:r>
            <w:r>
              <w:rPr>
                <w:rFonts w:ascii="宋体" w:hAnsi="宋体" w:cs="宋体" w:eastAsia="宋体" w:hint="default"/>
                <w:sz w:val="18"/>
                <w:szCs w:val="18"/>
              </w:rPr>
              <w:t>号</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11</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X2000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BS.175009228</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16897</w:t>
            </w:r>
            <w:r>
              <w:rPr>
                <w:rFonts w:ascii="宋体" w:hAnsi="宋体" w:cs="宋体" w:eastAsia="宋体" w:hint="default"/>
                <w:sz w:val="18"/>
                <w:szCs w:val="18"/>
              </w:rPr>
              <w:t>号</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Times New Roman" w:hAnsi="Times New Roman" w:cs="Times New Roman" w:eastAsia="Times New Roman" w:hint="default"/>
                <w:sz w:val="18"/>
                <w:szCs w:val="18"/>
              </w:rPr>
            </w:pPr>
            <w:r>
              <w:rPr>
                <w:rFonts w:ascii="Times New Roman"/>
                <w:sz w:val="18"/>
              </w:rPr>
              <w:t>12</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x02</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BS.195003640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22366</w:t>
            </w:r>
            <w:r>
              <w:rPr>
                <w:rFonts w:ascii="宋体" w:hAnsi="宋体" w:cs="宋体" w:eastAsia="宋体" w:hint="default"/>
                <w:sz w:val="18"/>
                <w:szCs w:val="18"/>
              </w:rPr>
              <w:t>号</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13</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X1000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BS.195005309</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22363</w:t>
            </w:r>
            <w:r>
              <w:rPr>
                <w:rFonts w:ascii="宋体" w:hAnsi="宋体" w:cs="宋体" w:eastAsia="宋体" w:hint="default"/>
                <w:sz w:val="18"/>
                <w:szCs w:val="18"/>
              </w:rPr>
              <w:t>号</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北京君正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14</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T10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BS.165007567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13522</w:t>
            </w:r>
            <w:r>
              <w:rPr>
                <w:rFonts w:ascii="宋体" w:hAnsi="宋体" w:cs="宋体" w:eastAsia="宋体" w:hint="default"/>
                <w:sz w:val="18"/>
                <w:szCs w:val="18"/>
              </w:rPr>
              <w:t>号</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合肥君正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15</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T01</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BS.165007575</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13519</w:t>
            </w:r>
            <w:r>
              <w:rPr>
                <w:rFonts w:ascii="宋体" w:hAnsi="宋体" w:cs="宋体" w:eastAsia="宋体" w:hint="default"/>
                <w:sz w:val="18"/>
                <w:szCs w:val="18"/>
              </w:rPr>
              <w:t>号</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合肥君正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16</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JZ7422</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BS.165007583</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13524</w:t>
            </w:r>
            <w:r>
              <w:rPr>
                <w:rFonts w:ascii="宋体" w:hAnsi="宋体" w:cs="宋体" w:eastAsia="宋体" w:hint="default"/>
                <w:sz w:val="18"/>
                <w:szCs w:val="18"/>
              </w:rPr>
              <w:t>号</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合肥君正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17</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JZ1000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BS.165007591</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13523</w:t>
            </w:r>
            <w:r>
              <w:rPr>
                <w:rFonts w:ascii="宋体" w:hAnsi="宋体" w:cs="宋体" w:eastAsia="宋体" w:hint="default"/>
                <w:sz w:val="18"/>
                <w:szCs w:val="18"/>
              </w:rPr>
              <w:t>号</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合肥君正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18</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T20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BS.195006143</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23084</w:t>
            </w:r>
            <w:r>
              <w:rPr>
                <w:rFonts w:ascii="宋体" w:hAnsi="宋体" w:cs="宋体" w:eastAsia="宋体" w:hint="default"/>
                <w:sz w:val="18"/>
                <w:szCs w:val="18"/>
              </w:rPr>
              <w:t>号</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合肥君正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19</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T21</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BS.195003683</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22403</w:t>
            </w:r>
            <w:r>
              <w:rPr>
                <w:rFonts w:ascii="宋体" w:hAnsi="宋体" w:cs="宋体" w:eastAsia="宋体" w:hint="default"/>
                <w:sz w:val="18"/>
                <w:szCs w:val="18"/>
              </w:rPr>
              <w:t>号</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合肥君正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20</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T30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BS.195003691</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22651</w:t>
            </w:r>
            <w:r>
              <w:rPr>
                <w:rFonts w:ascii="宋体" w:hAnsi="宋体" w:cs="宋体" w:eastAsia="宋体" w:hint="default"/>
                <w:sz w:val="18"/>
                <w:szCs w:val="18"/>
              </w:rPr>
              <w:t>号</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合肥君正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21</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T02</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BS.195003705</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22648</w:t>
            </w:r>
            <w:r>
              <w:rPr>
                <w:rFonts w:ascii="宋体" w:hAnsi="宋体" w:cs="宋体" w:eastAsia="宋体" w:hint="default"/>
                <w:sz w:val="18"/>
                <w:szCs w:val="18"/>
              </w:rPr>
              <w:t>号</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合肥君正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22</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X1000E</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BS.195005295</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22358</w:t>
            </w:r>
            <w:r>
              <w:rPr>
                <w:rFonts w:ascii="宋体" w:hAnsi="宋体" w:cs="宋体" w:eastAsia="宋体" w:hint="default"/>
                <w:sz w:val="18"/>
                <w:szCs w:val="18"/>
              </w:rPr>
              <w:t>号</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君正时代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23</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X1500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BS.195005287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22357</w:t>
            </w:r>
            <w:r>
              <w:rPr>
                <w:rFonts w:ascii="宋体" w:hAnsi="宋体" w:cs="宋体" w:eastAsia="宋体" w:hint="default"/>
                <w:sz w:val="18"/>
                <w:szCs w:val="18"/>
              </w:rPr>
              <w:t>号</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君正时代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24</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M200</w:t>
            </w:r>
            <w:r>
              <w:rPr>
                <w:rFonts w:ascii="Times New Roman"/>
                <w:spacing w:val="-1"/>
                <w:sz w:val="18"/>
              </w:rPr>
              <w:t> </w:t>
            </w:r>
            <w:r>
              <w:rPr>
                <w:rFonts w:ascii="Times New Roman"/>
                <w:sz w:val="18"/>
              </w:rPr>
              <w:t>S</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BS.195008103</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23303</w:t>
            </w:r>
            <w:r>
              <w:rPr>
                <w:rFonts w:ascii="宋体" w:hAnsi="宋体" w:cs="宋体" w:eastAsia="宋体" w:hint="default"/>
                <w:sz w:val="18"/>
                <w:szCs w:val="18"/>
              </w:rPr>
              <w:t>号</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君正时代</w:t>
            </w:r>
          </w:p>
        </w:tc>
      </w:tr>
      <w:tr>
        <w:trPr>
          <w:trHeight w:val="346"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25</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1518050023365A</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sz w:val="18"/>
              </w:rPr>
              <w:t>BS.19500812X</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23305</w:t>
            </w:r>
            <w:r>
              <w:rPr>
                <w:rFonts w:ascii="宋体" w:hAnsi="宋体" w:cs="宋体" w:eastAsia="宋体" w:hint="default"/>
                <w:sz w:val="18"/>
                <w:szCs w:val="18"/>
              </w:rPr>
              <w:t>号</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君正时代</w:t>
            </w:r>
          </w:p>
        </w:tc>
      </w:tr>
      <w:tr>
        <w:trPr>
          <w:trHeight w:val="34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26</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1058395009408A</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BS.195008111</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23304</w:t>
            </w:r>
            <w:r>
              <w:rPr>
                <w:rFonts w:ascii="宋体" w:hAnsi="宋体" w:cs="宋体" w:eastAsia="宋体" w:hint="default"/>
                <w:sz w:val="18"/>
                <w:szCs w:val="18"/>
              </w:rPr>
              <w:t>号</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君正时代</w:t>
            </w:r>
          </w:p>
        </w:tc>
      </w:tr>
    </w:tbl>
    <w:p>
      <w:pPr>
        <w:pStyle w:val="BodyText"/>
        <w:spacing w:line="360" w:lineRule="auto" w:before="49"/>
        <w:ind w:left="513" w:right="1133"/>
        <w:jc w:val="left"/>
      </w:pPr>
      <w:r>
        <w:rPr/>
        <w:t>（二）研发人员基本情况 </w:t>
      </w:r>
      <w:r>
        <w:rPr>
          <w:spacing w:val="-1"/>
        </w:rPr>
        <w:t>截至本报告期末，公司有研发人员</w:t>
      </w:r>
      <w:r>
        <w:rPr>
          <w:rFonts w:ascii="Times New Roman" w:hAnsi="Times New Roman" w:cs="Times New Roman" w:eastAsia="Times New Roman" w:hint="default"/>
          <w:spacing w:val="-1"/>
        </w:rPr>
        <w:t>201</w:t>
      </w:r>
      <w:r>
        <w:rPr>
          <w:spacing w:val="-1"/>
        </w:rPr>
        <w:t>人，占公司员工总数的</w:t>
      </w:r>
      <w:r>
        <w:rPr>
          <w:rFonts w:ascii="Times New Roman" w:hAnsi="Times New Roman" w:cs="Times New Roman" w:eastAsia="Times New Roman" w:hint="default"/>
          <w:spacing w:val="-1"/>
        </w:rPr>
        <w:t>76.43%</w:t>
      </w:r>
      <w:r>
        <w:rPr>
          <w:spacing w:val="-1"/>
        </w:rPr>
        <w:t>，主要以硕士研究生和本科生构成，其中硕士研究</w:t>
      </w:r>
    </w:p>
    <w:p>
      <w:pPr>
        <w:pStyle w:val="BodyText"/>
        <w:spacing w:line="212" w:lineRule="exact"/>
        <w:ind w:right="1133"/>
        <w:jc w:val="left"/>
      </w:pPr>
      <w:r>
        <w:rPr/>
        <w:t>生占比</w:t>
      </w:r>
      <w:r>
        <w:rPr>
          <w:rFonts w:ascii="Times New Roman" w:hAnsi="Times New Roman" w:cs="Times New Roman" w:eastAsia="Times New Roman" w:hint="default"/>
        </w:rPr>
        <w:t>23.38%</w:t>
      </w:r>
      <w:r>
        <w:rPr/>
        <w:t>，本科生占比</w:t>
      </w:r>
      <w:r>
        <w:rPr>
          <w:rFonts w:ascii="Times New Roman" w:hAnsi="Times New Roman" w:cs="Times New Roman" w:eastAsia="Times New Roman" w:hint="default"/>
        </w:rPr>
        <w:t>71.14%</w:t>
      </w:r>
      <w:r>
        <w:rPr/>
        <w:t>。截至本报告期末，公司核心技术人员未有离职情况。</w:t>
      </w:r>
    </w:p>
    <w:p>
      <w:pPr>
        <w:pStyle w:val="BodyText"/>
        <w:spacing w:line="240" w:lineRule="auto" w:before="101"/>
        <w:ind w:left="513" w:right="1133"/>
        <w:jc w:val="left"/>
      </w:pPr>
      <w:r>
        <w:rPr/>
        <w:t>研发人员工作年限分布情况如下：</w:t>
      </w:r>
    </w:p>
    <w:p>
      <w:pPr>
        <w:spacing w:line="240" w:lineRule="auto" w:before="4"/>
        <w:rPr>
          <w:rFonts w:ascii="宋体" w:hAnsi="宋体" w:cs="宋体" w:eastAsia="宋体" w:hint="default"/>
          <w:sz w:val="8"/>
          <w:szCs w:val="8"/>
        </w:rPr>
      </w:pPr>
    </w:p>
    <w:tbl>
      <w:tblPr>
        <w:tblW w:w="0" w:type="auto"/>
        <w:jc w:val="left"/>
        <w:tblInd w:w="1065" w:type="dxa"/>
        <w:tblLayout w:type="fixed"/>
        <w:tblCellMar>
          <w:top w:w="0" w:type="dxa"/>
          <w:left w:w="0" w:type="dxa"/>
          <w:bottom w:w="0" w:type="dxa"/>
          <w:right w:w="0" w:type="dxa"/>
        </w:tblCellMar>
        <w:tblLook w:val="01E0"/>
      </w:tblPr>
      <w:tblGrid>
        <w:gridCol w:w="2201"/>
        <w:gridCol w:w="2410"/>
        <w:gridCol w:w="2410"/>
      </w:tblGrid>
      <w:tr>
        <w:trPr>
          <w:trHeight w:val="428" w:hRule="exact"/>
        </w:trPr>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 w:right="0"/>
              <w:jc w:val="center"/>
              <w:rPr>
                <w:rFonts w:ascii="宋体" w:hAnsi="宋体" w:cs="宋体" w:eastAsia="宋体" w:hint="default"/>
                <w:sz w:val="18"/>
                <w:szCs w:val="18"/>
              </w:rPr>
            </w:pPr>
            <w:r>
              <w:rPr>
                <w:rFonts w:ascii="宋体" w:hAnsi="宋体" w:cs="宋体" w:eastAsia="宋体" w:hint="default"/>
                <w:b/>
                <w:bCs/>
                <w:sz w:val="18"/>
                <w:szCs w:val="18"/>
              </w:rPr>
              <w:t>年限</w:t>
            </w:r>
            <w:r>
              <w:rPr>
                <w:rFonts w:ascii="宋体" w:hAnsi="宋体" w:cs="宋体" w:eastAsia="宋体" w:hint="default"/>
                <w:sz w:val="18"/>
                <w:szCs w:val="18"/>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015" w:right="0"/>
              <w:jc w:val="left"/>
              <w:rPr>
                <w:rFonts w:ascii="宋体" w:hAnsi="宋体" w:cs="宋体" w:eastAsia="宋体" w:hint="default"/>
                <w:sz w:val="18"/>
                <w:szCs w:val="18"/>
              </w:rPr>
            </w:pPr>
            <w:r>
              <w:rPr>
                <w:rFonts w:ascii="宋体" w:hAnsi="宋体" w:cs="宋体" w:eastAsia="宋体" w:hint="default"/>
                <w:b/>
                <w:bCs/>
                <w:sz w:val="18"/>
                <w:szCs w:val="18"/>
              </w:rPr>
              <w:t>占比</w:t>
            </w:r>
            <w:r>
              <w:rPr>
                <w:rFonts w:ascii="宋体" w:hAnsi="宋体" w:cs="宋体" w:eastAsia="宋体" w:hint="default"/>
                <w:sz w:val="18"/>
                <w:szCs w:val="18"/>
              </w:rPr>
            </w:r>
          </w:p>
        </w:tc>
      </w:tr>
      <w:tr>
        <w:trPr>
          <w:trHeight w:val="427" w:hRule="exact"/>
        </w:trPr>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44</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31" w:right="0"/>
              <w:jc w:val="left"/>
              <w:rPr>
                <w:rFonts w:ascii="Times New Roman" w:hAnsi="Times New Roman" w:cs="Times New Roman" w:eastAsia="Times New Roman" w:hint="default"/>
                <w:sz w:val="18"/>
                <w:szCs w:val="18"/>
              </w:rPr>
            </w:pPr>
            <w:r>
              <w:rPr>
                <w:rFonts w:ascii="Times New Roman"/>
                <w:sz w:val="18"/>
              </w:rPr>
              <w:t>22%</w:t>
            </w:r>
          </w:p>
        </w:tc>
      </w:tr>
      <w:tr>
        <w:trPr>
          <w:trHeight w:val="427" w:hRule="exact"/>
        </w:trPr>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53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31" w:right="0"/>
              <w:jc w:val="left"/>
              <w:rPr>
                <w:rFonts w:ascii="Times New Roman" w:hAnsi="Times New Roman" w:cs="Times New Roman" w:eastAsia="Times New Roman" w:hint="default"/>
                <w:sz w:val="18"/>
                <w:szCs w:val="18"/>
              </w:rPr>
            </w:pPr>
            <w:r>
              <w:rPr>
                <w:rFonts w:ascii="Times New Roman"/>
                <w:sz w:val="18"/>
              </w:rPr>
              <w:t>26%</w:t>
            </w:r>
          </w:p>
        </w:tc>
      </w:tr>
      <w:tr>
        <w:trPr>
          <w:trHeight w:val="427" w:hRule="exact"/>
        </w:trPr>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宋体" w:hAnsi="宋体" w:cs="宋体" w:eastAsia="宋体" w:hint="default"/>
                <w:sz w:val="18"/>
                <w:szCs w:val="18"/>
              </w:rPr>
              <w:t>年</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24</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31" w:right="0"/>
              <w:jc w:val="left"/>
              <w:rPr>
                <w:rFonts w:ascii="Times New Roman" w:hAnsi="Times New Roman" w:cs="Times New Roman" w:eastAsia="Times New Roman" w:hint="default"/>
                <w:sz w:val="18"/>
                <w:szCs w:val="18"/>
              </w:rPr>
            </w:pPr>
            <w:r>
              <w:rPr>
                <w:rFonts w:ascii="Times New Roman"/>
                <w:sz w:val="18"/>
              </w:rPr>
              <w:t>12%</w:t>
            </w:r>
          </w:p>
        </w:tc>
      </w:tr>
      <w:tr>
        <w:trPr>
          <w:trHeight w:val="425" w:hRule="exact"/>
        </w:trPr>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年</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56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31" w:right="0"/>
              <w:jc w:val="left"/>
              <w:rPr>
                <w:rFonts w:ascii="Times New Roman" w:hAnsi="Times New Roman" w:cs="Times New Roman" w:eastAsia="Times New Roman" w:hint="default"/>
                <w:sz w:val="18"/>
                <w:szCs w:val="18"/>
              </w:rPr>
            </w:pPr>
            <w:r>
              <w:rPr>
                <w:rFonts w:ascii="Times New Roman"/>
                <w:sz w:val="18"/>
              </w:rPr>
              <w:t>28%</w:t>
            </w:r>
          </w:p>
        </w:tc>
      </w:tr>
      <w:tr>
        <w:trPr>
          <w:trHeight w:val="427" w:hRule="exact"/>
        </w:trPr>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年以上</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24</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031" w:right="0"/>
              <w:jc w:val="left"/>
              <w:rPr>
                <w:rFonts w:ascii="Times New Roman" w:hAnsi="Times New Roman" w:cs="Times New Roman" w:eastAsia="Times New Roman" w:hint="default"/>
                <w:sz w:val="18"/>
                <w:szCs w:val="18"/>
              </w:rPr>
            </w:pPr>
            <w:r>
              <w:rPr>
                <w:rFonts w:ascii="Times New Roman"/>
                <w:sz w:val="18"/>
              </w:rPr>
              <w:t>12%</w:t>
            </w:r>
          </w:p>
        </w:tc>
      </w:tr>
      <w:tr>
        <w:trPr>
          <w:trHeight w:val="430" w:hRule="exact"/>
        </w:trPr>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86" w:right="0"/>
              <w:jc w:val="left"/>
              <w:rPr>
                <w:rFonts w:ascii="Times New Roman" w:hAnsi="Times New Roman" w:cs="Times New Roman" w:eastAsia="Times New Roman" w:hint="default"/>
                <w:sz w:val="18"/>
                <w:szCs w:val="18"/>
              </w:rPr>
            </w:pPr>
            <w:r>
              <w:rPr>
                <w:rFonts w:ascii="Times New Roman"/>
                <w:sz w:val="18"/>
              </w:rPr>
              <w:t>100%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200" w:type="dxa"/>
        <w:tblLayout w:type="fixed"/>
        <w:tblCellMar>
          <w:top w:w="0" w:type="dxa"/>
          <w:left w:w="0" w:type="dxa"/>
          <w:bottom w:w="0" w:type="dxa"/>
          <w:right w:w="0" w:type="dxa"/>
        </w:tblCellMar>
        <w:tblLook w:val="01E0"/>
      </w:tblPr>
      <w:tblGrid>
        <w:gridCol w:w="2813"/>
        <w:gridCol w:w="2279"/>
        <w:gridCol w:w="2268"/>
        <w:gridCol w:w="2269"/>
      </w:tblGrid>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429,310,843.02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326,188,369.92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31.61%</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414,124,909.21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289,817,628.26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42.89%</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15,185,933.81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36,370,741.66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-58.25%</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2,436,332,053.06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2,558,421,785.73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2,483,872,217.59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2,479,478,312.93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0.18%</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-47,540,164.53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78,943,472.80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-160.22%</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28,721,918.66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7,625,997.77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276.63%</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6,034,079.78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3,376,488.82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78.71%</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22,687,838.88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4,249,508.95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433.89%</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-9,367,337.49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119,802,792.89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-107.82%</w:t>
            </w:r>
          </w:p>
        </w:tc>
      </w:tr>
    </w:tbl>
    <w:p>
      <w:pPr>
        <w:pStyle w:val="BodyText"/>
        <w:spacing w:line="240" w:lineRule="auto" w:before="49"/>
        <w:ind w:left="192" w:right="1198"/>
        <w:jc w:val="left"/>
      </w:pPr>
      <w:r>
        <w:rPr/>
        <w:t>相关数据同比发生重大变动的主要影响因素说明</w:t>
      </w:r>
    </w:p>
    <w:p>
      <w:pPr>
        <w:pStyle w:val="BodyText"/>
        <w:spacing w:line="340" w:lineRule="auto" w:before="115"/>
        <w:ind w:left="553" w:right="1198"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本报告期，公司营业收入保持增长致销售商品、提供劳务收到的现金收入增长，使经营活动现金流入增长</w:t>
      </w:r>
      <w:r>
        <w:rPr>
          <w:rFonts w:ascii="Times New Roman" w:hAnsi="Times New Roman" w:cs="Times New Roman" w:eastAsia="Times New Roman" w:hint="default"/>
        </w:rPr>
        <w:t>31.61%</w:t>
      </w:r>
      <w:r>
        <w:rPr/>
        <w:t>，但</w:t>
      </w:r>
    </w:p>
    <w:p>
      <w:pPr>
        <w:pStyle w:val="BodyText"/>
        <w:spacing w:line="228" w:lineRule="exact"/>
        <w:ind w:left="192" w:right="0"/>
        <w:jc w:val="left"/>
      </w:pPr>
      <w:r>
        <w:rPr/>
        <w:t>同时由于销售增长导致用于购买商品、接受劳务支付的现金增加致经营活动现金流出增长</w:t>
      </w:r>
      <w:r>
        <w:rPr>
          <w:rFonts w:ascii="Times New Roman" w:hAnsi="Times New Roman" w:cs="Times New Roman" w:eastAsia="Times New Roman" w:hint="default"/>
        </w:rPr>
        <w:t>42.89%</w:t>
      </w:r>
      <w:r>
        <w:rPr/>
        <w:t>，综合上述原因公司经营</w:t>
      </w:r>
    </w:p>
    <w:p>
      <w:pPr>
        <w:pStyle w:val="BodyText"/>
        <w:spacing w:line="338" w:lineRule="auto" w:before="63"/>
        <w:ind w:left="553" w:right="1288" w:hanging="361"/>
        <w:jc w:val="left"/>
      </w:pPr>
      <w:r>
        <w:rPr/>
        <w:t>活动产生的现金流量净额同比下降</w:t>
      </w:r>
      <w:r>
        <w:rPr>
          <w:rFonts w:ascii="Times New Roman" w:hAnsi="Times New Roman" w:cs="Times New Roman" w:eastAsia="Times New Roman" w:hint="default"/>
        </w:rPr>
        <w:t>58.25%</w:t>
      </w:r>
      <w:r>
        <w:rPr/>
        <w:t>； 本报告期，投资活动产生的现金流净额同比下降</w:t>
      </w:r>
      <w:r>
        <w:rPr>
          <w:rFonts w:ascii="Times New Roman" w:hAnsi="Times New Roman" w:cs="Times New Roman" w:eastAsia="Times New Roman" w:hint="default"/>
        </w:rPr>
        <w:t>160.22%</w:t>
      </w:r>
      <w:r>
        <w:rPr/>
        <w:t>，主要系公司购买理财产品以及支付股权对价预付款所致； 本报告期，筹资活动产生的现金流量净额同比增长</w:t>
      </w:r>
      <w:r>
        <w:rPr>
          <w:rFonts w:ascii="Times New Roman" w:hAnsi="Times New Roman" w:cs="Times New Roman" w:eastAsia="Times New Roman" w:hint="default"/>
        </w:rPr>
        <w:t>433.89%</w:t>
      </w:r>
      <w:r>
        <w:rPr/>
        <w:t>，主要系公司收到的股权激励行权款增长所致。</w:t>
      </w:r>
    </w:p>
    <w:p>
      <w:pPr>
        <w:pStyle w:val="BodyText"/>
        <w:spacing w:line="240" w:lineRule="auto" w:before="22"/>
        <w:ind w:left="192" w:right="1198"/>
        <w:jc w:val="left"/>
      </w:pPr>
      <w:r>
        <w:rPr/>
        <w:t>报告期内公司经营活动产生的现金净流量与本年度净利润存在重大差异的原因说明</w:t>
      </w:r>
    </w:p>
    <w:p>
      <w:pPr>
        <w:pStyle w:val="BodyText"/>
        <w:spacing w:line="340" w:lineRule="auto" w:before="115"/>
        <w:ind w:left="553" w:right="1198" w:hanging="361"/>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1"/>
        </w:rPr>
        <w:t>报告期内经营活动产生的现金流量净额为</w:t>
      </w:r>
      <w:r>
        <w:rPr>
          <w:rFonts w:ascii="Times New Roman" w:hAnsi="Times New Roman" w:cs="Times New Roman" w:eastAsia="Times New Roman" w:hint="default"/>
          <w:spacing w:val="-1"/>
        </w:rPr>
        <w:t>15,185,933.81</w:t>
      </w:r>
      <w:r>
        <w:rPr>
          <w:spacing w:val="-1"/>
        </w:rPr>
        <w:t>元，同期净利润为</w:t>
      </w:r>
      <w:r>
        <w:rPr>
          <w:rFonts w:ascii="Times New Roman" w:hAnsi="Times New Roman" w:cs="Times New Roman" w:eastAsia="Times New Roman" w:hint="default"/>
          <w:spacing w:val="-1"/>
        </w:rPr>
        <w:t>58,659,727.20</w:t>
      </w:r>
      <w:r>
        <w:rPr>
          <w:spacing w:val="-1"/>
        </w:rPr>
        <w:t>元。两者的差额是</w:t>
      </w:r>
      <w:r>
        <w:rPr>
          <w:rFonts w:ascii="Times New Roman" w:hAnsi="Times New Roman" w:cs="Times New Roman" w:eastAsia="Times New Roman" w:hint="default"/>
          <w:spacing w:val="-1"/>
        </w:rPr>
        <w:t>43,473,793.39</w:t>
      </w:r>
    </w:p>
    <w:p>
      <w:pPr>
        <w:pStyle w:val="BodyText"/>
        <w:spacing w:line="228" w:lineRule="exact"/>
        <w:ind w:left="192" w:right="0"/>
        <w:jc w:val="left"/>
      </w:pPr>
      <w:r>
        <w:rPr/>
        <w:t>元，主要原因为：投资收益、公允价值变动损益的影响金额为</w:t>
      </w:r>
      <w:r>
        <w:rPr>
          <w:rFonts w:ascii="Times New Roman" w:hAnsi="Times New Roman" w:cs="Times New Roman" w:eastAsia="Times New Roman" w:hint="default"/>
        </w:rPr>
        <w:t>32,332,952.53</w:t>
      </w:r>
      <w:r>
        <w:rPr/>
        <w:t>元；存货增加的影响金额为</w:t>
      </w:r>
      <w:r>
        <w:rPr>
          <w:rFonts w:ascii="Times New Roman" w:hAnsi="Times New Roman" w:cs="Times New Roman" w:eastAsia="Times New Roman" w:hint="default"/>
        </w:rPr>
        <w:t>33,554,668.79</w:t>
      </w:r>
      <w:r>
        <w:rPr/>
        <w:t>元；资</w:t>
      </w:r>
    </w:p>
    <w:p>
      <w:pPr>
        <w:pStyle w:val="BodyText"/>
        <w:spacing w:line="240" w:lineRule="auto" w:before="63"/>
        <w:ind w:left="192" w:right="1198"/>
        <w:jc w:val="left"/>
      </w:pPr>
      <w:r>
        <w:rPr/>
        <w:t>产减值准备、固定资产折旧、无形资产及长期待摊费用摊销额共计影响金额为</w:t>
      </w:r>
      <w:r>
        <w:rPr>
          <w:rFonts w:ascii="Times New Roman" w:hAnsi="Times New Roman" w:cs="Times New Roman" w:eastAsia="Times New Roman" w:hint="default"/>
        </w:rPr>
        <w:t>6,715,925.59</w:t>
      </w:r>
      <w:r>
        <w:rPr/>
        <w:t>元。</w:t>
      </w:r>
    </w:p>
    <w:p>
      <w:pPr>
        <w:spacing w:line="240" w:lineRule="auto" w:before="3"/>
        <w:rPr>
          <w:rFonts w:ascii="宋体" w:hAnsi="宋体" w:cs="宋体" w:eastAsia="宋体" w:hint="default"/>
          <w:sz w:val="24"/>
          <w:szCs w:val="24"/>
        </w:rPr>
      </w:pPr>
    </w:p>
    <w:p>
      <w:pPr>
        <w:pStyle w:val="Heading2"/>
        <w:spacing w:line="240" w:lineRule="auto"/>
        <w:ind w:left="192" w:right="1198"/>
        <w:jc w:val="left"/>
        <w:rPr>
          <w:b w:val="0"/>
          <w:bCs w:val="0"/>
        </w:rPr>
      </w:pPr>
      <w:r>
        <w:rPr/>
        <w:t>三、非主营业务情况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92" w:right="11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left="192" w:right="1198"/>
        <w:jc w:val="left"/>
        <w:rPr>
          <w:b w:val="0"/>
          <w:bCs w:val="0"/>
        </w:rPr>
      </w:pP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92" w:right="1198"/>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691"/>
        <w:gridCol w:w="1430"/>
        <w:gridCol w:w="1274"/>
        <w:gridCol w:w="1419"/>
        <w:gridCol w:w="1226"/>
        <w:gridCol w:w="1417"/>
        <w:gridCol w:w="1325"/>
      </w:tblGrid>
      <w:tr>
        <w:trPr>
          <w:trHeight w:val="206" w:hRule="exact"/>
        </w:trPr>
        <w:tc>
          <w:tcPr>
            <w:tcW w:w="1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70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6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691" w:type="dxa"/>
            <w:vMerge w:val="restart"/>
            <w:tcBorders>
              <w:top w:val="nil" w:sz="6" w:space="0" w:color="auto"/>
              <w:left w:val="single" w:sz="4" w:space="0" w:color="000000"/>
              <w:right w:val="single" w:sz="4" w:space="0" w:color="000000"/>
            </w:tcBorders>
            <w:shd w:val="clear" w:color="auto" w:fill="D2D2D2"/>
          </w:tcPr>
          <w:p>
            <w:pPr/>
          </w:p>
        </w:tc>
        <w:tc>
          <w:tcPr>
            <w:tcW w:w="2704" w:type="dxa"/>
            <w:gridSpan w:val="2"/>
            <w:vMerge/>
            <w:tcBorders>
              <w:left w:val="single" w:sz="4" w:space="0" w:color="000000"/>
              <w:bottom w:val="single" w:sz="4" w:space="0" w:color="000000"/>
              <w:right w:val="single" w:sz="4" w:space="0" w:color="000000"/>
            </w:tcBorders>
            <w:shd w:val="clear" w:color="auto" w:fill="D2D2D2"/>
          </w:tcPr>
          <w:p>
            <w:pPr/>
          </w:p>
        </w:tc>
        <w:tc>
          <w:tcPr>
            <w:tcW w:w="2645" w:type="dxa"/>
            <w:gridSpan w:val="2"/>
            <w:vMerge/>
            <w:tcBorders>
              <w:left w:val="single" w:sz="4" w:space="0" w:color="000000"/>
              <w:bottom w:val="single" w:sz="4" w:space="0" w:color="000000"/>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3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202" w:hRule="exact"/>
        </w:trPr>
        <w:tc>
          <w:tcPr>
            <w:tcW w:w="1691" w:type="dxa"/>
            <w:vMerge/>
            <w:tcBorders>
              <w:left w:val="single" w:sz="4" w:space="0" w:color="000000"/>
              <w:bottom w:val="nil" w:sz="6" w:space="0" w:color="auto"/>
              <w:right w:val="single" w:sz="4" w:space="0" w:color="000000"/>
            </w:tcBorders>
            <w:shd w:val="clear" w:color="auto" w:fill="D2D2D2"/>
          </w:tcPr>
          <w:p>
            <w:pPr/>
          </w:p>
        </w:tc>
        <w:tc>
          <w:tcPr>
            <w:tcW w:w="14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9"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417" w:type="dxa"/>
            <w:vMerge/>
            <w:tcBorders>
              <w:left w:val="single" w:sz="4" w:space="0" w:color="000000"/>
              <w:bottom w:val="nil" w:sz="6" w:space="0" w:color="auto"/>
              <w:right w:val="single" w:sz="4" w:space="0" w:color="000000"/>
            </w:tcBorders>
            <w:shd w:val="clear" w:color="auto" w:fill="D2D2D2"/>
          </w:tcPr>
          <w:p>
            <w:pPr/>
          </w:p>
        </w:tc>
        <w:tc>
          <w:tcPr>
            <w:tcW w:w="1325"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430"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226"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151,234,510.36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11.55%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160,601,847.85</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13.43%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-1.88%</w:t>
            </w:r>
          </w:p>
        </w:tc>
        <w:tc>
          <w:tcPr>
            <w:tcW w:w="132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23,336,467.48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22,320,800.70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-0.09%</w:t>
            </w:r>
          </w:p>
        </w:tc>
        <w:tc>
          <w:tcPr>
            <w:tcW w:w="132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40" w:right="0"/>
        </w:sectPr>
      </w:pPr>
    </w:p>
    <w:p>
      <w:pPr>
        <w:spacing w:line="240" w:lineRule="auto" w:before="6"/>
        <w:rPr>
          <w:rFonts w:ascii="宋体" w:hAnsi="宋体" w:cs="宋体" w:eastAsia="宋体" w:hint="default"/>
          <w:sz w:val="28"/>
          <w:szCs w:val="28"/>
        </w:rPr>
      </w:pPr>
    </w:p>
    <w:tbl>
      <w:tblPr>
        <w:tblW w:w="0" w:type="auto"/>
        <w:jc w:val="left"/>
        <w:tblInd w:w="117" w:type="dxa"/>
        <w:tblLayout w:type="fixed"/>
        <w:tblCellMar>
          <w:top w:w="0" w:type="dxa"/>
          <w:left w:w="0" w:type="dxa"/>
          <w:bottom w:w="0" w:type="dxa"/>
          <w:right w:w="0" w:type="dxa"/>
        </w:tblCellMar>
        <w:tblLook w:val="01E0"/>
      </w:tblPr>
      <w:tblGrid>
        <w:gridCol w:w="1701"/>
        <w:gridCol w:w="1419"/>
        <w:gridCol w:w="1274"/>
        <w:gridCol w:w="1419"/>
        <w:gridCol w:w="1226"/>
        <w:gridCol w:w="1417"/>
        <w:gridCol w:w="1325"/>
      </w:tblGrid>
      <w:tr>
        <w:trPr>
          <w:trHeight w:val="356" w:hRule="exact"/>
        </w:trPr>
        <w:tc>
          <w:tcPr>
            <w:tcW w:w="17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419" w:type="dxa"/>
            <w:tcBorders>
              <w:top w:val="single" w:sz="4" w:space="0" w:color="000000"/>
              <w:left w:val="single" w:sz="4" w:space="0" w:color="000000"/>
              <w:bottom w:val="nil" w:sz="6" w:space="0" w:color="auto"/>
              <w:right w:val="single" w:sz="4" w:space="0" w:color="000000"/>
            </w:tcBorders>
          </w:tcPr>
          <w:p>
            <w:pPr/>
          </w:p>
        </w:tc>
        <w:tc>
          <w:tcPr>
            <w:tcW w:w="1226"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3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期末余额较期初</w:t>
            </w:r>
          </w:p>
        </w:tc>
      </w:tr>
      <w:tr>
        <w:trPr>
          <w:trHeight w:val="624" w:hRule="exact"/>
        </w:trPr>
        <w:tc>
          <w:tcPr>
            <w:tcW w:w="17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111,500,267.95</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8.51%</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80,247,961.33</w:t>
            </w:r>
          </w:p>
        </w:tc>
        <w:tc>
          <w:tcPr>
            <w:tcW w:w="122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6.71%</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1.80%</w:t>
            </w:r>
          </w:p>
        </w:tc>
        <w:tc>
          <w:tcPr>
            <w:tcW w:w="1325"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3" w:right="29"/>
              <w:jc w:val="left"/>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4"/>
                <w:sz w:val="18"/>
                <w:szCs w:val="18"/>
              </w:rPr>
              <w:t> </w:t>
            </w:r>
            <w:r>
              <w:rPr>
                <w:rFonts w:ascii="Times New Roman" w:hAnsi="Times New Roman" w:cs="Times New Roman" w:eastAsia="Times New Roman" w:hint="default"/>
                <w:spacing w:val="-13"/>
                <w:sz w:val="18"/>
                <w:szCs w:val="18"/>
              </w:rPr>
              <w:t>38.94%</w:t>
            </w:r>
            <w:r>
              <w:rPr>
                <w:rFonts w:ascii="宋体" w:hAnsi="宋体" w:cs="宋体" w:eastAsia="宋体" w:hint="default"/>
                <w:spacing w:val="-13"/>
                <w:sz w:val="18"/>
                <w:szCs w:val="18"/>
              </w:rPr>
              <w:t>，主</w:t>
            </w:r>
            <w:r>
              <w:rPr>
                <w:rFonts w:ascii="宋体" w:hAnsi="宋体" w:cs="宋体" w:eastAsia="宋体" w:hint="default"/>
                <w:spacing w:val="-51"/>
                <w:sz w:val="18"/>
                <w:szCs w:val="18"/>
              </w:rPr>
              <w:t> </w:t>
            </w:r>
            <w:r>
              <w:rPr>
                <w:rFonts w:ascii="宋体" w:hAnsi="宋体" w:cs="宋体" w:eastAsia="宋体" w:hint="default"/>
                <w:sz w:val="18"/>
                <w:szCs w:val="18"/>
              </w:rPr>
              <w:t>要系销售增长生</w:t>
            </w:r>
          </w:p>
        </w:tc>
      </w:tr>
      <w:tr>
        <w:trPr>
          <w:trHeight w:val="357" w:hRule="exact"/>
        </w:trPr>
        <w:tc>
          <w:tcPr>
            <w:tcW w:w="17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419" w:type="dxa"/>
            <w:tcBorders>
              <w:top w:val="nil" w:sz="6" w:space="0" w:color="auto"/>
              <w:left w:val="single" w:sz="4" w:space="0" w:color="000000"/>
              <w:bottom w:val="single" w:sz="4" w:space="0" w:color="000000"/>
              <w:right w:val="single" w:sz="4" w:space="0" w:color="000000"/>
            </w:tcBorders>
          </w:tcPr>
          <w:p>
            <w:pPr/>
          </w:p>
        </w:tc>
        <w:tc>
          <w:tcPr>
            <w:tcW w:w="1226"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3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产投入加大所致</w:t>
            </w:r>
          </w:p>
        </w:tc>
      </w:tr>
      <w:tr>
        <w:trPr>
          <w:trHeight w:val="403"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30,839,074.40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2.36%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31,494,198.71</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2.63%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-0.27%</w:t>
            </w:r>
          </w:p>
        </w:tc>
        <w:tc>
          <w:tcPr>
            <w:tcW w:w="132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1,649,390.92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1,836,090.57</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-0.02%</w:t>
            </w:r>
          </w:p>
        </w:tc>
        <w:tc>
          <w:tcPr>
            <w:tcW w:w="132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36,129,776.70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2.76%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36,298,487.04</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3.03%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-0.27%</w:t>
            </w:r>
          </w:p>
        </w:tc>
        <w:tc>
          <w:tcPr>
            <w:tcW w:w="132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36,931,119.74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35,139,195.18</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-0.12%</w:t>
            </w:r>
          </w:p>
        </w:tc>
        <w:tc>
          <w:tcPr>
            <w:tcW w:w="132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645,904,671.24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49.33%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635,000,000.00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53.09%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-3.76%</w:t>
            </w:r>
          </w:p>
        </w:tc>
        <w:tc>
          <w:tcPr>
            <w:tcW w:w="132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11,155,485.36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11,627,010.19</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-0.12%</w:t>
            </w:r>
          </w:p>
        </w:tc>
        <w:tc>
          <w:tcPr>
            <w:tcW w:w="132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134,437,397.84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10.27%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131,738,203.02</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11.01%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-0.74%</w:t>
            </w:r>
          </w:p>
        </w:tc>
        <w:tc>
          <w:tcPr>
            <w:tcW w:w="13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left="192" w:right="1198"/>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192" w:right="11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200" w:type="dxa"/>
        <w:tblLayout w:type="fixed"/>
        <w:tblCellMar>
          <w:top w:w="0" w:type="dxa"/>
          <w:left w:w="0" w:type="dxa"/>
          <w:bottom w:w="0" w:type="dxa"/>
          <w:right w:w="0" w:type="dxa"/>
        </w:tblCellMar>
        <w:tblLook w:val="01E0"/>
      </w:tblPr>
      <w:tblGrid>
        <w:gridCol w:w="965"/>
        <w:gridCol w:w="1027"/>
        <w:gridCol w:w="1058"/>
        <w:gridCol w:w="1193"/>
        <w:gridCol w:w="925"/>
        <w:gridCol w:w="1207"/>
        <w:gridCol w:w="1052"/>
        <w:gridCol w:w="920"/>
        <w:gridCol w:w="1212"/>
      </w:tblGrid>
      <w:tr>
        <w:trPr>
          <w:trHeight w:val="161" w:hRule="exact"/>
        </w:trPr>
        <w:tc>
          <w:tcPr>
            <w:tcW w:w="965" w:type="dxa"/>
            <w:vMerge w:val="restart"/>
            <w:tcBorders>
              <w:top w:val="single" w:sz="4" w:space="0" w:color="000000"/>
              <w:left w:val="single" w:sz="4" w:space="0" w:color="000000"/>
              <w:right w:val="single" w:sz="4" w:space="0" w:color="000000"/>
            </w:tcBorders>
            <w:shd w:val="clear" w:color="auto" w:fill="D2D2D2"/>
          </w:tcPr>
          <w:p>
            <w:pPr/>
          </w:p>
        </w:tc>
        <w:tc>
          <w:tcPr>
            <w:tcW w:w="1027" w:type="dxa"/>
            <w:vMerge w:val="restart"/>
            <w:tcBorders>
              <w:top w:val="single" w:sz="4" w:space="0" w:color="000000"/>
              <w:left w:val="single" w:sz="4" w:space="0" w:color="000000"/>
              <w:right w:val="single" w:sz="4" w:space="0" w:color="000000"/>
            </w:tcBorders>
            <w:shd w:val="clear" w:color="auto" w:fill="D2D2D2"/>
          </w:tcPr>
          <w:p>
            <w:pPr/>
          </w:p>
        </w:tc>
        <w:tc>
          <w:tcPr>
            <w:tcW w:w="10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52" w:right="49"/>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9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920" w:type="dxa"/>
            <w:vMerge w:val="restart"/>
            <w:tcBorders>
              <w:top w:val="single" w:sz="4" w:space="0" w:color="000000"/>
              <w:left w:val="single" w:sz="4" w:space="0" w:color="000000"/>
              <w:right w:val="single" w:sz="4" w:space="0" w:color="000000"/>
            </w:tcBorders>
            <w:shd w:val="clear" w:color="auto" w:fill="D2D2D2"/>
          </w:tcPr>
          <w:p>
            <w:pPr/>
          </w:p>
        </w:tc>
        <w:tc>
          <w:tcPr>
            <w:tcW w:w="1212"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965" w:type="dxa"/>
            <w:vMerge/>
            <w:tcBorders>
              <w:left w:val="single" w:sz="4" w:space="0" w:color="000000"/>
              <w:bottom w:val="nil" w:sz="6" w:space="0" w:color="auto"/>
              <w:right w:val="single" w:sz="4" w:space="0" w:color="000000"/>
            </w:tcBorders>
            <w:shd w:val="clear" w:color="auto" w:fill="D2D2D2"/>
          </w:tcPr>
          <w:p>
            <w:pPr/>
          </w:p>
        </w:tc>
        <w:tc>
          <w:tcPr>
            <w:tcW w:w="1027" w:type="dxa"/>
            <w:vMerge/>
            <w:tcBorders>
              <w:left w:val="single" w:sz="4" w:space="0" w:color="000000"/>
              <w:bottom w:val="nil" w:sz="6" w:space="0" w:color="auto"/>
              <w:right w:val="single" w:sz="4" w:space="0" w:color="000000"/>
            </w:tcBorders>
            <w:shd w:val="clear" w:color="auto" w:fill="D2D2D2"/>
          </w:tcPr>
          <w:p>
            <w:pPr/>
          </w:p>
        </w:tc>
        <w:tc>
          <w:tcPr>
            <w:tcW w:w="10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70" w:right="75"/>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93" w:type="dxa"/>
            <w:vMerge/>
            <w:tcBorders>
              <w:left w:val="single" w:sz="4" w:space="0" w:color="000000"/>
              <w:right w:val="single" w:sz="4" w:space="0" w:color="000000"/>
            </w:tcBorders>
            <w:shd w:val="clear" w:color="auto" w:fill="D2D2D2"/>
          </w:tcPr>
          <w:p>
            <w:pPr/>
          </w:p>
        </w:tc>
        <w:tc>
          <w:tcPr>
            <w:tcW w:w="92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89" w:right="93" w:hanging="89"/>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207" w:type="dxa"/>
            <w:vMerge/>
            <w:tcBorders>
              <w:left w:val="single" w:sz="4" w:space="0" w:color="000000"/>
              <w:bottom w:val="nil" w:sz="6" w:space="0" w:color="auto"/>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30" w:right="69"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920" w:type="dxa"/>
            <w:vMerge/>
            <w:tcBorders>
              <w:left w:val="single" w:sz="4" w:space="0" w:color="000000"/>
              <w:bottom w:val="nil" w:sz="6" w:space="0" w:color="auto"/>
              <w:right w:val="single" w:sz="4" w:space="0" w:color="000000"/>
            </w:tcBorders>
            <w:shd w:val="clear" w:color="auto" w:fill="D2D2D2"/>
          </w:tcPr>
          <w:p>
            <w:pPr/>
          </w:p>
        </w:tc>
        <w:tc>
          <w:tcPr>
            <w:tcW w:w="1212" w:type="dxa"/>
            <w:vMerge/>
            <w:tcBorders>
              <w:left w:val="single" w:sz="4" w:space="0" w:color="000000"/>
              <w:bottom w:val="nil" w:sz="6" w:space="0" w:color="auto"/>
              <w:right w:val="single" w:sz="4" w:space="0" w:color="000000"/>
            </w:tcBorders>
            <w:shd w:val="clear" w:color="auto" w:fill="D2D2D2"/>
          </w:tcPr>
          <w:p>
            <w:pPr/>
          </w:p>
        </w:tc>
      </w:tr>
      <w:tr>
        <w:trPr>
          <w:trHeight w:val="394" w:hRule="exact"/>
        </w:trPr>
        <w:tc>
          <w:tcPr>
            <w:tcW w:w="9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58"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925" w:type="dxa"/>
            <w:vMerge/>
            <w:tcBorders>
              <w:left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8"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052" w:type="dxa"/>
            <w:vMerge/>
            <w:tcBorders>
              <w:left w:val="single" w:sz="4" w:space="0" w:color="000000"/>
              <w:right w:val="single" w:sz="4" w:space="0" w:color="000000"/>
            </w:tcBorders>
            <w:shd w:val="clear" w:color="auto" w:fill="D2D2D2"/>
          </w:tcPr>
          <w:p>
            <w:pPr/>
          </w:p>
        </w:tc>
        <w:tc>
          <w:tcPr>
            <w:tcW w:w="9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965" w:type="dxa"/>
            <w:vMerge w:val="restart"/>
            <w:tcBorders>
              <w:top w:val="nil" w:sz="6" w:space="0" w:color="auto"/>
              <w:left w:val="single" w:sz="4" w:space="0" w:color="000000"/>
              <w:right w:val="single" w:sz="4" w:space="0" w:color="000000"/>
            </w:tcBorders>
            <w:shd w:val="clear" w:color="auto" w:fill="D2D2D2"/>
          </w:tcPr>
          <w:p>
            <w:pPr/>
          </w:p>
        </w:tc>
        <w:tc>
          <w:tcPr>
            <w:tcW w:w="1027" w:type="dxa"/>
            <w:vMerge w:val="restart"/>
            <w:tcBorders>
              <w:top w:val="nil" w:sz="6" w:space="0" w:color="auto"/>
              <w:left w:val="single" w:sz="4" w:space="0" w:color="000000"/>
              <w:right w:val="single" w:sz="4" w:space="0" w:color="000000"/>
            </w:tcBorders>
            <w:shd w:val="clear" w:color="auto" w:fill="D2D2D2"/>
          </w:tcPr>
          <w:p>
            <w:pPr/>
          </w:p>
        </w:tc>
        <w:tc>
          <w:tcPr>
            <w:tcW w:w="1058" w:type="dxa"/>
            <w:vMerge/>
            <w:tcBorders>
              <w:left w:val="single" w:sz="4" w:space="0" w:color="000000"/>
              <w:bottom w:val="nil" w:sz="6" w:space="0" w:color="auto"/>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925"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920" w:type="dxa"/>
            <w:vMerge w:val="restart"/>
            <w:tcBorders>
              <w:top w:val="nil" w:sz="6" w:space="0" w:color="auto"/>
              <w:left w:val="single" w:sz="4" w:space="0" w:color="000000"/>
              <w:right w:val="single" w:sz="4" w:space="0" w:color="000000"/>
            </w:tcBorders>
            <w:shd w:val="clear" w:color="auto" w:fill="D2D2D2"/>
          </w:tcPr>
          <w:p>
            <w:pPr/>
          </w:p>
        </w:tc>
        <w:tc>
          <w:tcPr>
            <w:tcW w:w="1212"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965" w:type="dxa"/>
            <w:vMerge/>
            <w:tcBorders>
              <w:left w:val="single" w:sz="4" w:space="0" w:color="000000"/>
              <w:bottom w:val="single" w:sz="4" w:space="0" w:color="000000"/>
              <w:right w:val="single" w:sz="4" w:space="0" w:color="000000"/>
            </w:tcBorders>
            <w:shd w:val="clear" w:color="auto" w:fill="D2D2D2"/>
          </w:tcPr>
          <w:p>
            <w:pPr/>
          </w:p>
        </w:tc>
        <w:tc>
          <w:tcPr>
            <w:tcW w:w="1027" w:type="dxa"/>
            <w:vMerge/>
            <w:tcBorders>
              <w:left w:val="single" w:sz="4" w:space="0" w:color="000000"/>
              <w:bottom w:val="single" w:sz="4" w:space="0" w:color="000000"/>
              <w:right w:val="single" w:sz="4" w:space="0" w:color="000000"/>
            </w:tcBorders>
            <w:shd w:val="clear" w:color="auto" w:fill="D2D2D2"/>
          </w:tcPr>
          <w:p>
            <w:pPr/>
          </w:p>
        </w:tc>
        <w:tc>
          <w:tcPr>
            <w:tcW w:w="10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9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39" w:hRule="exact"/>
        </w:trPr>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4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 融资产（不 含衍生金融 资产）</w:t>
            </w:r>
          </w:p>
        </w:tc>
        <w:tc>
          <w:tcPr>
            <w:tcW w:w="10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635,000,000.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4" w:right="0"/>
              <w:jc w:val="left"/>
              <w:rPr>
                <w:rFonts w:ascii="Times New Roman" w:hAnsi="Times New Roman" w:cs="Times New Roman" w:eastAsia="Times New Roman" w:hint="default"/>
                <w:sz w:val="18"/>
                <w:szCs w:val="18"/>
              </w:rPr>
            </w:pPr>
            <w:r>
              <w:rPr>
                <w:rFonts w:ascii="Times New Roman"/>
                <w:sz w:val="18"/>
              </w:rPr>
              <w:t>604,671.24</w:t>
            </w:r>
          </w:p>
        </w:tc>
        <w:tc>
          <w:tcPr>
            <w:tcW w:w="1193"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2,401,200,000.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2,390,900,00</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92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645,904,671.24</w:t>
            </w:r>
          </w:p>
        </w:tc>
      </w:tr>
      <w:tr>
        <w:trPr>
          <w:trHeight w:val="713" w:hRule="exact"/>
        </w:trPr>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 工具投资</w:t>
            </w:r>
          </w:p>
        </w:tc>
        <w:tc>
          <w:tcPr>
            <w:tcW w:w="10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131,738,203.</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02</w:t>
            </w:r>
          </w:p>
        </w:tc>
        <w:tc>
          <w:tcPr>
            <w:tcW w:w="105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4,886,760.81</w:t>
            </w:r>
          </w:p>
        </w:tc>
        <w:tc>
          <w:tcPr>
            <w:tcW w:w="92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134,437,397.84</w:t>
            </w:r>
          </w:p>
        </w:tc>
      </w:tr>
      <w:tr>
        <w:trPr>
          <w:trHeight w:val="161" w:hRule="exact"/>
        </w:trPr>
        <w:tc>
          <w:tcPr>
            <w:tcW w:w="9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27" w:type="dxa"/>
            <w:vMerge w:val="restart"/>
            <w:tcBorders>
              <w:top w:val="single" w:sz="4" w:space="0" w:color="000000"/>
              <w:left w:val="single" w:sz="9" w:space="0" w:color="D2D2D2"/>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766,738,203.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02</w:t>
            </w:r>
          </w:p>
        </w:tc>
        <w:tc>
          <w:tcPr>
            <w:tcW w:w="10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4" w:right="0"/>
              <w:jc w:val="left"/>
              <w:rPr>
                <w:rFonts w:ascii="Times New Roman" w:hAnsi="Times New Roman" w:cs="Times New Roman" w:eastAsia="Times New Roman" w:hint="default"/>
                <w:sz w:val="18"/>
                <w:szCs w:val="18"/>
              </w:rPr>
            </w:pPr>
            <w:r>
              <w:rPr>
                <w:rFonts w:ascii="Times New Roman"/>
                <w:sz w:val="18"/>
              </w:rPr>
              <w:t>604,671.24</w:t>
            </w:r>
          </w:p>
        </w:tc>
        <w:tc>
          <w:tcPr>
            <w:tcW w:w="11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4,886,760.81</w:t>
            </w:r>
          </w:p>
        </w:tc>
        <w:tc>
          <w:tcPr>
            <w:tcW w:w="925" w:type="dxa"/>
            <w:vMerge w:val="restart"/>
            <w:tcBorders>
              <w:top w:val="single" w:sz="4" w:space="0" w:color="000000"/>
              <w:left w:val="single" w:sz="4" w:space="0" w:color="000000"/>
              <w:right w:val="single" w:sz="4" w:space="0" w:color="000000"/>
            </w:tcBorders>
          </w:tcPr>
          <w:p>
            <w:pPr/>
          </w:p>
        </w:tc>
        <w:tc>
          <w:tcPr>
            <w:tcW w:w="1207" w:type="dxa"/>
            <w:vMerge w:val="restart"/>
            <w:tcBorders>
              <w:top w:val="single" w:sz="4" w:space="0" w:color="000000"/>
              <w:left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2,401,200,000.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52" w:type="dxa"/>
            <w:vMerge w:val="restart"/>
            <w:tcBorders>
              <w:top w:val="single" w:sz="4" w:space="0" w:color="000000"/>
              <w:left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2,390,900,00</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920" w:type="dxa"/>
            <w:vMerge w:val="restart"/>
            <w:tcBorders>
              <w:top w:val="single" w:sz="4" w:space="0" w:color="000000"/>
              <w:left w:val="single" w:sz="4" w:space="0" w:color="000000"/>
              <w:right w:val="single" w:sz="4" w:space="0" w:color="000000"/>
            </w:tcBorders>
          </w:tcPr>
          <w:p>
            <w:pPr/>
          </w:p>
        </w:tc>
        <w:tc>
          <w:tcPr>
            <w:tcW w:w="121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780,342,069.08</w:t>
            </w:r>
          </w:p>
        </w:tc>
      </w:tr>
      <w:tr>
        <w:trPr>
          <w:trHeight w:val="394" w:hRule="exact"/>
        </w:trPr>
        <w:tc>
          <w:tcPr>
            <w:tcW w:w="9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027" w:type="dxa"/>
            <w:vMerge/>
            <w:tcBorders>
              <w:left w:val="single" w:sz="9" w:space="0" w:color="D2D2D2"/>
              <w:right w:val="single" w:sz="4" w:space="0" w:color="000000"/>
            </w:tcBorders>
          </w:tcPr>
          <w:p>
            <w:pPr/>
          </w:p>
        </w:tc>
        <w:tc>
          <w:tcPr>
            <w:tcW w:w="1058" w:type="dxa"/>
            <w:vMerge/>
            <w:tcBorders>
              <w:left w:val="single" w:sz="4" w:space="0" w:color="000000"/>
              <w:right w:val="single" w:sz="4" w:space="0" w:color="000000"/>
            </w:tcBorders>
          </w:tcPr>
          <w:p>
            <w:pPr/>
          </w:p>
        </w:tc>
        <w:tc>
          <w:tcPr>
            <w:tcW w:w="1193" w:type="dxa"/>
            <w:vMerge/>
            <w:tcBorders>
              <w:left w:val="single" w:sz="4" w:space="0" w:color="000000"/>
              <w:right w:val="single" w:sz="4" w:space="0" w:color="000000"/>
            </w:tcBorders>
          </w:tcPr>
          <w:p>
            <w:pPr/>
          </w:p>
        </w:tc>
        <w:tc>
          <w:tcPr>
            <w:tcW w:w="925" w:type="dxa"/>
            <w:vMerge/>
            <w:tcBorders>
              <w:left w:val="single" w:sz="4" w:space="0" w:color="000000"/>
              <w:right w:val="single" w:sz="4" w:space="0" w:color="000000"/>
            </w:tcBorders>
          </w:tcPr>
          <w:p>
            <w:pPr/>
          </w:p>
        </w:tc>
        <w:tc>
          <w:tcPr>
            <w:tcW w:w="1207"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c>
          <w:tcPr>
            <w:tcW w:w="1212" w:type="dxa"/>
            <w:vMerge/>
            <w:tcBorders>
              <w:left w:val="single" w:sz="4" w:space="0" w:color="000000"/>
              <w:right w:val="single" w:sz="4" w:space="0" w:color="000000"/>
            </w:tcBorders>
          </w:tcPr>
          <w:p>
            <w:pPr/>
          </w:p>
        </w:tc>
      </w:tr>
      <w:tr>
        <w:trPr>
          <w:trHeight w:val="161" w:hRule="exact"/>
        </w:trPr>
        <w:tc>
          <w:tcPr>
            <w:tcW w:w="9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7" w:type="dxa"/>
            <w:vMerge/>
            <w:tcBorders>
              <w:left w:val="single" w:sz="9" w:space="0" w:color="D2D2D2"/>
              <w:bottom w:val="single" w:sz="4" w:space="0" w:color="000000"/>
              <w:right w:val="single" w:sz="4" w:space="0" w:color="000000"/>
            </w:tcBorders>
          </w:tcPr>
          <w:p>
            <w:pPr/>
          </w:p>
        </w:tc>
        <w:tc>
          <w:tcPr>
            <w:tcW w:w="1058" w:type="dxa"/>
            <w:vMerge/>
            <w:tcBorders>
              <w:left w:val="single" w:sz="4" w:space="0" w:color="000000"/>
              <w:bottom w:val="single" w:sz="4" w:space="0" w:color="000000"/>
              <w:right w:val="single" w:sz="4" w:space="0" w:color="000000"/>
            </w:tcBorders>
          </w:tcPr>
          <w:p>
            <w:pPr/>
          </w:p>
        </w:tc>
        <w:tc>
          <w:tcPr>
            <w:tcW w:w="1193" w:type="dxa"/>
            <w:vMerge/>
            <w:tcBorders>
              <w:left w:val="single" w:sz="4" w:space="0" w:color="000000"/>
              <w:bottom w:val="single" w:sz="4" w:space="0" w:color="000000"/>
              <w:right w:val="single" w:sz="4" w:space="0" w:color="000000"/>
            </w:tcBorders>
          </w:tcPr>
          <w:p>
            <w:pPr/>
          </w:p>
        </w:tc>
        <w:tc>
          <w:tcPr>
            <w:tcW w:w="925" w:type="dxa"/>
            <w:vMerge/>
            <w:tcBorders>
              <w:left w:val="single" w:sz="4" w:space="0" w:color="000000"/>
              <w:bottom w:val="single" w:sz="4" w:space="0" w:color="000000"/>
              <w:right w:val="single" w:sz="4" w:space="0" w:color="000000"/>
            </w:tcBorders>
          </w:tcPr>
          <w:p>
            <w:pPr/>
          </w:p>
        </w:tc>
        <w:tc>
          <w:tcPr>
            <w:tcW w:w="1207"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c>
          <w:tcPr>
            <w:tcW w:w="1212" w:type="dxa"/>
            <w:vMerge/>
            <w:tcBorders>
              <w:left w:val="single" w:sz="4" w:space="0" w:color="000000"/>
              <w:bottom w:val="single" w:sz="4" w:space="0" w:color="000000"/>
              <w:right w:val="single" w:sz="4" w:space="0" w:color="000000"/>
            </w:tcBorders>
          </w:tcPr>
          <w:p>
            <w:pPr/>
          </w:p>
        </w:tc>
      </w:tr>
    </w:tbl>
    <w:p>
      <w:pPr>
        <w:pStyle w:val="BodyText"/>
        <w:spacing w:line="357" w:lineRule="auto" w:before="49"/>
        <w:ind w:left="192" w:right="6794"/>
        <w:jc w:val="left"/>
      </w:pPr>
      <w:r>
        <w:rPr/>
        <w:t>其他变动的内容 报告期内公司主要资产计量属性是否发生重大变化</w:t>
      </w:r>
    </w:p>
    <w:p>
      <w:pPr>
        <w:spacing w:line="544" w:lineRule="auto" w:before="29"/>
        <w:ind w:left="192"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w:t>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、截至报告期末的资产权利受限情况</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sz w:val="18"/>
          <w:szCs w:val="18"/>
        </w:rPr>
        <w:t>无</w:t>
      </w:r>
    </w:p>
    <w:p>
      <w:pPr>
        <w:spacing w:after="0" w:line="544" w:lineRule="auto"/>
        <w:jc w:val="left"/>
        <w:rPr>
          <w:rFonts w:ascii="宋体" w:hAnsi="宋体" w:cs="宋体" w:eastAsia="宋体" w:hint="default"/>
          <w:sz w:val="18"/>
          <w:szCs w:val="18"/>
        </w:rPr>
        <w:sectPr>
          <w:pgSz w:w="11910" w:h="16840"/>
          <w:pgMar w:header="745" w:footer="979" w:top="1060" w:bottom="1160" w:left="94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1133"/>
        <w:jc w:val="left"/>
      </w:pPr>
      <w:r>
        <w:rPr/>
        <w:t>公司需遵守《深圳证券交易所创业板行业信息披露指引第</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上市公司从事集成电路相关业务》的披露要求</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1"/>
        <w:gridCol w:w="869"/>
        <w:gridCol w:w="872"/>
        <w:gridCol w:w="869"/>
        <w:gridCol w:w="871"/>
        <w:gridCol w:w="869"/>
        <w:gridCol w:w="871"/>
        <w:gridCol w:w="869"/>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1"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96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6" w:right="113"/>
              <w:jc w:val="left"/>
              <w:rPr>
                <w:rFonts w:ascii="宋体" w:hAnsi="宋体" w:cs="宋体" w:eastAsia="宋体" w:hint="default"/>
                <w:sz w:val="18"/>
                <w:szCs w:val="18"/>
              </w:rPr>
            </w:pPr>
            <w:r>
              <w:rPr>
                <w:rFonts w:ascii="宋体" w:hAnsi="宋体" w:cs="宋体" w:eastAsia="宋体" w:hint="default"/>
                <w:sz w:val="18"/>
                <w:szCs w:val="18"/>
              </w:rPr>
              <w:t>首次公开 发行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82,566.1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2,082.75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52,196.02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15,653.14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18.96%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30,370.08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部分存放 于募集资 </w:t>
            </w:r>
            <w:r>
              <w:rPr>
                <w:rFonts w:ascii="宋体" w:hAnsi="宋体" w:cs="宋体" w:eastAsia="宋体" w:hint="default"/>
                <w:spacing w:val="-18"/>
                <w:sz w:val="18"/>
                <w:szCs w:val="18"/>
              </w:rPr>
              <w:t>金专户，部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分用于购 买保本型 理财产品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30,370.08</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82,566.1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2,082.75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52,196.02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15,653.14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18.96%</w:t>
            </w:r>
          </w:p>
        </w:tc>
        <w:tc>
          <w:tcPr>
            <w:tcW w:w="86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30,370.08</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30,370.08</w:t>
            </w:r>
          </w:p>
        </w:tc>
      </w:tr>
      <w:tr>
        <w:trPr>
          <w:trHeight w:val="404"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8"/>
        <w:rPr>
          <w:rFonts w:ascii="宋体" w:hAnsi="宋体" w:cs="宋体" w:eastAsia="宋体" w:hint="default"/>
          <w:sz w:val="29"/>
          <w:szCs w:val="29"/>
        </w:rPr>
      </w:pPr>
    </w:p>
    <w:p>
      <w:pPr>
        <w:pStyle w:val="BodyText"/>
        <w:spacing w:line="240" w:lineRule="auto" w:before="44"/>
        <w:ind w:left="181" w:right="1133"/>
        <w:jc w:val="left"/>
      </w:pPr>
      <w:r>
        <w:rPr/>
        <w:pict>
          <v:group style="position:absolute;margin-left:56.400002pt;margin-top:-.988279pt;width:478.8pt;height:442.75pt;mso-position-horizontal-relative:page;mso-position-vertical-relative:paragraph;z-index:-1613320" coordorigin="1128,-20" coordsize="9576,8855">
            <v:group style="position:absolute;left:1138;top:-10;width:9557;height:2" coordorigin="1138,-10" coordsize="9557,2">
              <v:shape style="position:absolute;left:1138;top:-10;width:9557;height:2" coordorigin="1138,-10" coordsize="9557,0" path="m1138,-10l10694,-10e" filled="false" stroked="true" strokeweight=".48pt" strokecolor="#000000">
                <v:path arrowok="t"/>
              </v:shape>
            </v:group>
            <v:group style="position:absolute;left:1133;top:-15;width:2;height:8846" coordorigin="1133,-15" coordsize="2,8846">
              <v:shape style="position:absolute;left:1133;top:-15;width:2;height:8846" coordorigin="1133,-15" coordsize="0,8846" path="m1133,-15l1133,8830e" filled="false" stroked="true" strokeweight=".48pt" strokecolor="#000000">
                <v:path arrowok="t"/>
              </v:shape>
            </v:group>
            <v:group style="position:absolute;left:1138;top:8826;width:9557;height:2" coordorigin="1138,8826" coordsize="9557,2">
              <v:shape style="position:absolute;left:1138;top:8826;width:9557;height:2" coordorigin="1138,8826" coordsize="9557,0" path="m1138,8826l10694,8826e" filled="false" stroked="true" strokeweight=".48004pt" strokecolor="#000000">
                <v:path arrowok="t"/>
              </v:shape>
            </v:group>
            <v:group style="position:absolute;left:10699;top:-15;width:2;height:8846" coordorigin="10699,-15" coordsize="2,8846">
              <v:shape style="position:absolute;left:10699;top:-15;width:2;height:8846" coordorigin="10699,-15" coordsize="0,8846" path="m10699,-15l10699,8830e" filled="false" stroked="true" strokeweight=".48004pt" strokecolor="#000000">
                <v:path arrowok="t"/>
              </v:shape>
            </v:group>
            <w10:wrap type="none"/>
          </v:group>
        </w:pict>
      </w:r>
      <w:r>
        <w:rPr/>
        <w:t>公司募集资金总额</w:t>
      </w:r>
      <w:r>
        <w:rPr>
          <w:spacing w:val="-56"/>
        </w:rPr>
        <w:t> </w:t>
      </w:r>
      <w:r>
        <w:rPr>
          <w:rFonts w:ascii="Times New Roman" w:hAnsi="Times New Roman" w:cs="Times New Roman" w:eastAsia="Times New Roman" w:hint="default"/>
        </w:rPr>
        <w:t>87,600.00</w:t>
      </w:r>
      <w:r>
        <w:rPr>
          <w:rFonts w:ascii="Times New Roman" w:hAnsi="Times New Roman" w:cs="Times New Roman" w:eastAsia="Times New Roman" w:hint="default"/>
          <w:spacing w:val="-10"/>
        </w:rPr>
        <w:t> </w:t>
      </w:r>
      <w:r>
        <w:rPr/>
        <w:t>万元，扣除发行费用后，募集资金净额</w:t>
      </w:r>
      <w:r>
        <w:rPr>
          <w:spacing w:val="-56"/>
        </w:rPr>
        <w:t> </w:t>
      </w:r>
      <w:r>
        <w:rPr>
          <w:rFonts w:ascii="Times New Roman" w:hAnsi="Times New Roman" w:cs="Times New Roman" w:eastAsia="Times New Roman" w:hint="default"/>
        </w:rPr>
        <w:t>82,566.10</w:t>
      </w:r>
      <w:r>
        <w:rPr>
          <w:rFonts w:ascii="Times New Roman" w:hAnsi="Times New Roman" w:cs="Times New Roman" w:eastAsia="Times New Roman" w:hint="default"/>
          <w:spacing w:val="-10"/>
        </w:rPr>
        <w:t> </w:t>
      </w:r>
      <w:r>
        <w:rPr/>
        <w:t>万元。截至报告期末，公司已累计使用募集</w:t>
      </w:r>
    </w:p>
    <w:p>
      <w:pPr>
        <w:pStyle w:val="BodyText"/>
        <w:spacing w:line="240" w:lineRule="auto" w:before="63"/>
        <w:ind w:left="181" w:right="1133"/>
        <w:jc w:val="left"/>
      </w:pPr>
      <w:r>
        <w:rPr/>
        <w:t>资金总额</w:t>
      </w:r>
      <w:r>
        <w:rPr>
          <w:spacing w:val="-46"/>
        </w:rPr>
        <w:t> </w:t>
      </w:r>
      <w:r>
        <w:rPr>
          <w:rFonts w:ascii="Times New Roman" w:hAnsi="Times New Roman" w:cs="Times New Roman" w:eastAsia="Times New Roman" w:hint="default"/>
        </w:rPr>
        <w:t>52,196.02</w:t>
      </w:r>
      <w:r>
        <w:rPr>
          <w:rFonts w:ascii="Times New Roman" w:hAnsi="Times New Roman" w:cs="Times New Roman" w:eastAsia="Times New Roman" w:hint="default"/>
          <w:spacing w:val="-1"/>
        </w:rPr>
        <w:t> </w:t>
      </w:r>
      <w:r>
        <w:rPr/>
        <w:t>万元。其中：</w:t>
      </w:r>
    </w:p>
    <w:p>
      <w:pPr>
        <w:pStyle w:val="BodyText"/>
        <w:spacing w:line="240" w:lineRule="auto" w:before="101"/>
        <w:ind w:left="181" w:right="1133"/>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w:t>
      </w:r>
      <w:r>
        <w:rPr/>
        <w:t>便携式消费电子产品用多媒体处理器芯片技术改造项目</w:t>
      </w:r>
      <w:r>
        <w:rPr>
          <w:rFonts w:ascii="Times New Roman" w:hAnsi="Times New Roman" w:cs="Times New Roman" w:eastAsia="Times New Roman" w:hint="default"/>
        </w:rPr>
        <w:t>”</w:t>
      </w:r>
      <w:r>
        <w:rPr/>
        <w:t>，经公司</w:t>
      </w:r>
      <w:r>
        <w:rPr>
          <w:spacing w:val="-4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t>日召开的第一届董事会第十九次会</w:t>
      </w:r>
    </w:p>
    <w:p>
      <w:pPr>
        <w:pStyle w:val="BodyText"/>
        <w:spacing w:line="240" w:lineRule="auto" w:before="63"/>
        <w:ind w:left="181" w:right="1133"/>
        <w:jc w:val="left"/>
        <w:rPr>
          <w:rFonts w:ascii="Times New Roman" w:hAnsi="Times New Roman" w:cs="Times New Roman" w:eastAsia="Times New Roman" w:hint="default"/>
        </w:rPr>
      </w:pPr>
      <w:r>
        <w:rPr/>
        <w:t>议和</w:t>
      </w:r>
      <w:r>
        <w:rPr>
          <w:spacing w:val="-47"/>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spacing w:val="-9"/>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0"/>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日召开的</w:t>
      </w:r>
      <w:r>
        <w:rPr>
          <w:spacing w:val="-50"/>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2 </w:t>
      </w:r>
      <w:r>
        <w:rPr/>
        <w:t>年第二次临时股东大会</w:t>
      </w:r>
      <w:r>
        <w:rPr>
          <w:spacing w:val="-3"/>
        </w:rPr>
        <w:t>审</w:t>
      </w:r>
      <w:r>
        <w:rPr/>
        <w:t>议通过</w:t>
      </w:r>
      <w:r>
        <w:rPr>
          <w:spacing w:val="-92"/>
        </w:rPr>
        <w:t>，</w:t>
      </w:r>
      <w:r>
        <w:rPr/>
        <w:t>该投资项目终止</w:t>
      </w:r>
      <w:r>
        <w:rPr>
          <w:spacing w:val="-92"/>
        </w:rPr>
        <w:t>，</w:t>
      </w:r>
      <w:r>
        <w:rPr/>
        <w:t>终</w:t>
      </w:r>
      <w:r>
        <w:rPr>
          <w:spacing w:val="2"/>
        </w:rPr>
        <w:t>止</w:t>
      </w:r>
      <w:r>
        <w:rPr/>
        <w:t>时该项目累计投入资金</w:t>
      </w:r>
      <w:r>
        <w:rPr>
          <w:spacing w:val="-46"/>
        </w:rPr>
        <w:t> </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3</w:t>
      </w:r>
      <w:r>
        <w:rPr>
          <w:rFonts w:ascii="Times New Roman" w:hAnsi="Times New Roman" w:cs="Times New Roman" w:eastAsia="Times New Roman" w:hint="default"/>
        </w:rPr>
        <w:t>0</w:t>
      </w:r>
    </w:p>
    <w:p>
      <w:pPr>
        <w:pStyle w:val="BodyText"/>
        <w:spacing w:line="240" w:lineRule="auto" w:before="63"/>
        <w:ind w:left="181" w:right="1133"/>
        <w:jc w:val="left"/>
      </w:pPr>
      <w:r>
        <w:rPr/>
        <w:t>万元；</w:t>
      </w:r>
    </w:p>
    <w:p>
      <w:pPr>
        <w:pStyle w:val="BodyText"/>
        <w:spacing w:line="240" w:lineRule="auto" w:before="117"/>
        <w:ind w:left="181" w:right="1133"/>
        <w:jc w:val="left"/>
        <w:rPr>
          <w:rFonts w:ascii="Times New Roman" w:hAnsi="Times New Roman" w:cs="Times New Roman" w:eastAsia="Times New Roman" w:hint="default"/>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便携式教育电子产品用嵌入式处理器芯片技术改造项目</w:t>
      </w:r>
      <w:r>
        <w:rPr>
          <w:rFonts w:ascii="Times New Roman" w:hAnsi="Times New Roman" w:cs="Times New Roman" w:eastAsia="Times New Roman" w:hint="default"/>
        </w:rPr>
        <w:t>”</w:t>
      </w:r>
      <w:r>
        <w:rPr/>
        <w:t>经公司</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27 </w:t>
      </w:r>
      <w:r>
        <w:rPr/>
        <w:t>日第二届董事会第十一次会议和</w:t>
      </w:r>
      <w:r>
        <w:rPr>
          <w:spacing w:val="-45"/>
        </w:rPr>
        <w:t> </w:t>
      </w:r>
      <w:r>
        <w:rPr>
          <w:rFonts w:ascii="Times New Roman" w:hAnsi="Times New Roman" w:cs="Times New Roman" w:eastAsia="Times New Roman" w:hint="default"/>
        </w:rPr>
        <w:t>2014</w:t>
      </w:r>
    </w:p>
    <w:p>
      <w:pPr>
        <w:pStyle w:val="BodyText"/>
        <w:spacing w:line="240" w:lineRule="auto" w:before="63"/>
        <w:ind w:left="181" w:right="1133"/>
        <w:jc w:val="left"/>
      </w:pP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日召开的</w:t>
      </w:r>
      <w:r>
        <w:rPr>
          <w:spacing w:val="-47"/>
        </w:rPr>
        <w:t> </w:t>
      </w:r>
      <w:r>
        <w:rPr>
          <w:rFonts w:ascii="Times New Roman" w:hAnsi="Times New Roman" w:cs="Times New Roman" w:eastAsia="Times New Roman" w:hint="default"/>
        </w:rPr>
        <w:t>2013 </w:t>
      </w:r>
      <w:r>
        <w:rPr/>
        <w:t>年年度股东大会审议通过，公司将该项目变更为</w:t>
      </w:r>
      <w:r>
        <w:rPr>
          <w:rFonts w:ascii="Times New Roman" w:hAnsi="Times New Roman" w:cs="Times New Roman" w:eastAsia="Times New Roman" w:hint="default"/>
        </w:rPr>
        <w:t>“</w:t>
      </w:r>
      <w:r>
        <w:rPr/>
        <w:t>物联网及智能可穿戴设备核心技术及产品研发</w:t>
      </w:r>
    </w:p>
    <w:p>
      <w:pPr>
        <w:pStyle w:val="BodyText"/>
        <w:spacing w:line="240" w:lineRule="auto" w:before="63"/>
        <w:ind w:left="181" w:right="1133"/>
        <w:jc w:val="left"/>
      </w:pPr>
      <w:r>
        <w:rPr/>
        <w:t>项目</w:t>
      </w:r>
      <w:r>
        <w:rPr>
          <w:rFonts w:ascii="Times New Roman" w:hAnsi="Times New Roman" w:cs="Times New Roman" w:eastAsia="Times New Roman" w:hint="default"/>
        </w:rPr>
        <w:t>”</w:t>
      </w:r>
      <w:r>
        <w:rPr/>
        <w:t>。截至变更时，</w:t>
      </w:r>
      <w:r>
        <w:rPr>
          <w:rFonts w:ascii="Times New Roman" w:hAnsi="Times New Roman" w:cs="Times New Roman" w:eastAsia="Times New Roman" w:hint="default"/>
        </w:rPr>
        <w:t>“</w:t>
      </w:r>
      <w:r>
        <w:rPr/>
        <w:t>便携式教育电子产品用嵌入式处理器芯片技术改造项目</w:t>
      </w:r>
      <w:r>
        <w:rPr>
          <w:rFonts w:ascii="Times New Roman" w:hAnsi="Times New Roman" w:cs="Times New Roman" w:eastAsia="Times New Roman" w:hint="default"/>
        </w:rPr>
        <w:t>”</w:t>
      </w:r>
      <w:r>
        <w:rPr/>
        <w:t>累计投入金额</w:t>
      </w:r>
      <w:r>
        <w:rPr>
          <w:spacing w:val="-48"/>
        </w:rPr>
        <w:t> </w:t>
      </w:r>
      <w:r>
        <w:rPr>
          <w:rFonts w:ascii="Times New Roman" w:hAnsi="Times New Roman" w:cs="Times New Roman" w:eastAsia="Times New Roman" w:hint="default"/>
        </w:rPr>
        <w:t>2,138.74</w:t>
      </w:r>
      <w:r>
        <w:rPr>
          <w:rFonts w:ascii="Times New Roman" w:hAnsi="Times New Roman" w:cs="Times New Roman" w:eastAsia="Times New Roman" w:hint="default"/>
          <w:spacing w:val="-1"/>
        </w:rPr>
        <w:t> </w:t>
      </w:r>
      <w:r>
        <w:rPr/>
        <w:t>万元；</w:t>
      </w:r>
    </w:p>
    <w:p>
      <w:pPr>
        <w:pStyle w:val="BodyText"/>
        <w:spacing w:line="240" w:lineRule="auto" w:before="103"/>
        <w:ind w:left="181" w:right="1133"/>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w:t>
      </w:r>
      <w:r>
        <w:rPr/>
        <w:t>移动互联网终端应用处理器芯片研发及产业化项目</w:t>
      </w:r>
      <w:r>
        <w:rPr>
          <w:rFonts w:ascii="Times New Roman" w:hAnsi="Times New Roman" w:cs="Times New Roman" w:eastAsia="Times New Roman" w:hint="default"/>
        </w:rPr>
        <w:t>”</w:t>
      </w:r>
      <w:r>
        <w:rPr/>
        <w:t>，该项目于</w:t>
      </w:r>
      <w:r>
        <w:rPr>
          <w:spacing w:val="-4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31 </w:t>
      </w:r>
      <w:r>
        <w:rPr/>
        <w:t>日完结，截至项目完结时累计投入金</w:t>
      </w:r>
    </w:p>
    <w:p>
      <w:pPr>
        <w:pStyle w:val="BodyText"/>
        <w:spacing w:line="240" w:lineRule="auto" w:before="63"/>
        <w:ind w:left="181" w:right="1133"/>
        <w:jc w:val="left"/>
      </w:pPr>
      <w:r>
        <w:rPr/>
        <w:t>额</w:t>
      </w:r>
      <w:r>
        <w:rPr>
          <w:spacing w:val="-48"/>
        </w:rPr>
        <w:t> </w:t>
      </w:r>
      <w:r>
        <w:rPr>
          <w:rFonts w:ascii="Times New Roman" w:hAnsi="Times New Roman" w:cs="Times New Roman" w:eastAsia="Times New Roman" w:hint="default"/>
        </w:rPr>
        <w:t>11,402.82</w:t>
      </w:r>
      <w:r>
        <w:rPr>
          <w:rFonts w:ascii="Times New Roman" w:hAnsi="Times New Roman" w:cs="Times New Roman" w:eastAsia="Times New Roman" w:hint="default"/>
          <w:spacing w:val="-3"/>
        </w:rPr>
        <w:t> </w:t>
      </w:r>
      <w:r>
        <w:rPr/>
        <w:t>万元；</w:t>
      </w:r>
    </w:p>
    <w:p>
      <w:pPr>
        <w:pStyle w:val="BodyText"/>
        <w:spacing w:line="240" w:lineRule="auto" w:before="102"/>
        <w:ind w:left="181" w:right="1133"/>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w:t>
      </w:r>
      <w:r>
        <w:rPr/>
        <w:t>研发中心建设项目</w:t>
      </w:r>
      <w:r>
        <w:rPr>
          <w:rFonts w:ascii="Times New Roman" w:hAnsi="Times New Roman" w:cs="Times New Roman" w:eastAsia="Times New Roman" w:hint="default"/>
        </w:rPr>
        <w:t>”</w:t>
      </w:r>
      <w:r>
        <w:rPr/>
        <w:t>，该项目于</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日完结，截至项目完结时累计投入金额</w:t>
      </w:r>
      <w:r>
        <w:rPr>
          <w:spacing w:val="-47"/>
        </w:rPr>
        <w:t> </w:t>
      </w:r>
      <w:r>
        <w:rPr>
          <w:rFonts w:ascii="Times New Roman" w:hAnsi="Times New Roman" w:cs="Times New Roman" w:eastAsia="Times New Roman" w:hint="default"/>
        </w:rPr>
        <w:t>1,810.31</w:t>
      </w:r>
      <w:r>
        <w:rPr>
          <w:rFonts w:ascii="Times New Roman" w:hAnsi="Times New Roman" w:cs="Times New Roman" w:eastAsia="Times New Roman" w:hint="default"/>
          <w:spacing w:val="1"/>
        </w:rPr>
        <w:t> </w:t>
      </w:r>
      <w:r>
        <w:rPr/>
        <w:t>万元；</w:t>
      </w:r>
    </w:p>
    <w:p>
      <w:pPr>
        <w:pStyle w:val="BodyText"/>
        <w:spacing w:line="240" w:lineRule="auto" w:before="103"/>
        <w:ind w:left="181" w:right="1133"/>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w:t>
      </w:r>
      <w:r>
        <w:rPr/>
        <w:t>物联网及智能可穿戴设备核心技术及产品研发项目</w:t>
      </w:r>
      <w:r>
        <w:rPr>
          <w:rFonts w:ascii="Times New Roman" w:hAnsi="Times New Roman" w:cs="Times New Roman" w:eastAsia="Times New Roman" w:hint="default"/>
        </w:rPr>
        <w:t>”</w:t>
      </w:r>
      <w:r>
        <w:rPr/>
        <w:t>，截至报告期末，该项目累计投入金额</w:t>
      </w:r>
      <w:r>
        <w:rPr>
          <w:spacing w:val="-54"/>
        </w:rPr>
        <w:t> </w:t>
      </w:r>
      <w:r>
        <w:rPr>
          <w:rFonts w:ascii="Times New Roman" w:hAnsi="Times New Roman" w:cs="Times New Roman" w:eastAsia="Times New Roman" w:hint="default"/>
        </w:rPr>
        <w:t>13,019.85</w:t>
      </w:r>
      <w:r>
        <w:rPr>
          <w:rFonts w:ascii="Times New Roman" w:hAnsi="Times New Roman" w:cs="Times New Roman" w:eastAsia="Times New Roman" w:hint="default"/>
          <w:spacing w:val="-6"/>
        </w:rPr>
        <w:t> </w:t>
      </w:r>
      <w:r>
        <w:rPr/>
        <w:t>万元，投资进度</w:t>
      </w:r>
    </w:p>
    <w:p>
      <w:pPr>
        <w:pStyle w:val="BodyText"/>
        <w:spacing w:line="240" w:lineRule="auto" w:before="63"/>
        <w:ind w:left="181" w:right="1133"/>
        <w:jc w:val="left"/>
      </w:pPr>
      <w:r>
        <w:rPr>
          <w:rFonts w:ascii="Times New Roman" w:hAnsi="Times New Roman" w:cs="Times New Roman" w:eastAsia="Times New Roman" w:hint="default"/>
        </w:rPr>
        <w:t>93.06%</w:t>
      </w:r>
      <w:r>
        <w:rPr/>
        <w:t>；</w:t>
      </w:r>
    </w:p>
    <w:p>
      <w:pPr>
        <w:pStyle w:val="BodyText"/>
        <w:spacing w:line="240" w:lineRule="auto" w:before="103"/>
        <w:ind w:left="181" w:right="1133"/>
        <w:jc w:val="left"/>
      </w:pPr>
      <w:r>
        <w:rPr>
          <w:rFonts w:ascii="Times New Roman" w:hAnsi="Times New Roman" w:cs="Times New Roman" w:eastAsia="Times New Roman" w:hint="default"/>
          <w:spacing w:val="-7"/>
        </w:rPr>
        <w:t>6</w:t>
      </w:r>
      <w:r>
        <w:rPr>
          <w:spacing w:val="-7"/>
        </w:rPr>
        <w:t>、经公司</w:t>
      </w:r>
      <w:r>
        <w:rPr>
          <w:spacing w:val="-47"/>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日召开的第二届董事会第十次会议和</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日召开的</w:t>
      </w:r>
      <w:r>
        <w:rPr>
          <w:spacing w:val="-47"/>
        </w:rPr>
        <w:t> </w:t>
      </w:r>
      <w:r>
        <w:rPr>
          <w:rFonts w:ascii="Times New Roman" w:hAnsi="Times New Roman" w:cs="Times New Roman" w:eastAsia="Times New Roman" w:hint="default"/>
        </w:rPr>
        <w:t>2014 </w:t>
      </w:r>
      <w:r>
        <w:rPr/>
        <w:t>年第一次临时股东大会审议</w:t>
      </w:r>
    </w:p>
    <w:p>
      <w:pPr>
        <w:pStyle w:val="BodyText"/>
        <w:spacing w:line="300" w:lineRule="auto" w:before="63"/>
        <w:ind w:left="181" w:right="1230"/>
        <w:jc w:val="left"/>
      </w:pPr>
      <w:r>
        <w:rPr/>
        <w:t>通过，公司决定使用超募资金</w:t>
      </w:r>
      <w:r>
        <w:rPr>
          <w:spacing w:val="-45"/>
        </w:rPr>
        <w:t> </w:t>
      </w:r>
      <w:r>
        <w:rPr>
          <w:rFonts w:ascii="Times New Roman" w:hAnsi="Times New Roman" w:cs="Times New Roman" w:eastAsia="Times New Roman" w:hint="default"/>
        </w:rPr>
        <w:t>14,000.00</w:t>
      </w:r>
      <w:r>
        <w:rPr>
          <w:rFonts w:ascii="Times New Roman" w:hAnsi="Times New Roman" w:cs="Times New Roman" w:eastAsia="Times New Roman" w:hint="default"/>
          <w:spacing w:val="2"/>
        </w:rPr>
        <w:t> </w:t>
      </w:r>
      <w:r>
        <w:rPr/>
        <w:t>万元在合肥高新技术产业开发区投资成立全资子公司。</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2 </w:t>
      </w:r>
      <w:r>
        <w:rPr/>
        <w:t>月，公司完成了 全资子公司合肥君正科技有限公司的设立工作。</w:t>
      </w:r>
    </w:p>
    <w:p>
      <w:pPr>
        <w:pStyle w:val="BodyText"/>
        <w:spacing w:line="240" w:lineRule="auto" w:before="70"/>
        <w:ind w:left="181" w:right="1133"/>
        <w:jc w:val="left"/>
      </w:pPr>
      <w:r>
        <w:rPr>
          <w:rFonts w:ascii="Times New Roman" w:hAnsi="Times New Roman" w:cs="Times New Roman" w:eastAsia="Times New Roman" w:hint="default"/>
        </w:rPr>
        <w:t>7</w:t>
      </w:r>
      <w:r>
        <w:rPr/>
        <w:t>、经公司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3 </w:t>
      </w:r>
      <w:r>
        <w:rPr/>
        <w:t>月</w:t>
      </w:r>
      <w:r>
        <w:rPr>
          <w:spacing w:val="-48"/>
        </w:rPr>
        <w:t> </w:t>
      </w:r>
      <w:r>
        <w:rPr>
          <w:rFonts w:ascii="Times New Roman" w:hAnsi="Times New Roman" w:cs="Times New Roman" w:eastAsia="Times New Roman" w:hint="default"/>
        </w:rPr>
        <w:t>29 </w:t>
      </w:r>
      <w:r>
        <w:rPr/>
        <w:t>日召开的第三届董事会第二十一次会议和</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4 </w:t>
      </w:r>
      <w:r>
        <w:rPr/>
        <w:t>日召开的</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年年度股东大会审议通</w:t>
      </w:r>
    </w:p>
    <w:p>
      <w:pPr>
        <w:pStyle w:val="BodyText"/>
        <w:spacing w:line="240" w:lineRule="auto" w:before="63"/>
        <w:ind w:left="181" w:right="986"/>
        <w:jc w:val="left"/>
      </w:pPr>
      <w:r>
        <w:rPr>
          <w:spacing w:val="-4"/>
        </w:rPr>
        <w:t>过，公司使用超募资金</w:t>
      </w:r>
      <w:r>
        <w:rPr>
          <w:spacing w:val="-66"/>
        </w:rPr>
        <w:t> </w:t>
      </w:r>
      <w:r>
        <w:rPr>
          <w:rFonts w:ascii="Times New Roman" w:hAnsi="Times New Roman" w:cs="Times New Roman" w:eastAsia="Times New Roman" w:hint="default"/>
        </w:rPr>
        <w:t>9,500</w:t>
      </w:r>
      <w:r>
        <w:rPr>
          <w:rFonts w:ascii="Times New Roman" w:hAnsi="Times New Roman" w:cs="Times New Roman" w:eastAsia="Times New Roman" w:hint="default"/>
          <w:spacing w:val="-20"/>
        </w:rPr>
        <w:t> </w:t>
      </w:r>
      <w:r>
        <w:rPr/>
        <w:t>万元对公司全资子公司合肥君正科技有限公司进行增资，以进行合肥君正二期研发楼的建设。</w:t>
      </w:r>
    </w:p>
    <w:p>
      <w:pPr>
        <w:pStyle w:val="BodyText"/>
        <w:spacing w:line="240" w:lineRule="auto" w:before="63"/>
        <w:ind w:left="181" w:right="1133"/>
        <w:jc w:val="left"/>
      </w:pPr>
      <w:r>
        <w:rPr>
          <w:rFonts w:ascii="Times New Roman" w:hAnsi="Times New Roman" w:cs="Times New Roman" w:eastAsia="Times New Roman" w:hint="default"/>
        </w:rPr>
        <w:t>2018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月，公司完成了对全资子公司合肥君正科技有限公司的增资工作。</w:t>
      </w:r>
    </w:p>
    <w:p>
      <w:pPr>
        <w:pStyle w:val="BodyText"/>
        <w:spacing w:line="304" w:lineRule="auto" w:before="103"/>
        <w:ind w:left="181" w:right="1220"/>
        <w:jc w:val="left"/>
      </w:pPr>
      <w:r>
        <w:rPr>
          <w:rFonts w:ascii="Times New Roman" w:hAnsi="Times New Roman" w:cs="Times New Roman" w:eastAsia="Times New Roman" w:hint="default"/>
        </w:rPr>
        <w:t>8</w:t>
      </w:r>
      <w:r>
        <w:rPr/>
        <w:t>、经公司</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7 </w:t>
      </w:r>
      <w:r>
        <w:rPr/>
        <w:t>月</w:t>
      </w:r>
      <w:r>
        <w:rPr>
          <w:spacing w:val="-48"/>
        </w:rPr>
        <w:t> </w:t>
      </w:r>
      <w:r>
        <w:rPr>
          <w:rFonts w:ascii="Times New Roman" w:hAnsi="Times New Roman" w:cs="Times New Roman" w:eastAsia="Times New Roman" w:hint="default"/>
        </w:rPr>
        <w:t>31 </w:t>
      </w:r>
      <w:r>
        <w:rPr/>
        <w:t>日召开的第四届董事会第七次会议和</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9 </w:t>
      </w:r>
      <w:r>
        <w:rPr/>
        <w:t>日召开的</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年第一次临时股东大会审议 </w:t>
      </w:r>
      <w:r>
        <w:rPr>
          <w:spacing w:val="-2"/>
        </w:rPr>
        <w:t>通过，公司拟使用结余募集资金和超募资金及部分募集资金利息（含现金管理收益）</w:t>
      </w:r>
      <w:r>
        <w:rPr>
          <w:rFonts w:ascii="Times New Roman" w:hAnsi="Times New Roman" w:cs="Times New Roman" w:eastAsia="Times New Roman" w:hint="default"/>
          <w:spacing w:val="-2"/>
        </w:rPr>
        <w:t>45,613.30</w:t>
      </w:r>
      <w:r>
        <w:rPr>
          <w:rFonts w:ascii="Times New Roman" w:hAnsi="Times New Roman" w:cs="Times New Roman" w:eastAsia="Times New Roman" w:hint="default"/>
          <w:spacing w:val="12"/>
        </w:rPr>
        <w:t> </w:t>
      </w:r>
      <w:r>
        <w:rPr/>
        <w:t>万元支付公司重大资产重组</w:t>
      </w:r>
      <w:r>
        <w:rPr>
          <w:spacing w:val="-88"/>
        </w:rPr>
        <w:t> </w:t>
      </w:r>
      <w:r>
        <w:rPr/>
        <w:t>部分现金对价，该事项已经</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9 </w:t>
      </w:r>
      <w:r>
        <w:rPr/>
        <w:t>月</w:t>
      </w:r>
      <w:r>
        <w:rPr>
          <w:spacing w:val="-48"/>
        </w:rPr>
        <w:t> </w:t>
      </w:r>
      <w:r>
        <w:rPr>
          <w:rFonts w:ascii="Times New Roman" w:hAnsi="Times New Roman" w:cs="Times New Roman" w:eastAsia="Times New Roman" w:hint="default"/>
        </w:rPr>
        <w:t>9 </w:t>
      </w:r>
      <w:r>
        <w:rPr/>
        <w:t>日召开的</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年第一次临时股东大会审议通过。公司于</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44"/>
        </w:rPr>
        <w:t> </w:t>
      </w:r>
      <w:r>
        <w:rPr>
          <w:spacing w:val="-3"/>
        </w:rPr>
        <w:t>日收 </w:t>
      </w:r>
      <w:r>
        <w:rPr>
          <w:spacing w:val="-1"/>
        </w:rPr>
        <w:t>到中国证监会出具的《关于核准北京君正集成电路股份有限公司向北京屹唐半导体产业投资中心（有限合伙）等发行股份</w:t>
      </w:r>
      <w:r>
        <w:rPr>
          <w:spacing w:val="-74"/>
        </w:rPr>
        <w:t> </w:t>
      </w:r>
      <w:r>
        <w:rPr>
          <w:spacing w:val="-74"/>
        </w:rPr>
      </w:r>
      <w:r>
        <w:rPr>
          <w:spacing w:val="-4"/>
        </w:rPr>
        <w:t>购买资产并募集配套资金的批复》（证监许可</w:t>
      </w:r>
      <w:r>
        <w:rPr>
          <w:rFonts w:ascii="Times New Roman" w:hAnsi="Times New Roman" w:cs="Times New Roman" w:eastAsia="Times New Roman" w:hint="default"/>
          <w:spacing w:val="-4"/>
        </w:rPr>
        <w:t>[2019]2938</w:t>
      </w:r>
      <w:r>
        <w:rPr>
          <w:rFonts w:ascii="Times New Roman" w:hAnsi="Times New Roman" w:cs="Times New Roman" w:eastAsia="Times New Roman" w:hint="default"/>
          <w:spacing w:val="26"/>
        </w:rPr>
        <w:t> </w:t>
      </w:r>
      <w:r>
        <w:rPr>
          <w:spacing w:val="-4"/>
        </w:rPr>
        <w:t>号），核准公司本次发行股份购买资产并募集配套资金事项获得证</w:t>
      </w:r>
      <w:r>
        <w:rPr>
          <w:spacing w:val="-82"/>
        </w:rPr>
        <w:t> </w:t>
      </w:r>
      <w:r>
        <w:rPr>
          <w:spacing w:val="-82"/>
        </w:rPr>
      </w:r>
      <w:r>
        <w:rPr>
          <w:spacing w:val="-2"/>
        </w:rPr>
        <w:t>监会核准。公司将通过发行股份及支付现金的方式向北京屹唐半导体产业投资中心（有限合伙）、上海武岳峰集成电路股</w:t>
      </w:r>
      <w:r>
        <w:rPr>
          <w:spacing w:val="-76"/>
        </w:rPr>
        <w:t> </w:t>
      </w:r>
      <w:r>
        <w:rPr>
          <w:spacing w:val="-76"/>
        </w:rPr>
      </w:r>
      <w:r>
        <w:rPr/>
        <w:t>权投资合伙企业（有限合伙）等</w:t>
      </w:r>
      <w:r>
        <w:rPr>
          <w:spacing w:val="-45"/>
        </w:rPr>
        <w:t> </w:t>
      </w:r>
      <w:r>
        <w:rPr>
          <w:rFonts w:ascii="Times New Roman" w:hAnsi="Times New Roman" w:cs="Times New Roman" w:eastAsia="Times New Roman" w:hint="default"/>
        </w:rPr>
        <w:t>13 </w:t>
      </w:r>
      <w:r>
        <w:rPr/>
        <w:t>名交易对方购买其持有的相关资产。公司将积极推动本次交易的各项工作，截至本报 告期末，公司尚未以募集资金支付本次交易的现金对价。</w:t>
      </w:r>
    </w:p>
    <w:p>
      <w:pPr>
        <w:spacing w:line="240" w:lineRule="auto" w:before="7"/>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22"/>
        <w:gridCol w:w="725"/>
        <w:gridCol w:w="898"/>
        <w:gridCol w:w="896"/>
        <w:gridCol w:w="727"/>
        <w:gridCol w:w="898"/>
        <w:gridCol w:w="898"/>
        <w:gridCol w:w="727"/>
        <w:gridCol w:w="727"/>
        <w:gridCol w:w="898"/>
        <w:gridCol w:w="727"/>
        <w:gridCol w:w="727"/>
      </w:tblGrid>
      <w:tr>
        <w:trPr>
          <w:trHeight w:val="1649"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5" w:right="84"/>
              <w:jc w:val="center"/>
              <w:rPr>
                <w:rFonts w:ascii="宋体" w:hAnsi="宋体" w:cs="宋体" w:eastAsia="宋体" w:hint="default"/>
                <w:sz w:val="18"/>
                <w:szCs w:val="18"/>
              </w:rPr>
            </w:pPr>
            <w:r>
              <w:rPr>
                <w:rFonts w:ascii="宋体" w:hAnsi="宋体" w:cs="宋体" w:eastAsia="宋体" w:hint="default"/>
                <w:sz w:val="18"/>
                <w:szCs w:val="18"/>
              </w:rPr>
              <w:t>承诺投 资项目 和超募 资金投 向</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57" w:right="55" w:firstLine="31"/>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3" w:right="8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9" w:right="63"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8" w:right="86"/>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3"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26" w:lineRule="auto"/>
              <w:ind w:left="83" w:right="8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 w:right="86"/>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8" w:right="86"/>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4" w:right="82"/>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8" w:right="86"/>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 w:right="86"/>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3" w:hRule="exact"/>
        </w:trPr>
        <w:tc>
          <w:tcPr>
            <w:tcW w:w="957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23"/>
        <w:gridCol w:w="725"/>
        <w:gridCol w:w="898"/>
        <w:gridCol w:w="896"/>
        <w:gridCol w:w="727"/>
        <w:gridCol w:w="898"/>
        <w:gridCol w:w="898"/>
        <w:gridCol w:w="727"/>
        <w:gridCol w:w="727"/>
        <w:gridCol w:w="898"/>
        <w:gridCol w:w="727"/>
        <w:gridCol w:w="727"/>
      </w:tblGrid>
      <w:tr>
        <w:trPr>
          <w:trHeight w:val="356" w:hRule="exact"/>
        </w:trPr>
        <w:tc>
          <w:tcPr>
            <w:tcW w:w="7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便携式</w:t>
            </w:r>
          </w:p>
        </w:tc>
        <w:tc>
          <w:tcPr>
            <w:tcW w:w="725"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教育电</w:t>
            </w:r>
          </w:p>
        </w:tc>
        <w:tc>
          <w:tcPr>
            <w:tcW w:w="725"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vMerge/>
            <w:tcBorders>
              <w:left w:val="single" w:sz="4" w:space="0" w:color="000000"/>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子产品</w:t>
            </w:r>
          </w:p>
        </w:tc>
        <w:tc>
          <w:tcPr>
            <w:tcW w:w="725"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vMerge/>
            <w:tcBorders>
              <w:left w:val="single" w:sz="4" w:space="0" w:color="000000"/>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72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47"/>
              <w:jc w:val="left"/>
              <w:rPr>
                <w:rFonts w:ascii="宋体" w:hAnsi="宋体" w:cs="宋体" w:eastAsia="宋体" w:hint="default"/>
                <w:sz w:val="18"/>
                <w:szCs w:val="18"/>
              </w:rPr>
            </w:pPr>
            <w:r>
              <w:rPr>
                <w:rFonts w:ascii="宋体" w:hAnsi="宋体" w:cs="宋体" w:eastAsia="宋体" w:hint="default"/>
                <w:sz w:val="18"/>
                <w:szCs w:val="18"/>
              </w:rPr>
              <w:t>用嵌入 式处理</w:t>
            </w:r>
          </w:p>
        </w:tc>
        <w:tc>
          <w:tcPr>
            <w:tcW w:w="7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8,165</w:t>
            </w: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2,138.74</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2,138.74</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7" w:type="dxa"/>
            <w:vMerge/>
            <w:tcBorders>
              <w:left w:val="single" w:sz="4" w:space="0" w:color="000000"/>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12" w:hRule="exact"/>
        </w:trPr>
        <w:tc>
          <w:tcPr>
            <w:tcW w:w="7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器芯片</w:t>
            </w:r>
          </w:p>
        </w:tc>
        <w:tc>
          <w:tcPr>
            <w:tcW w:w="725"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vMerge/>
            <w:tcBorders>
              <w:left w:val="single" w:sz="4" w:space="0" w:color="000000"/>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技术改</w:t>
            </w:r>
          </w:p>
        </w:tc>
        <w:tc>
          <w:tcPr>
            <w:tcW w:w="725"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vMerge/>
            <w:tcBorders>
              <w:left w:val="single" w:sz="4" w:space="0" w:color="000000"/>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7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造项目</w:t>
            </w:r>
          </w:p>
        </w:tc>
        <w:tc>
          <w:tcPr>
            <w:tcW w:w="725"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便携式</w:t>
            </w:r>
          </w:p>
        </w:tc>
        <w:tc>
          <w:tcPr>
            <w:tcW w:w="725"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72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消费电</w:t>
            </w:r>
          </w:p>
        </w:tc>
        <w:tc>
          <w:tcPr>
            <w:tcW w:w="725"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vMerge/>
            <w:tcBorders>
              <w:left w:val="single" w:sz="4" w:space="0" w:color="000000"/>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子产品</w:t>
            </w:r>
          </w:p>
        </w:tc>
        <w:tc>
          <w:tcPr>
            <w:tcW w:w="725"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vMerge/>
            <w:tcBorders>
              <w:left w:val="single" w:sz="4" w:space="0" w:color="000000"/>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72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47"/>
              <w:jc w:val="left"/>
              <w:rPr>
                <w:rFonts w:ascii="宋体" w:hAnsi="宋体" w:cs="宋体" w:eastAsia="宋体" w:hint="default"/>
                <w:sz w:val="18"/>
                <w:szCs w:val="18"/>
              </w:rPr>
            </w:pPr>
            <w:r>
              <w:rPr>
                <w:rFonts w:ascii="宋体" w:hAnsi="宋体" w:cs="宋体" w:eastAsia="宋体" w:hint="default"/>
                <w:sz w:val="18"/>
                <w:szCs w:val="18"/>
              </w:rPr>
              <w:t>用多媒 体处理</w:t>
            </w:r>
          </w:p>
        </w:tc>
        <w:tc>
          <w:tcPr>
            <w:tcW w:w="72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8,721</w:t>
            </w: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324.3</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324.3</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7" w:type="dxa"/>
            <w:vMerge/>
            <w:tcBorders>
              <w:left w:val="single" w:sz="4" w:space="0" w:color="000000"/>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12" w:hRule="exact"/>
        </w:trPr>
        <w:tc>
          <w:tcPr>
            <w:tcW w:w="7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器芯片</w:t>
            </w:r>
          </w:p>
        </w:tc>
        <w:tc>
          <w:tcPr>
            <w:tcW w:w="725"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vMerge/>
            <w:tcBorders>
              <w:left w:val="single" w:sz="4" w:space="0" w:color="000000"/>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技术改</w:t>
            </w:r>
          </w:p>
        </w:tc>
        <w:tc>
          <w:tcPr>
            <w:tcW w:w="725"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vMerge/>
            <w:tcBorders>
              <w:left w:val="single" w:sz="4" w:space="0" w:color="000000"/>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7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造项目</w:t>
            </w:r>
          </w:p>
        </w:tc>
        <w:tc>
          <w:tcPr>
            <w:tcW w:w="725"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7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移动互</w:t>
            </w:r>
          </w:p>
        </w:tc>
        <w:tc>
          <w:tcPr>
            <w:tcW w:w="725"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联网终</w:t>
            </w:r>
          </w:p>
        </w:tc>
        <w:tc>
          <w:tcPr>
            <w:tcW w:w="725"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723"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4" w:right="146"/>
              <w:jc w:val="both"/>
              <w:rPr>
                <w:rFonts w:ascii="宋体" w:hAnsi="宋体" w:cs="宋体" w:eastAsia="宋体" w:hint="default"/>
                <w:sz w:val="18"/>
                <w:szCs w:val="18"/>
              </w:rPr>
            </w:pPr>
            <w:r>
              <w:rPr>
                <w:rFonts w:ascii="宋体" w:hAnsi="宋体" w:cs="宋体" w:eastAsia="宋体" w:hint="default"/>
                <w:sz w:val="18"/>
                <w:szCs w:val="18"/>
              </w:rPr>
              <w:t>端应用 处理器 芯片研 发及产</w:t>
            </w:r>
          </w:p>
        </w:tc>
        <w:tc>
          <w:tcPr>
            <w:tcW w:w="7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12,387</w:t>
            </w: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pacing w:val="-1"/>
                <w:sz w:val="18"/>
              </w:rPr>
              <w:t>12,387</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pacing w:val="-1"/>
                <w:w w:val="95"/>
                <w:sz w:val="18"/>
              </w:rPr>
              <w:t>11,402.82</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6"/>
              <w:jc w:val="right"/>
              <w:rPr>
                <w:rFonts w:ascii="Times New Roman" w:hAnsi="Times New Roman" w:cs="Times New Roman" w:eastAsia="Times New Roman" w:hint="default"/>
                <w:sz w:val="18"/>
                <w:szCs w:val="18"/>
              </w:rPr>
            </w:pPr>
            <w:r>
              <w:rPr>
                <w:rFonts w:ascii="Times New Roman"/>
                <w:sz w:val="18"/>
              </w:rPr>
              <w:t>92.05%</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pacing w:val="-1"/>
                <w:sz w:val="18"/>
              </w:rPr>
              <w:t>-4,605.02</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2" w:hRule="exact"/>
        </w:trPr>
        <w:tc>
          <w:tcPr>
            <w:tcW w:w="7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业化项</w:t>
            </w:r>
          </w:p>
        </w:tc>
        <w:tc>
          <w:tcPr>
            <w:tcW w:w="725"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7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25"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7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研发中</w:t>
            </w:r>
          </w:p>
        </w:tc>
        <w:tc>
          <w:tcPr>
            <w:tcW w:w="725"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27"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2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心建设</w:t>
            </w:r>
          </w:p>
        </w:tc>
        <w:tc>
          <w:tcPr>
            <w:tcW w:w="72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3,388</w:t>
            </w: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8"/>
              <w:jc w:val="right"/>
              <w:rPr>
                <w:rFonts w:ascii="Times New Roman" w:hAnsi="Times New Roman" w:cs="Times New Roman" w:eastAsia="Times New Roman" w:hint="default"/>
                <w:sz w:val="18"/>
                <w:szCs w:val="18"/>
              </w:rPr>
            </w:pPr>
            <w:r>
              <w:rPr>
                <w:rFonts w:ascii="Times New Roman"/>
                <w:sz w:val="18"/>
              </w:rPr>
              <w:t>3,142</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w w:val="95"/>
                <w:sz w:val="18"/>
              </w:rPr>
              <w:t>1,810.31</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6"/>
              <w:jc w:val="right"/>
              <w:rPr>
                <w:rFonts w:ascii="Times New Roman" w:hAnsi="Times New Roman" w:cs="Times New Roman" w:eastAsia="Times New Roman" w:hint="default"/>
                <w:sz w:val="18"/>
                <w:szCs w:val="18"/>
              </w:rPr>
            </w:pPr>
            <w:r>
              <w:rPr>
                <w:rFonts w:ascii="Times New Roman"/>
                <w:sz w:val="18"/>
              </w:rPr>
              <w:t>57.62%</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4" w:hRule="exact"/>
        </w:trPr>
        <w:tc>
          <w:tcPr>
            <w:tcW w:w="7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25"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7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物联网</w:t>
            </w:r>
          </w:p>
        </w:tc>
        <w:tc>
          <w:tcPr>
            <w:tcW w:w="725"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及智能</w:t>
            </w:r>
          </w:p>
        </w:tc>
        <w:tc>
          <w:tcPr>
            <w:tcW w:w="725"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r>
      <w:tr>
        <w:trPr>
          <w:trHeight w:val="1249" w:hRule="exact"/>
        </w:trPr>
        <w:tc>
          <w:tcPr>
            <w:tcW w:w="723"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4" w:right="147"/>
              <w:jc w:val="both"/>
              <w:rPr>
                <w:rFonts w:ascii="宋体" w:hAnsi="宋体" w:cs="宋体" w:eastAsia="宋体" w:hint="default"/>
                <w:sz w:val="18"/>
                <w:szCs w:val="18"/>
              </w:rPr>
            </w:pPr>
            <w:r>
              <w:rPr>
                <w:rFonts w:ascii="宋体" w:hAnsi="宋体" w:cs="宋体" w:eastAsia="宋体" w:hint="default"/>
                <w:sz w:val="18"/>
                <w:szCs w:val="18"/>
              </w:rPr>
              <w:t>可穿戴 设备核 心技术 及产品</w:t>
            </w:r>
          </w:p>
        </w:tc>
        <w:tc>
          <w:tcPr>
            <w:tcW w:w="7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3"/>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8"/>
              <w:jc w:val="right"/>
              <w:rPr>
                <w:rFonts w:ascii="Times New Roman" w:hAnsi="Times New Roman" w:cs="Times New Roman" w:eastAsia="Times New Roman" w:hint="default"/>
                <w:sz w:val="18"/>
                <w:szCs w:val="18"/>
              </w:rPr>
            </w:pPr>
            <w:r>
              <w:rPr>
                <w:rFonts w:ascii="Times New Roman"/>
                <w:spacing w:val="-1"/>
                <w:sz w:val="18"/>
              </w:rPr>
              <w:t>13,991</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9"/>
              <w:jc w:val="right"/>
              <w:rPr>
                <w:rFonts w:ascii="Times New Roman" w:hAnsi="Times New Roman" w:cs="Times New Roman" w:eastAsia="Times New Roman" w:hint="default"/>
                <w:sz w:val="18"/>
                <w:szCs w:val="18"/>
              </w:rPr>
            </w:pPr>
            <w:r>
              <w:rPr>
                <w:rFonts w:ascii="Times New Roman"/>
                <w:w w:val="95"/>
                <w:sz w:val="18"/>
              </w:rPr>
              <w:t>2,082.75</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9"/>
              <w:jc w:val="right"/>
              <w:rPr>
                <w:rFonts w:ascii="Times New Roman" w:hAnsi="Times New Roman" w:cs="Times New Roman" w:eastAsia="Times New Roman" w:hint="default"/>
                <w:sz w:val="18"/>
                <w:szCs w:val="18"/>
              </w:rPr>
            </w:pPr>
            <w:r>
              <w:rPr>
                <w:rFonts w:ascii="Times New Roman"/>
                <w:spacing w:val="-1"/>
                <w:sz w:val="18"/>
              </w:rPr>
              <w:t>13,019.85</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6"/>
              <w:jc w:val="right"/>
              <w:rPr>
                <w:rFonts w:ascii="Times New Roman" w:hAnsi="Times New Roman" w:cs="Times New Roman" w:eastAsia="Times New Roman" w:hint="default"/>
                <w:sz w:val="18"/>
                <w:szCs w:val="18"/>
              </w:rPr>
            </w:pPr>
            <w:r>
              <w:rPr>
                <w:rFonts w:ascii="Times New Roman"/>
                <w:sz w:val="18"/>
              </w:rPr>
              <w:t>93.06%</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9"/>
              <w:jc w:val="right"/>
              <w:rPr>
                <w:rFonts w:ascii="Times New Roman" w:hAnsi="Times New Roman" w:cs="Times New Roman" w:eastAsia="Times New Roman" w:hint="default"/>
                <w:sz w:val="18"/>
                <w:szCs w:val="18"/>
              </w:rPr>
            </w:pPr>
            <w:r>
              <w:rPr>
                <w:rFonts w:ascii="Times New Roman"/>
                <w:w w:val="95"/>
                <w:sz w:val="18"/>
              </w:rPr>
              <w:t>1,278.29</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9"/>
              <w:jc w:val="right"/>
              <w:rPr>
                <w:rFonts w:ascii="Times New Roman" w:hAnsi="Times New Roman" w:cs="Times New Roman" w:eastAsia="Times New Roman" w:hint="default"/>
                <w:sz w:val="18"/>
                <w:szCs w:val="18"/>
              </w:rPr>
            </w:pPr>
            <w:r>
              <w:rPr>
                <w:rFonts w:ascii="Times New Roman"/>
                <w:spacing w:val="-1"/>
                <w:sz w:val="18"/>
              </w:rPr>
              <w:t>-2,425.88</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2" w:hRule="exact"/>
        </w:trPr>
        <w:tc>
          <w:tcPr>
            <w:tcW w:w="7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研发项</w:t>
            </w:r>
          </w:p>
        </w:tc>
        <w:tc>
          <w:tcPr>
            <w:tcW w:w="725"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7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25"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r>
      <w:tr>
        <w:trPr>
          <w:trHeight w:val="319" w:hRule="exact"/>
        </w:trPr>
        <w:tc>
          <w:tcPr>
            <w:tcW w:w="72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w:t>
            </w:r>
          </w:p>
        </w:tc>
        <w:tc>
          <w:tcPr>
            <w:tcW w:w="725" w:type="dxa"/>
            <w:tcBorders>
              <w:top w:val="single" w:sz="4" w:space="0" w:color="000000"/>
              <w:left w:val="single" w:sz="4" w:space="0" w:color="000000"/>
              <w:bottom w:val="nil" w:sz="6" w:space="0" w:color="auto"/>
              <w:right w:val="single" w:sz="4" w:space="0" w:color="000000"/>
            </w:tcBorders>
            <w:shd w:val="clear" w:color="auto" w:fill="D2D2D2"/>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资项目</w:t>
            </w:r>
          </w:p>
        </w:tc>
        <w:tc>
          <w:tcPr>
            <w:tcW w:w="7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98" w:type="dxa"/>
            <w:tcBorders>
              <w:top w:val="nil" w:sz="6" w:space="0" w:color="auto"/>
              <w:left w:val="single" w:sz="10" w:space="0" w:color="D2D2D2"/>
              <w:bottom w:val="nil" w:sz="6" w:space="0" w:color="auto"/>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32,661</w:t>
            </w: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31,983.04</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2,082.75</w:t>
            </w:r>
          </w:p>
        </w:tc>
        <w:tc>
          <w:tcPr>
            <w:tcW w:w="898" w:type="dxa"/>
            <w:tcBorders>
              <w:top w:val="nil" w:sz="6" w:space="0" w:color="auto"/>
              <w:left w:val="single" w:sz="4" w:space="0" w:color="000000"/>
              <w:bottom w:val="nil" w:sz="6" w:space="0" w:color="auto"/>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28,696.02</w:t>
            </w:r>
          </w:p>
        </w:tc>
        <w:tc>
          <w:tcPr>
            <w:tcW w:w="8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nil" w:sz="6" w:space="0" w:color="auto"/>
              <w:left w:val="single" w:sz="10" w:space="0" w:color="D2D2D2"/>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1,278.29</w:t>
            </w:r>
          </w:p>
        </w:tc>
        <w:tc>
          <w:tcPr>
            <w:tcW w:w="898" w:type="dxa"/>
            <w:tcBorders>
              <w:top w:val="nil" w:sz="6" w:space="0" w:color="auto"/>
              <w:left w:val="single" w:sz="4" w:space="0" w:color="000000"/>
              <w:bottom w:val="nil" w:sz="6" w:space="0" w:color="auto"/>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-7,030.9</w:t>
            </w: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72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3" w:lineRule="exact"/>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25" w:type="dxa"/>
            <w:tcBorders>
              <w:top w:val="nil" w:sz="6" w:space="0" w:color="auto"/>
              <w:left w:val="single" w:sz="4" w:space="0" w:color="000000"/>
              <w:bottom w:val="single" w:sz="4" w:space="0" w:color="000000"/>
              <w:right w:val="single" w:sz="4" w:space="0" w:color="000000"/>
            </w:tcBorders>
            <w:shd w:val="clear" w:color="auto" w:fill="D2D2D2"/>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23"/>
        <w:gridCol w:w="725"/>
        <w:gridCol w:w="898"/>
        <w:gridCol w:w="896"/>
        <w:gridCol w:w="727"/>
        <w:gridCol w:w="898"/>
        <w:gridCol w:w="898"/>
        <w:gridCol w:w="727"/>
        <w:gridCol w:w="727"/>
        <w:gridCol w:w="898"/>
        <w:gridCol w:w="727"/>
        <w:gridCol w:w="727"/>
      </w:tblGrid>
      <w:tr>
        <w:trPr>
          <w:trHeight w:val="356" w:hRule="exact"/>
        </w:trPr>
        <w:tc>
          <w:tcPr>
            <w:tcW w:w="7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投资成</w:t>
            </w:r>
          </w:p>
        </w:tc>
        <w:tc>
          <w:tcPr>
            <w:tcW w:w="725"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7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立合肥</w:t>
            </w:r>
          </w:p>
        </w:tc>
        <w:tc>
          <w:tcPr>
            <w:tcW w:w="725"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君正科</w:t>
            </w:r>
          </w:p>
        </w:tc>
        <w:tc>
          <w:tcPr>
            <w:tcW w:w="7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14,000</w:t>
            </w: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pacing w:val="-1"/>
                <w:sz w:val="18"/>
              </w:rPr>
              <w:t>14,000</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pacing w:val="-1"/>
                <w:sz w:val="18"/>
              </w:rPr>
              <w:t>14,000</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pacing w:val="-2"/>
                <w:sz w:val="18"/>
              </w:rPr>
              <w:t>2,711.2</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-2,318.4</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07" w:hRule="exact"/>
        </w:trPr>
        <w:tc>
          <w:tcPr>
            <w:tcW w:w="7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技有限</w:t>
            </w:r>
          </w:p>
        </w:tc>
        <w:tc>
          <w:tcPr>
            <w:tcW w:w="725"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7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25"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向合肥</w:t>
            </w:r>
          </w:p>
        </w:tc>
        <w:tc>
          <w:tcPr>
            <w:tcW w:w="725"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72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君正增</w:t>
            </w:r>
          </w:p>
        </w:tc>
        <w:tc>
          <w:tcPr>
            <w:tcW w:w="725"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7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资以投</w:t>
            </w:r>
          </w:p>
        </w:tc>
        <w:tc>
          <w:tcPr>
            <w:tcW w:w="725"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2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资建设</w:t>
            </w:r>
          </w:p>
        </w:tc>
        <w:tc>
          <w:tcPr>
            <w:tcW w:w="72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9,500</w:t>
            </w: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8"/>
              <w:jc w:val="right"/>
              <w:rPr>
                <w:rFonts w:ascii="Times New Roman" w:hAnsi="Times New Roman" w:cs="Times New Roman" w:eastAsia="Times New Roman" w:hint="default"/>
                <w:sz w:val="18"/>
                <w:szCs w:val="18"/>
              </w:rPr>
            </w:pPr>
            <w:r>
              <w:rPr>
                <w:rFonts w:ascii="Times New Roman"/>
                <w:sz w:val="18"/>
              </w:rPr>
              <w:t>9,500</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8"/>
              <w:jc w:val="right"/>
              <w:rPr>
                <w:rFonts w:ascii="Times New Roman" w:hAnsi="Times New Roman" w:cs="Times New Roman" w:eastAsia="Times New Roman" w:hint="default"/>
                <w:sz w:val="18"/>
                <w:szCs w:val="18"/>
              </w:rPr>
            </w:pPr>
            <w:r>
              <w:rPr>
                <w:rFonts w:ascii="Times New Roman"/>
                <w:sz w:val="18"/>
              </w:rPr>
              <w:t>9,500</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06" w:hRule="exact"/>
        </w:trPr>
        <w:tc>
          <w:tcPr>
            <w:tcW w:w="72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合肥君</w:t>
            </w:r>
          </w:p>
        </w:tc>
        <w:tc>
          <w:tcPr>
            <w:tcW w:w="725"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正二期</w:t>
            </w:r>
          </w:p>
        </w:tc>
        <w:tc>
          <w:tcPr>
            <w:tcW w:w="725"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7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研发楼</w:t>
            </w:r>
          </w:p>
        </w:tc>
        <w:tc>
          <w:tcPr>
            <w:tcW w:w="725"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r>
      <w:tr>
        <w:trPr>
          <w:trHeight w:val="317" w:hRule="exact"/>
        </w:trPr>
        <w:tc>
          <w:tcPr>
            <w:tcW w:w="72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w:t>
            </w:r>
          </w:p>
        </w:tc>
        <w:tc>
          <w:tcPr>
            <w:tcW w:w="725" w:type="dxa"/>
            <w:tcBorders>
              <w:top w:val="single" w:sz="4" w:space="0" w:color="000000"/>
              <w:left w:val="single" w:sz="4" w:space="0" w:color="000000"/>
              <w:bottom w:val="nil" w:sz="6" w:space="0" w:color="auto"/>
              <w:right w:val="single" w:sz="4" w:space="0" w:color="000000"/>
            </w:tcBorders>
            <w:shd w:val="clear" w:color="auto" w:fill="D2D2D2"/>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金投向</w:t>
            </w:r>
          </w:p>
        </w:tc>
        <w:tc>
          <w:tcPr>
            <w:tcW w:w="7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898" w:type="dxa"/>
            <w:tcBorders>
              <w:top w:val="nil" w:sz="6" w:space="0" w:color="auto"/>
              <w:left w:val="single" w:sz="10" w:space="0" w:color="D2D2D2"/>
              <w:bottom w:val="nil" w:sz="6" w:space="0" w:color="auto"/>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23,500</w:t>
            </w: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23,500</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23,500</w:t>
            </w:r>
          </w:p>
        </w:tc>
        <w:tc>
          <w:tcPr>
            <w:tcW w:w="8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2,711.2</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-2,318.4</w:t>
            </w: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r>
      <w:tr>
        <w:trPr>
          <w:trHeight w:val="317" w:hRule="exact"/>
        </w:trPr>
        <w:tc>
          <w:tcPr>
            <w:tcW w:w="72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25" w:type="dxa"/>
            <w:tcBorders>
              <w:top w:val="nil" w:sz="6" w:space="0" w:color="auto"/>
              <w:left w:val="single" w:sz="4" w:space="0" w:color="000000"/>
              <w:bottom w:val="single" w:sz="4" w:space="0" w:color="000000"/>
              <w:right w:val="single" w:sz="4" w:space="0" w:color="000000"/>
            </w:tcBorders>
            <w:shd w:val="clear" w:color="auto" w:fill="D2D2D2"/>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95"/>
              <w:jc w:val="right"/>
              <w:rPr>
                <w:rFonts w:ascii="Times New Roman" w:hAnsi="Times New Roman" w:cs="Times New Roman" w:eastAsia="Times New Roman" w:hint="default"/>
                <w:sz w:val="18"/>
                <w:szCs w:val="18"/>
              </w:rPr>
            </w:pPr>
            <w:r>
              <w:rPr>
                <w:rFonts w:ascii="Times New Roman"/>
                <w:sz w:val="18"/>
              </w:rPr>
              <w:t>--</w:t>
            </w:r>
          </w:p>
        </w:tc>
        <w:tc>
          <w:tcPr>
            <w:tcW w:w="8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56,161</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55,483.04</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2,082.75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52,196.02</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3,989.49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-9,349.3</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95"/>
              <w:jc w:val="right"/>
              <w:rPr>
                <w:rFonts w:ascii="Times New Roman" w:hAnsi="Times New Roman" w:cs="Times New Roman" w:eastAsia="Times New Roman" w:hint="default"/>
                <w:sz w:val="18"/>
                <w:szCs w:val="18"/>
              </w:rPr>
            </w:pPr>
            <w:r>
              <w:rPr>
                <w:rFonts w:ascii="Times New Roman"/>
                <w:sz w:val="18"/>
              </w:rPr>
              <w:t>--</w:t>
            </w:r>
          </w:p>
        </w:tc>
      </w:tr>
      <w:tr>
        <w:trPr>
          <w:trHeight w:val="360" w:hRule="exact"/>
        </w:trPr>
        <w:tc>
          <w:tcPr>
            <w:tcW w:w="723" w:type="dxa"/>
            <w:vMerge w:val="restart"/>
            <w:tcBorders>
              <w:top w:val="single" w:sz="4" w:space="0" w:color="000000"/>
              <w:left w:val="single" w:sz="4" w:space="0" w:color="000000"/>
              <w:right w:val="single" w:sz="13" w:space="0" w:color="FFFFFF"/>
            </w:tcBorders>
            <w:shd w:val="clear" w:color="auto" w:fill="D2D2D2"/>
          </w:tcPr>
          <w:p>
            <w:pPr/>
          </w:p>
        </w:tc>
        <w:tc>
          <w:tcPr>
            <w:tcW w:w="8848" w:type="dxa"/>
            <w:gridSpan w:val="11"/>
            <w:tcBorders>
              <w:top w:val="single" w:sz="4" w:space="0" w:color="000000"/>
              <w:left w:val="single" w:sz="13" w:space="0" w:color="FFFFFF"/>
              <w:bottom w:val="nil" w:sz="6" w:space="0" w:color="auto"/>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、鉴于国内</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PMP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市场受移动互联网终端产品的冲击持续衰退，消费电子市场已经发生了较大变化，继续</w:t>
            </w:r>
            <w:r>
              <w:rPr>
                <w:rFonts w:ascii="Times New Roman" w:hAnsi="Times New Roman" w:cs="Times New Roman" w:eastAsia="Times New Roman" w:hint="default"/>
                <w:sz w:val="18"/>
                <w:szCs w:val="18"/>
              </w:rPr>
              <w:t>“</w:t>
            </w:r>
            <w:r>
              <w:rPr>
                <w:rFonts w:ascii="宋体" w:hAnsi="宋体" w:cs="宋体" w:eastAsia="宋体" w:hint="default"/>
                <w:sz w:val="18"/>
                <w:szCs w:val="18"/>
              </w:rPr>
              <w:t>便携</w:t>
            </w:r>
          </w:p>
        </w:tc>
      </w:tr>
      <w:tr>
        <w:trPr>
          <w:trHeight w:val="312" w:hRule="exact"/>
        </w:trPr>
        <w:tc>
          <w:tcPr>
            <w:tcW w:w="723" w:type="dxa"/>
            <w:vMerge/>
            <w:tcBorders>
              <w:left w:val="single" w:sz="4" w:space="0" w:color="000000"/>
              <w:right w:val="single" w:sz="13" w:space="0" w:color="FFFFFF"/>
            </w:tcBorders>
            <w:shd w:val="clear" w:color="auto" w:fill="D2D2D2"/>
          </w:tcPr>
          <w:p>
            <w:pPr/>
          </w:p>
        </w:tc>
        <w:tc>
          <w:tcPr>
            <w:tcW w:w="8848" w:type="dxa"/>
            <w:gridSpan w:val="11"/>
            <w:tcBorders>
              <w:top w:val="nil" w:sz="6" w:space="0" w:color="auto"/>
              <w:left w:val="single" w:sz="13" w:space="0" w:color="FFFFFF"/>
              <w:bottom w:val="nil" w:sz="6" w:space="0" w:color="auto"/>
              <w:right w:val="single" w:sz="4" w:space="0" w:color="000000"/>
            </w:tcBorders>
          </w:tcPr>
          <w:p>
            <w:pPr>
              <w:pStyle w:val="TableParagraph"/>
              <w:spacing w:line="240" w:lineRule="auto" w:before="5"/>
              <w:ind w:left="12" w:right="0"/>
              <w:jc w:val="left"/>
              <w:rPr>
                <w:rFonts w:ascii="宋体" w:hAnsi="宋体" w:cs="宋体" w:eastAsia="宋体" w:hint="default"/>
                <w:sz w:val="18"/>
                <w:szCs w:val="18"/>
              </w:rPr>
            </w:pPr>
            <w:r>
              <w:rPr>
                <w:rFonts w:ascii="宋体" w:hAnsi="宋体" w:cs="宋体" w:eastAsia="宋体" w:hint="default"/>
                <w:sz w:val="18"/>
                <w:szCs w:val="18"/>
              </w:rPr>
              <w:t>式消费电子产品用多媒体处理器芯片技术改造项目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的研发已无法达到理想的投资回报，实施该项目存在较大风</w:t>
            </w:r>
          </w:p>
        </w:tc>
      </w:tr>
      <w:tr>
        <w:trPr>
          <w:trHeight w:val="312" w:hRule="exact"/>
        </w:trPr>
        <w:tc>
          <w:tcPr>
            <w:tcW w:w="723" w:type="dxa"/>
            <w:vMerge/>
            <w:tcBorders>
              <w:left w:val="single" w:sz="4" w:space="0" w:color="000000"/>
              <w:right w:val="single" w:sz="13" w:space="0" w:color="FFFFFF"/>
            </w:tcBorders>
            <w:shd w:val="clear" w:color="auto" w:fill="D2D2D2"/>
          </w:tcPr>
          <w:p>
            <w:pPr/>
          </w:p>
        </w:tc>
        <w:tc>
          <w:tcPr>
            <w:tcW w:w="8848" w:type="dxa"/>
            <w:gridSpan w:val="11"/>
            <w:tcBorders>
              <w:top w:val="nil" w:sz="6" w:space="0" w:color="auto"/>
              <w:left w:val="single" w:sz="13" w:space="0" w:color="FFFFFF"/>
              <w:bottom w:val="nil" w:sz="6" w:space="0" w:color="auto"/>
              <w:right w:val="single" w:sz="4" w:space="0" w:color="000000"/>
            </w:tcBorders>
          </w:tcPr>
          <w:p>
            <w:pPr>
              <w:pStyle w:val="TableParagraph"/>
              <w:spacing w:line="240" w:lineRule="auto" w:before="5"/>
              <w:ind w:left="12" w:right="0"/>
              <w:jc w:val="left"/>
              <w:rPr>
                <w:rFonts w:ascii="宋体" w:hAnsi="宋体" w:cs="宋体" w:eastAsia="宋体" w:hint="default"/>
                <w:sz w:val="18"/>
                <w:szCs w:val="18"/>
              </w:rPr>
            </w:pPr>
            <w:r>
              <w:rPr>
                <w:rFonts w:ascii="宋体" w:hAnsi="宋体" w:cs="宋体" w:eastAsia="宋体" w:hint="default"/>
                <w:sz w:val="18"/>
                <w:szCs w:val="18"/>
              </w:rPr>
              <w:t>险，经公司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日召开的第一届董事会第十九次会议和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日召开的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w:t>
            </w:r>
          </w:p>
        </w:tc>
      </w:tr>
      <w:tr>
        <w:trPr>
          <w:trHeight w:val="326" w:hRule="exact"/>
        </w:trPr>
        <w:tc>
          <w:tcPr>
            <w:tcW w:w="723" w:type="dxa"/>
            <w:vMerge/>
            <w:tcBorders>
              <w:left w:val="single" w:sz="4" w:space="0" w:color="000000"/>
              <w:right w:val="single" w:sz="13" w:space="0" w:color="FFFFFF"/>
            </w:tcBorders>
            <w:shd w:val="clear" w:color="auto" w:fill="D2D2D2"/>
          </w:tcPr>
          <w:p>
            <w:pPr/>
          </w:p>
        </w:tc>
        <w:tc>
          <w:tcPr>
            <w:tcW w:w="8848" w:type="dxa"/>
            <w:gridSpan w:val="11"/>
            <w:tcBorders>
              <w:top w:val="nil" w:sz="6" w:space="0" w:color="auto"/>
              <w:left w:val="single" w:sz="13" w:space="0" w:color="FFFFFF"/>
              <w:bottom w:val="nil" w:sz="6" w:space="0" w:color="auto"/>
              <w:right w:val="single" w:sz="4" w:space="0" w:color="000000"/>
            </w:tcBorders>
          </w:tcPr>
          <w:p>
            <w:pPr>
              <w:pStyle w:val="TableParagraph"/>
              <w:spacing w:line="240" w:lineRule="auto" w:before="5"/>
              <w:ind w:left="12" w:right="0"/>
              <w:jc w:val="left"/>
              <w:rPr>
                <w:rFonts w:ascii="宋体" w:hAnsi="宋体" w:cs="宋体" w:eastAsia="宋体" w:hint="default"/>
                <w:sz w:val="18"/>
                <w:szCs w:val="18"/>
              </w:rPr>
            </w:pPr>
            <w:r>
              <w:rPr>
                <w:rFonts w:ascii="宋体" w:hAnsi="宋体" w:cs="宋体" w:eastAsia="宋体" w:hint="default"/>
                <w:sz w:val="18"/>
                <w:szCs w:val="18"/>
              </w:rPr>
              <w:t>时股东大会审议通过，决定终止该投资项目。</w:t>
            </w:r>
          </w:p>
        </w:tc>
      </w:tr>
      <w:tr>
        <w:trPr>
          <w:trHeight w:val="336" w:hRule="exact"/>
        </w:trPr>
        <w:tc>
          <w:tcPr>
            <w:tcW w:w="723" w:type="dxa"/>
            <w:vMerge/>
            <w:tcBorders>
              <w:left w:val="single" w:sz="4" w:space="0" w:color="000000"/>
              <w:right w:val="single" w:sz="13" w:space="0" w:color="FFFFFF"/>
            </w:tcBorders>
            <w:shd w:val="clear" w:color="auto" w:fill="D2D2D2"/>
          </w:tcPr>
          <w:p>
            <w:pPr/>
          </w:p>
        </w:tc>
        <w:tc>
          <w:tcPr>
            <w:tcW w:w="8848" w:type="dxa"/>
            <w:gridSpan w:val="11"/>
            <w:tcBorders>
              <w:top w:val="nil" w:sz="6" w:space="0" w:color="auto"/>
              <w:left w:val="single" w:sz="13" w:space="0" w:color="FFFFFF"/>
              <w:bottom w:val="nil" w:sz="6" w:space="0" w:color="auto"/>
              <w:right w:val="single" w:sz="4" w:space="0" w:color="000000"/>
            </w:tcBorders>
          </w:tcPr>
          <w:p>
            <w:pPr>
              <w:pStyle w:val="TableParagraph"/>
              <w:spacing w:line="240" w:lineRule="auto" w:before="3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移动互联网终端应用处理器芯片研发及产业化项目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完结。由于移动互联网终端产</w:t>
            </w:r>
          </w:p>
        </w:tc>
      </w:tr>
      <w:tr>
        <w:trPr>
          <w:trHeight w:val="307" w:hRule="exact"/>
        </w:trPr>
        <w:tc>
          <w:tcPr>
            <w:tcW w:w="723" w:type="dxa"/>
            <w:vMerge/>
            <w:tcBorders>
              <w:left w:val="single" w:sz="4" w:space="0" w:color="000000"/>
              <w:right w:val="single" w:sz="13" w:space="0" w:color="FFFFFF"/>
            </w:tcBorders>
            <w:shd w:val="clear" w:color="auto" w:fill="D2D2D2"/>
          </w:tcPr>
          <w:p>
            <w:pPr/>
          </w:p>
        </w:tc>
        <w:tc>
          <w:tcPr>
            <w:tcW w:w="8848" w:type="dxa"/>
            <w:gridSpan w:val="11"/>
            <w:tcBorders>
              <w:top w:val="nil" w:sz="6" w:space="0" w:color="auto"/>
              <w:left w:val="single" w:sz="13" w:space="0" w:color="FFFFFF"/>
              <w:bottom w:val="nil" w:sz="6" w:space="0" w:color="auto"/>
              <w:right w:val="single" w:sz="4" w:space="0" w:color="000000"/>
            </w:tcBorders>
          </w:tcPr>
          <w:p>
            <w:pPr>
              <w:pStyle w:val="TableParagraph"/>
              <w:spacing w:line="240" w:lineRule="auto" w:before="5"/>
              <w:ind w:left="12" w:right="0"/>
              <w:jc w:val="left"/>
              <w:rPr>
                <w:rFonts w:ascii="宋体" w:hAnsi="宋体" w:cs="宋体" w:eastAsia="宋体" w:hint="default"/>
                <w:sz w:val="18"/>
                <w:szCs w:val="18"/>
              </w:rPr>
            </w:pPr>
            <w:r>
              <w:rPr>
                <w:rFonts w:ascii="宋体" w:hAnsi="宋体" w:cs="宋体" w:eastAsia="宋体" w:hint="default"/>
                <w:sz w:val="18"/>
                <w:szCs w:val="18"/>
              </w:rPr>
              <w:t>品市场的销售受软件生态等因素影响，市场拓展一直严重受阻，致使该项目未能达到预计收益，项目累计亏损</w:t>
            </w:r>
          </w:p>
        </w:tc>
      </w:tr>
      <w:tr>
        <w:trPr>
          <w:trHeight w:val="337" w:hRule="exact"/>
        </w:trPr>
        <w:tc>
          <w:tcPr>
            <w:tcW w:w="723" w:type="dxa"/>
            <w:vMerge/>
            <w:tcBorders>
              <w:left w:val="single" w:sz="4" w:space="0" w:color="000000"/>
              <w:right w:val="single" w:sz="13" w:space="0" w:color="FFFFFF"/>
            </w:tcBorders>
            <w:shd w:val="clear" w:color="auto" w:fill="D2D2D2"/>
          </w:tcPr>
          <w:p>
            <w:pPr/>
          </w:p>
        </w:tc>
        <w:tc>
          <w:tcPr>
            <w:tcW w:w="8848" w:type="dxa"/>
            <w:gridSpan w:val="11"/>
            <w:tcBorders>
              <w:top w:val="nil" w:sz="6" w:space="0" w:color="auto"/>
              <w:left w:val="single" w:sz="13" w:space="0" w:color="FFFFFF"/>
              <w:bottom w:val="nil" w:sz="6" w:space="0" w:color="auto"/>
              <w:right w:val="single" w:sz="4" w:space="0" w:color="000000"/>
            </w:tcBorders>
          </w:tcPr>
          <w:p>
            <w:pPr>
              <w:pStyle w:val="TableParagraph"/>
              <w:spacing w:line="240" w:lineRule="auto" w:before="1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4,605.02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32" w:hRule="exact"/>
        </w:trPr>
        <w:tc>
          <w:tcPr>
            <w:tcW w:w="723" w:type="dxa"/>
            <w:vMerge/>
            <w:tcBorders>
              <w:left w:val="single" w:sz="4" w:space="0" w:color="000000"/>
              <w:right w:val="single" w:sz="13" w:space="0" w:color="FFFFFF"/>
            </w:tcBorders>
            <w:shd w:val="clear" w:color="auto" w:fill="D2D2D2"/>
          </w:tcPr>
          <w:p>
            <w:pPr/>
          </w:p>
        </w:tc>
        <w:tc>
          <w:tcPr>
            <w:tcW w:w="8848" w:type="dxa"/>
            <w:gridSpan w:val="11"/>
            <w:tcBorders>
              <w:top w:val="nil" w:sz="6" w:space="0" w:color="auto"/>
              <w:left w:val="single" w:sz="13" w:space="0" w:color="FFFFFF"/>
              <w:bottom w:val="nil" w:sz="6" w:space="0" w:color="auto"/>
              <w:right w:val="single" w:sz="4" w:space="0" w:color="000000"/>
            </w:tcBorders>
          </w:tcPr>
          <w:p>
            <w:pPr>
              <w:pStyle w:val="TableParagraph"/>
              <w:spacing w:line="240" w:lineRule="auto" w:before="2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年以来，教育电子市场中高端学习机产品逐渐被学生平板所替代，在芯片产品的性能需求上，学生平板</w:t>
            </w:r>
          </w:p>
        </w:tc>
      </w:tr>
      <w:tr>
        <w:trPr>
          <w:trHeight w:val="93" w:hRule="exact"/>
        </w:trPr>
        <w:tc>
          <w:tcPr>
            <w:tcW w:w="723" w:type="dxa"/>
            <w:vMerge/>
            <w:tcBorders>
              <w:left w:val="single" w:sz="4" w:space="0" w:color="000000"/>
              <w:bottom w:val="nil" w:sz="6" w:space="0" w:color="auto"/>
              <w:right w:val="single" w:sz="13" w:space="0" w:color="FFFFFF"/>
            </w:tcBorders>
            <w:shd w:val="clear" w:color="auto" w:fill="D2D2D2"/>
          </w:tcPr>
          <w:p>
            <w:pPr/>
          </w:p>
        </w:tc>
        <w:tc>
          <w:tcPr>
            <w:tcW w:w="8848" w:type="dxa"/>
            <w:gridSpan w:val="11"/>
            <w:vMerge w:val="restart"/>
            <w:tcBorders>
              <w:top w:val="nil" w:sz="6" w:space="0" w:color="auto"/>
              <w:left w:val="single" w:sz="10" w:space="0" w:color="FFFFFF"/>
              <w:right w:val="single" w:sz="4" w:space="0" w:color="000000"/>
            </w:tcBorders>
          </w:tcPr>
          <w:p>
            <w:pPr>
              <w:pStyle w:val="TableParagraph"/>
              <w:spacing w:line="316" w:lineRule="auto" w:before="5"/>
              <w:ind w:left="16" w:right="14"/>
              <w:jc w:val="both"/>
              <w:rPr>
                <w:rFonts w:ascii="宋体" w:hAnsi="宋体" w:cs="宋体" w:eastAsia="宋体" w:hint="default"/>
                <w:sz w:val="18"/>
                <w:szCs w:val="18"/>
              </w:rPr>
            </w:pPr>
            <w:r>
              <w:rPr>
                <w:rFonts w:ascii="宋体" w:hAnsi="宋体" w:cs="宋体" w:eastAsia="宋体" w:hint="default"/>
                <w:spacing w:val="-1"/>
                <w:sz w:val="18"/>
                <w:szCs w:val="18"/>
              </w:rPr>
              <w:t>和普通消费类的平板电脑趋于一致。鉴于国内平板电脑市场竞争越来越激烈，芯片提供商需要不断跟进新的生产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工艺，从而导致越来越高的研发和生产成本，而教育电子作为一个行业类市场，高端产品的市场容量有限，如果</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公司仅为满足教育电子的高端需求而进行新工艺产品的开发，将会带来成本无法收回的风险。为避免在市场变化</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时出现募集资金投资无法收回的风险，并综合考虑电子市场的发展趋势，经公司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日召开的第二届</w:t>
            </w:r>
          </w:p>
          <w:p>
            <w:pPr>
              <w:pStyle w:val="TableParagraph"/>
              <w:spacing w:line="300" w:lineRule="auto"/>
              <w:ind w:left="16" w:right="19"/>
              <w:jc w:val="both"/>
              <w:rPr>
                <w:rFonts w:ascii="宋体" w:hAnsi="宋体" w:cs="宋体" w:eastAsia="宋体" w:hint="default"/>
                <w:sz w:val="18"/>
                <w:szCs w:val="18"/>
              </w:rPr>
            </w:pPr>
            <w:r>
              <w:rPr>
                <w:rFonts w:ascii="宋体" w:hAnsi="宋体" w:cs="宋体" w:eastAsia="宋体" w:hint="default"/>
                <w:sz w:val="18"/>
                <w:szCs w:val="18"/>
              </w:rPr>
              <w:t>董事会第十一次会议和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年年度股东大会审议通过，公司将</w:t>
            </w:r>
            <w:r>
              <w:rPr>
                <w:rFonts w:ascii="Times New Roman" w:hAnsi="Times New Roman" w:cs="Times New Roman" w:eastAsia="Times New Roman" w:hint="default"/>
                <w:sz w:val="18"/>
                <w:szCs w:val="18"/>
              </w:rPr>
              <w:t>“</w:t>
            </w:r>
            <w:r>
              <w:rPr>
                <w:rFonts w:ascii="宋体" w:hAnsi="宋体" w:cs="宋体" w:eastAsia="宋体" w:hint="default"/>
                <w:sz w:val="18"/>
                <w:szCs w:val="18"/>
              </w:rPr>
              <w:t>便携式教育电子产品用 嵌入式处理器芯片技术改造项目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物联网及智能可穿戴设备核心技术及产品研发项目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1863" w:hRule="exact"/>
        </w:trPr>
        <w:tc>
          <w:tcPr>
            <w:tcW w:w="723" w:type="dxa"/>
            <w:tcBorders>
              <w:top w:val="nil" w:sz="6" w:space="0" w:color="auto"/>
              <w:left w:val="single" w:sz="4" w:space="0" w:color="000000"/>
              <w:bottom w:val="nil" w:sz="6" w:space="0" w:color="auto"/>
              <w:right w:val="single" w:sz="13" w:space="0" w:color="FFFFFF"/>
            </w:tcBorders>
            <w:shd w:val="clear" w:color="auto" w:fill="D2D2D2"/>
          </w:tcPr>
          <w:p>
            <w:pPr>
              <w:pStyle w:val="TableParagraph"/>
              <w:spacing w:line="316" w:lineRule="auto" w:before="49"/>
              <w:ind w:left="24" w:right="135"/>
              <w:jc w:val="both"/>
              <w:rPr>
                <w:rFonts w:ascii="宋体" w:hAnsi="宋体" w:cs="宋体" w:eastAsia="宋体" w:hint="default"/>
                <w:sz w:val="18"/>
                <w:szCs w:val="18"/>
              </w:rPr>
            </w:pPr>
            <w:r>
              <w:rPr>
                <w:rFonts w:ascii="宋体" w:hAnsi="宋体" w:cs="宋体" w:eastAsia="宋体" w:hint="default"/>
                <w:sz w:val="18"/>
                <w:szCs w:val="18"/>
              </w:rPr>
              <w:t>未达到 计划进 度或预 计收益 的情况 和原因</w:t>
            </w:r>
          </w:p>
        </w:tc>
        <w:tc>
          <w:tcPr>
            <w:tcW w:w="8848" w:type="dxa"/>
            <w:gridSpan w:val="11"/>
            <w:vMerge/>
            <w:tcBorders>
              <w:left w:val="single" w:sz="10" w:space="0" w:color="FFFFFF"/>
              <w:bottom w:val="nil" w:sz="6" w:space="0" w:color="auto"/>
              <w:right w:val="single" w:sz="4" w:space="0" w:color="000000"/>
            </w:tcBorders>
          </w:tcPr>
          <w:p>
            <w:pPr/>
          </w:p>
        </w:tc>
      </w:tr>
      <w:tr>
        <w:trPr>
          <w:trHeight w:val="312" w:hRule="exact"/>
        </w:trPr>
        <w:tc>
          <w:tcPr>
            <w:tcW w:w="723" w:type="dxa"/>
            <w:tcBorders>
              <w:top w:val="nil" w:sz="6" w:space="0" w:color="auto"/>
              <w:left w:val="single" w:sz="4" w:space="0" w:color="000000"/>
              <w:bottom w:val="nil" w:sz="6" w:space="0" w:color="auto"/>
              <w:right w:val="single" w:sz="13" w:space="0" w:color="FFFFFF"/>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（分具</w:t>
            </w:r>
          </w:p>
        </w:tc>
        <w:tc>
          <w:tcPr>
            <w:tcW w:w="8848" w:type="dxa"/>
            <w:gridSpan w:val="11"/>
            <w:tcBorders>
              <w:top w:val="nil" w:sz="6" w:space="0" w:color="auto"/>
              <w:left w:val="single" w:sz="10" w:space="0" w:color="FFFFFF"/>
              <w:bottom w:val="nil" w:sz="6" w:space="0" w:color="auto"/>
              <w:right w:val="single" w:sz="4" w:space="0" w:color="000000"/>
            </w:tcBorders>
          </w:tcPr>
          <w:p>
            <w:pPr>
              <w:pStyle w:val="TableParagraph"/>
              <w:spacing w:line="212"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物联网及智能可穿戴设备核心技术及产品研发项目</w:t>
            </w:r>
            <w:r>
              <w:rPr>
                <w:rFonts w:ascii="Times New Roman" w:hAnsi="Times New Roman" w:cs="Times New Roman" w:eastAsia="Times New Roman" w:hint="default"/>
                <w:sz w:val="18"/>
                <w:szCs w:val="18"/>
              </w:rPr>
              <w:t>”</w:t>
            </w:r>
            <w:r>
              <w:rPr>
                <w:rFonts w:ascii="宋体" w:hAnsi="宋体" w:cs="宋体" w:eastAsia="宋体" w:hint="default"/>
                <w:sz w:val="18"/>
                <w:szCs w:val="18"/>
              </w:rPr>
              <w:t>设立初期，物联网市场仍处于探索阶段，公司根据市场</w:t>
            </w:r>
          </w:p>
        </w:tc>
      </w:tr>
      <w:tr>
        <w:trPr>
          <w:trHeight w:val="312" w:hRule="exact"/>
        </w:trPr>
        <w:tc>
          <w:tcPr>
            <w:tcW w:w="723" w:type="dxa"/>
            <w:tcBorders>
              <w:top w:val="nil" w:sz="6" w:space="0" w:color="auto"/>
              <w:left w:val="single" w:sz="4" w:space="0" w:color="000000"/>
              <w:bottom w:val="nil" w:sz="6" w:space="0" w:color="auto"/>
              <w:right w:val="single" w:sz="13" w:space="0" w:color="FFFFFF"/>
            </w:tcBorders>
            <w:shd w:val="clear" w:color="auto" w:fill="D2D2D2"/>
          </w:tcPr>
          <w:p>
            <w:pPr>
              <w:pStyle w:val="TableParagraph"/>
              <w:spacing w:line="240" w:lineRule="auto" w:before="58"/>
              <w:ind w:left="24" w:right="-43"/>
              <w:jc w:val="left"/>
              <w:rPr>
                <w:rFonts w:ascii="宋体" w:hAnsi="宋体" w:cs="宋体" w:eastAsia="宋体" w:hint="default"/>
                <w:sz w:val="18"/>
                <w:szCs w:val="18"/>
              </w:rPr>
            </w:pPr>
            <w:r>
              <w:rPr>
                <w:rFonts w:ascii="宋体" w:hAnsi="宋体" w:cs="宋体" w:eastAsia="宋体" w:hint="default"/>
                <w:sz w:val="18"/>
                <w:szCs w:val="18"/>
              </w:rPr>
              <w:t>体项目）</w:t>
            </w:r>
          </w:p>
        </w:tc>
        <w:tc>
          <w:tcPr>
            <w:tcW w:w="8848" w:type="dxa"/>
            <w:gridSpan w:val="11"/>
            <w:tcBorders>
              <w:top w:val="nil" w:sz="6" w:space="0" w:color="auto"/>
              <w:left w:val="single" w:sz="10" w:space="0" w:color="FFFFFF"/>
              <w:bottom w:val="nil" w:sz="6" w:space="0" w:color="auto"/>
              <w:right w:val="single" w:sz="4" w:space="0" w:color="000000"/>
            </w:tcBorders>
          </w:tcPr>
          <w:p>
            <w:pPr>
              <w:pStyle w:val="TableParagraph"/>
              <w:spacing w:line="198" w:lineRule="exact"/>
              <w:ind w:left="16" w:right="0"/>
              <w:jc w:val="left"/>
              <w:rPr>
                <w:rFonts w:ascii="宋体" w:hAnsi="宋体" w:cs="宋体" w:eastAsia="宋体" w:hint="default"/>
                <w:sz w:val="18"/>
                <w:szCs w:val="18"/>
              </w:rPr>
            </w:pPr>
            <w:r>
              <w:rPr>
                <w:rFonts w:ascii="宋体" w:hAnsi="宋体" w:cs="宋体" w:eastAsia="宋体" w:hint="default"/>
                <w:spacing w:val="-1"/>
                <w:sz w:val="18"/>
                <w:szCs w:val="18"/>
              </w:rPr>
              <w:t>发展态势不断调整技术研发和产品规划的进度，以确保募投项目投资的安全稳健。近两年来随着市场发展，物联</w:t>
            </w:r>
          </w:p>
        </w:tc>
      </w:tr>
      <w:tr>
        <w:trPr>
          <w:trHeight w:val="89" w:hRule="exact"/>
        </w:trPr>
        <w:tc>
          <w:tcPr>
            <w:tcW w:w="723" w:type="dxa"/>
            <w:tcBorders>
              <w:top w:val="nil" w:sz="6" w:space="0" w:color="auto"/>
              <w:left w:val="single" w:sz="4" w:space="0" w:color="000000"/>
              <w:bottom w:val="nil" w:sz="6" w:space="0" w:color="auto"/>
              <w:right w:val="single" w:sz="13" w:space="0" w:color="FFFFFF"/>
            </w:tcBorders>
            <w:shd w:val="clear" w:color="auto" w:fill="D2D2D2"/>
          </w:tcPr>
          <w:p>
            <w:pPr/>
          </w:p>
        </w:tc>
        <w:tc>
          <w:tcPr>
            <w:tcW w:w="8848" w:type="dxa"/>
            <w:gridSpan w:val="11"/>
            <w:vMerge w:val="restart"/>
            <w:tcBorders>
              <w:top w:val="nil" w:sz="6" w:space="0" w:color="auto"/>
              <w:left w:val="single" w:sz="13" w:space="0" w:color="FFFFFF"/>
              <w:right w:val="single" w:sz="4" w:space="0" w:color="000000"/>
            </w:tcBorders>
          </w:tcPr>
          <w:p>
            <w:pPr>
              <w:pStyle w:val="TableParagraph"/>
              <w:spacing w:line="198" w:lineRule="exact"/>
              <w:ind w:left="12" w:right="0"/>
              <w:jc w:val="left"/>
              <w:rPr>
                <w:rFonts w:ascii="宋体" w:hAnsi="宋体" w:cs="宋体" w:eastAsia="宋体" w:hint="default"/>
                <w:sz w:val="18"/>
                <w:szCs w:val="18"/>
              </w:rPr>
            </w:pPr>
            <w:r>
              <w:rPr>
                <w:rFonts w:ascii="宋体" w:hAnsi="宋体" w:cs="宋体" w:eastAsia="宋体" w:hint="default"/>
                <w:spacing w:val="-1"/>
                <w:sz w:val="18"/>
                <w:szCs w:val="18"/>
              </w:rPr>
              <w:t>网类产品逐渐从概念走向具体产品，产品呈多样化发展趋势，公司也处于在该市场推广的重要阶段，同时，针对</w:t>
            </w:r>
          </w:p>
        </w:tc>
      </w:tr>
      <w:tr>
        <w:trPr>
          <w:trHeight w:val="175" w:hRule="exact"/>
        </w:trPr>
        <w:tc>
          <w:tcPr>
            <w:tcW w:w="723" w:type="dxa"/>
            <w:vMerge w:val="restart"/>
            <w:tcBorders>
              <w:top w:val="nil" w:sz="6" w:space="0" w:color="auto"/>
              <w:left w:val="single" w:sz="4" w:space="0" w:color="000000"/>
              <w:right w:val="single" w:sz="13" w:space="0" w:color="FFFFFF"/>
            </w:tcBorders>
            <w:shd w:val="clear" w:color="auto" w:fill="D2D2D2"/>
          </w:tcPr>
          <w:p>
            <w:pPr/>
          </w:p>
        </w:tc>
        <w:tc>
          <w:tcPr>
            <w:tcW w:w="8848" w:type="dxa"/>
            <w:gridSpan w:val="11"/>
            <w:vMerge/>
            <w:tcBorders>
              <w:left w:val="single" w:sz="13" w:space="0" w:color="FFFFFF"/>
              <w:bottom w:val="nil" w:sz="6" w:space="0" w:color="auto"/>
              <w:right w:val="single" w:sz="4" w:space="0" w:color="000000"/>
            </w:tcBorders>
          </w:tcPr>
          <w:p>
            <w:pPr/>
          </w:p>
        </w:tc>
      </w:tr>
      <w:tr>
        <w:trPr>
          <w:trHeight w:val="317" w:hRule="exact"/>
        </w:trPr>
        <w:tc>
          <w:tcPr>
            <w:tcW w:w="723" w:type="dxa"/>
            <w:vMerge/>
            <w:tcBorders>
              <w:left w:val="single" w:sz="4" w:space="0" w:color="000000"/>
              <w:right w:val="single" w:sz="13" w:space="0" w:color="FFFFFF"/>
            </w:tcBorders>
            <w:shd w:val="clear" w:color="auto" w:fill="D2D2D2"/>
          </w:tcPr>
          <w:p>
            <w:pPr/>
          </w:p>
        </w:tc>
        <w:tc>
          <w:tcPr>
            <w:tcW w:w="8848" w:type="dxa"/>
            <w:gridSpan w:val="11"/>
            <w:tcBorders>
              <w:top w:val="nil" w:sz="6" w:space="0" w:color="auto"/>
              <w:left w:val="single" w:sz="13" w:space="0" w:color="FFFFFF"/>
              <w:bottom w:val="nil" w:sz="6" w:space="0" w:color="auto"/>
              <w:right w:val="single" w:sz="4" w:space="0" w:color="000000"/>
            </w:tcBorders>
          </w:tcPr>
          <w:p>
            <w:pPr>
              <w:pStyle w:val="TableParagraph"/>
              <w:spacing w:line="240" w:lineRule="auto" w:before="10"/>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物联网市场的产品特点和未来发展趋势，公司拟推出更高性能、更具竞争力的芯片产品。因此，经公司</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3</w:t>
            </w:r>
          </w:p>
        </w:tc>
      </w:tr>
      <w:tr>
        <w:trPr>
          <w:trHeight w:val="312" w:hRule="exact"/>
        </w:trPr>
        <w:tc>
          <w:tcPr>
            <w:tcW w:w="723" w:type="dxa"/>
            <w:vMerge/>
            <w:tcBorders>
              <w:left w:val="single" w:sz="4" w:space="0" w:color="000000"/>
              <w:right w:val="single" w:sz="13" w:space="0" w:color="FFFFFF"/>
            </w:tcBorders>
            <w:shd w:val="clear" w:color="auto" w:fill="D2D2D2"/>
          </w:tcPr>
          <w:p>
            <w:pPr/>
          </w:p>
        </w:tc>
        <w:tc>
          <w:tcPr>
            <w:tcW w:w="8848" w:type="dxa"/>
            <w:gridSpan w:val="11"/>
            <w:tcBorders>
              <w:top w:val="nil" w:sz="6" w:space="0" w:color="auto"/>
              <w:left w:val="single" w:sz="13" w:space="0" w:color="FFFFFF"/>
              <w:bottom w:val="nil" w:sz="6" w:space="0" w:color="auto"/>
              <w:right w:val="single" w:sz="4" w:space="0" w:color="000000"/>
            </w:tcBorders>
          </w:tcPr>
          <w:p>
            <w:pPr>
              <w:pStyle w:val="TableParagraph"/>
              <w:spacing w:line="240" w:lineRule="auto" w:before="5"/>
              <w:ind w:left="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日召开的第三届董事会第十五次会议和第三届监事会第十次会议审议通过，公司对</w:t>
            </w:r>
            <w:r>
              <w:rPr>
                <w:rFonts w:ascii="Times New Roman" w:hAnsi="Times New Roman" w:cs="Times New Roman" w:eastAsia="Times New Roman" w:hint="default"/>
                <w:sz w:val="18"/>
                <w:szCs w:val="18"/>
              </w:rPr>
              <w:t>“</w:t>
            </w:r>
            <w:r>
              <w:rPr>
                <w:rFonts w:ascii="宋体" w:hAnsi="宋体" w:cs="宋体" w:eastAsia="宋体" w:hint="default"/>
                <w:sz w:val="18"/>
                <w:szCs w:val="18"/>
              </w:rPr>
              <w:t>物联网及智能可穿戴设</w:t>
            </w:r>
          </w:p>
        </w:tc>
      </w:tr>
      <w:tr>
        <w:trPr>
          <w:trHeight w:val="312" w:hRule="exact"/>
        </w:trPr>
        <w:tc>
          <w:tcPr>
            <w:tcW w:w="723" w:type="dxa"/>
            <w:vMerge/>
            <w:tcBorders>
              <w:left w:val="single" w:sz="4" w:space="0" w:color="000000"/>
              <w:right w:val="single" w:sz="13" w:space="0" w:color="FFFFFF"/>
            </w:tcBorders>
            <w:shd w:val="clear" w:color="auto" w:fill="D2D2D2"/>
          </w:tcPr>
          <w:p>
            <w:pPr/>
          </w:p>
        </w:tc>
        <w:tc>
          <w:tcPr>
            <w:tcW w:w="8848" w:type="dxa"/>
            <w:gridSpan w:val="11"/>
            <w:tcBorders>
              <w:top w:val="nil" w:sz="6" w:space="0" w:color="auto"/>
              <w:left w:val="single" w:sz="13" w:space="0" w:color="FFFFFF"/>
              <w:bottom w:val="nil" w:sz="6" w:space="0" w:color="auto"/>
              <w:right w:val="single" w:sz="4" w:space="0" w:color="000000"/>
            </w:tcBorders>
          </w:tcPr>
          <w:p>
            <w:pPr>
              <w:pStyle w:val="TableParagraph"/>
              <w:spacing w:line="240" w:lineRule="auto" w:before="5"/>
              <w:ind w:left="1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备核心技术及产品研发项目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进行了延期，将原计划完成时间由</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日调整为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日。</w:t>
            </w:r>
            <w:r>
              <w:rPr>
                <w:rFonts w:ascii="Times New Roman" w:hAnsi="Times New Roman" w:cs="Times New Roman" w:eastAsia="Times New Roman" w:hint="default"/>
                <w:spacing w:val="-10"/>
                <w:sz w:val="18"/>
                <w:szCs w:val="18"/>
              </w:rPr>
              <w:t>2018</w:t>
            </w:r>
          </w:p>
        </w:tc>
      </w:tr>
      <w:tr>
        <w:trPr>
          <w:trHeight w:val="307" w:hRule="exact"/>
        </w:trPr>
        <w:tc>
          <w:tcPr>
            <w:tcW w:w="723" w:type="dxa"/>
            <w:vMerge/>
            <w:tcBorders>
              <w:left w:val="single" w:sz="4" w:space="0" w:color="000000"/>
              <w:right w:val="single" w:sz="13" w:space="0" w:color="FFFFFF"/>
            </w:tcBorders>
            <w:shd w:val="clear" w:color="auto" w:fill="D2D2D2"/>
          </w:tcPr>
          <w:p>
            <w:pPr/>
          </w:p>
        </w:tc>
        <w:tc>
          <w:tcPr>
            <w:tcW w:w="8848" w:type="dxa"/>
            <w:gridSpan w:val="11"/>
            <w:tcBorders>
              <w:top w:val="nil" w:sz="6" w:space="0" w:color="auto"/>
              <w:left w:val="single" w:sz="13" w:space="0" w:color="FFFFFF"/>
              <w:bottom w:val="nil" w:sz="6" w:space="0" w:color="auto"/>
              <w:right w:val="single" w:sz="4" w:space="0" w:color="000000"/>
            </w:tcBorders>
          </w:tcPr>
          <w:p>
            <w:pPr>
              <w:pStyle w:val="TableParagraph"/>
              <w:spacing w:line="240" w:lineRule="auto" w:before="5"/>
              <w:ind w:left="12" w:right="0"/>
              <w:jc w:val="left"/>
              <w:rPr>
                <w:rFonts w:ascii="宋体" w:hAnsi="宋体" w:cs="宋体" w:eastAsia="宋体" w:hint="default"/>
                <w:sz w:val="18"/>
                <w:szCs w:val="18"/>
              </w:rPr>
            </w:pPr>
            <w:r>
              <w:rPr>
                <w:rFonts w:ascii="宋体" w:hAnsi="宋体" w:cs="宋体" w:eastAsia="宋体" w:hint="default"/>
                <w:sz w:val="18"/>
                <w:szCs w:val="18"/>
              </w:rPr>
              <w:t>年度，国内物联网及智能可穿戴设备市场均处于蓬勃发展的重要时期，公司在这些领域中积累了深厚的市场基础</w:t>
            </w:r>
          </w:p>
        </w:tc>
      </w:tr>
      <w:tr>
        <w:trPr>
          <w:trHeight w:val="312" w:hRule="exact"/>
        </w:trPr>
        <w:tc>
          <w:tcPr>
            <w:tcW w:w="723" w:type="dxa"/>
            <w:vMerge/>
            <w:tcBorders>
              <w:left w:val="single" w:sz="4" w:space="0" w:color="000000"/>
              <w:right w:val="single" w:sz="13" w:space="0" w:color="FFFFFF"/>
            </w:tcBorders>
            <w:shd w:val="clear" w:color="auto" w:fill="D2D2D2"/>
          </w:tcPr>
          <w:p>
            <w:pPr/>
          </w:p>
        </w:tc>
        <w:tc>
          <w:tcPr>
            <w:tcW w:w="8848" w:type="dxa"/>
            <w:gridSpan w:val="11"/>
            <w:tcBorders>
              <w:top w:val="nil" w:sz="6" w:space="0" w:color="auto"/>
              <w:left w:val="single" w:sz="13" w:space="0" w:color="FFFFFF"/>
              <w:bottom w:val="nil" w:sz="6" w:space="0" w:color="auto"/>
              <w:right w:val="single" w:sz="4" w:space="0" w:color="000000"/>
            </w:tcBorders>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pacing w:val="-1"/>
                <w:sz w:val="18"/>
                <w:szCs w:val="18"/>
              </w:rPr>
              <w:t>和技术基础，为及时抓住市场发展机会，不断扩大公司的市场份额，为公司带来更多的经济效益，公司需要根据</w:t>
            </w:r>
          </w:p>
        </w:tc>
      </w:tr>
      <w:tr>
        <w:trPr>
          <w:trHeight w:val="317" w:hRule="exact"/>
        </w:trPr>
        <w:tc>
          <w:tcPr>
            <w:tcW w:w="723" w:type="dxa"/>
            <w:vMerge/>
            <w:tcBorders>
              <w:left w:val="single" w:sz="4" w:space="0" w:color="000000"/>
              <w:right w:val="single" w:sz="13" w:space="0" w:color="FFFFFF"/>
            </w:tcBorders>
            <w:shd w:val="clear" w:color="auto" w:fill="D2D2D2"/>
          </w:tcPr>
          <w:p>
            <w:pPr/>
          </w:p>
        </w:tc>
        <w:tc>
          <w:tcPr>
            <w:tcW w:w="8848" w:type="dxa"/>
            <w:gridSpan w:val="11"/>
            <w:tcBorders>
              <w:top w:val="nil" w:sz="6" w:space="0" w:color="auto"/>
              <w:left w:val="single" w:sz="13" w:space="0" w:color="FFFFFF"/>
              <w:bottom w:val="nil" w:sz="6" w:space="0" w:color="auto"/>
              <w:right w:val="single" w:sz="4" w:space="0" w:color="000000"/>
            </w:tcBorders>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目前的市场发展趋势和产品需求情况继续推出更高性能和性价比的芯片产品。因此，经公司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日召</w:t>
            </w:r>
          </w:p>
        </w:tc>
      </w:tr>
      <w:tr>
        <w:trPr>
          <w:trHeight w:val="312" w:hRule="exact"/>
        </w:trPr>
        <w:tc>
          <w:tcPr>
            <w:tcW w:w="723" w:type="dxa"/>
            <w:vMerge/>
            <w:tcBorders>
              <w:left w:val="single" w:sz="4" w:space="0" w:color="000000"/>
              <w:right w:val="single" w:sz="13" w:space="0" w:color="FFFFFF"/>
            </w:tcBorders>
            <w:shd w:val="clear" w:color="auto" w:fill="D2D2D2"/>
          </w:tcPr>
          <w:p>
            <w:pPr/>
          </w:p>
        </w:tc>
        <w:tc>
          <w:tcPr>
            <w:tcW w:w="8848" w:type="dxa"/>
            <w:gridSpan w:val="11"/>
            <w:tcBorders>
              <w:top w:val="nil" w:sz="6" w:space="0" w:color="auto"/>
              <w:left w:val="single" w:sz="13" w:space="0" w:color="FFFFFF"/>
              <w:bottom w:val="nil" w:sz="6" w:space="0" w:color="auto"/>
              <w:right w:val="single" w:sz="4" w:space="0" w:color="000000"/>
            </w:tcBorders>
          </w:tcPr>
          <w:p>
            <w:pPr>
              <w:pStyle w:val="TableParagraph"/>
              <w:spacing w:line="240" w:lineRule="auto" w:before="5"/>
              <w:ind w:left="12" w:right="0"/>
              <w:jc w:val="left"/>
              <w:rPr>
                <w:rFonts w:ascii="宋体" w:hAnsi="宋体" w:cs="宋体" w:eastAsia="宋体" w:hint="default"/>
                <w:sz w:val="18"/>
                <w:szCs w:val="18"/>
              </w:rPr>
            </w:pPr>
            <w:r>
              <w:rPr>
                <w:rFonts w:ascii="宋体" w:hAnsi="宋体" w:cs="宋体" w:eastAsia="宋体" w:hint="default"/>
                <w:sz w:val="18"/>
                <w:szCs w:val="18"/>
              </w:rPr>
              <w:t>开的第四届董事会第二次会议和第四届监事会第二次会议审议通过，公司对</w:t>
            </w:r>
            <w:r>
              <w:rPr>
                <w:rFonts w:ascii="Times New Roman" w:hAnsi="Times New Roman" w:cs="Times New Roman" w:eastAsia="Times New Roman" w:hint="default"/>
                <w:sz w:val="18"/>
                <w:szCs w:val="18"/>
              </w:rPr>
              <w:t>“</w:t>
            </w:r>
            <w:r>
              <w:rPr>
                <w:rFonts w:ascii="宋体" w:hAnsi="宋体" w:cs="宋体" w:eastAsia="宋体" w:hint="default"/>
                <w:sz w:val="18"/>
                <w:szCs w:val="18"/>
              </w:rPr>
              <w:t>物联网及智能可穿戴设备核心技术</w:t>
            </w:r>
          </w:p>
        </w:tc>
      </w:tr>
      <w:tr>
        <w:trPr>
          <w:trHeight w:val="355" w:hRule="exact"/>
        </w:trPr>
        <w:tc>
          <w:tcPr>
            <w:tcW w:w="723" w:type="dxa"/>
            <w:vMerge/>
            <w:tcBorders>
              <w:left w:val="single" w:sz="4" w:space="0" w:color="000000"/>
              <w:bottom w:val="single" w:sz="4" w:space="0" w:color="000000"/>
              <w:right w:val="single" w:sz="13" w:space="0" w:color="FFFFFF"/>
            </w:tcBorders>
            <w:shd w:val="clear" w:color="auto" w:fill="D2D2D2"/>
          </w:tcPr>
          <w:p>
            <w:pPr/>
          </w:p>
        </w:tc>
        <w:tc>
          <w:tcPr>
            <w:tcW w:w="8848" w:type="dxa"/>
            <w:gridSpan w:val="11"/>
            <w:tcBorders>
              <w:top w:val="nil" w:sz="6" w:space="0" w:color="auto"/>
              <w:left w:val="single" w:sz="13" w:space="0" w:color="FFFFFF"/>
              <w:bottom w:val="single" w:sz="4" w:space="0" w:color="000000"/>
              <w:right w:val="single" w:sz="4" w:space="0" w:color="000000"/>
            </w:tcBorders>
          </w:tcPr>
          <w:p>
            <w:pPr>
              <w:pStyle w:val="TableParagraph"/>
              <w:spacing w:line="240" w:lineRule="auto" w:before="5"/>
              <w:ind w:left="12" w:right="0"/>
              <w:jc w:val="left"/>
              <w:rPr>
                <w:rFonts w:ascii="宋体" w:hAnsi="宋体" w:cs="宋体" w:eastAsia="宋体" w:hint="default"/>
                <w:sz w:val="18"/>
                <w:szCs w:val="18"/>
              </w:rPr>
            </w:pPr>
            <w:r>
              <w:rPr>
                <w:rFonts w:ascii="宋体" w:hAnsi="宋体" w:cs="宋体" w:eastAsia="宋体" w:hint="default"/>
                <w:sz w:val="18"/>
                <w:szCs w:val="18"/>
              </w:rPr>
              <w:t>及产品研发项目</w:t>
            </w:r>
            <w:r>
              <w:rPr>
                <w:rFonts w:ascii="Times New Roman" w:hAnsi="Times New Roman" w:cs="Times New Roman" w:eastAsia="Times New Roman" w:hint="default"/>
                <w:sz w:val="18"/>
                <w:szCs w:val="18"/>
              </w:rPr>
              <w:t>”</w:t>
            </w:r>
            <w:r>
              <w:rPr>
                <w:rFonts w:ascii="宋体" w:hAnsi="宋体" w:cs="宋体" w:eastAsia="宋体" w:hint="default"/>
                <w:sz w:val="18"/>
                <w:szCs w:val="18"/>
              </w:rPr>
              <w:t>进行延期，将原计划完成时间由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日调整为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22"/>
        <w:gridCol w:w="8848"/>
      </w:tblGrid>
      <w:tr>
        <w:trPr>
          <w:trHeight w:val="3563"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316" w:lineRule="auto"/>
              <w:ind w:left="22" w:right="147"/>
              <w:jc w:val="both"/>
              <w:rPr>
                <w:rFonts w:ascii="宋体" w:hAnsi="宋体" w:cs="宋体" w:eastAsia="宋体" w:hint="default"/>
                <w:sz w:val="18"/>
                <w:szCs w:val="18"/>
              </w:rPr>
            </w:pPr>
            <w:r>
              <w:rPr>
                <w:rFonts w:ascii="宋体" w:hAnsi="宋体" w:cs="宋体" w:eastAsia="宋体" w:hint="default"/>
                <w:sz w:val="18"/>
                <w:szCs w:val="18"/>
              </w:rPr>
              <w:t>项目可 行性发 生重大 变化的 情况说 明</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、鉴于国内</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PMP </w:t>
            </w:r>
            <w:r>
              <w:rPr>
                <w:rFonts w:ascii="宋体" w:hAnsi="宋体" w:cs="宋体" w:eastAsia="宋体" w:hint="default"/>
                <w:sz w:val="18"/>
                <w:szCs w:val="18"/>
              </w:rPr>
              <w:t>市场受移动互联网终端产品的冲击持续衰退，消费电子市场已经发生了较大变化，继续</w:t>
            </w:r>
            <w:r>
              <w:rPr>
                <w:rFonts w:ascii="Times New Roman" w:hAnsi="Times New Roman" w:cs="Times New Roman" w:eastAsia="Times New Roman" w:hint="default"/>
                <w:sz w:val="18"/>
                <w:szCs w:val="18"/>
              </w:rPr>
              <w:t>“</w:t>
            </w:r>
            <w:r>
              <w:rPr>
                <w:rFonts w:ascii="宋体" w:hAnsi="宋体" w:cs="宋体" w:eastAsia="宋体" w:hint="default"/>
                <w:sz w:val="18"/>
                <w:szCs w:val="18"/>
              </w:rPr>
              <w:t>便携 式消费电子产品用多媒体处理器芯片技术改造项目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的研发已无法达到理想的投资回报，实施该项目存在较大风 险，经公司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日召开的第一届董事会第十九次会议和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日召开的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 时股东大会审议通过，决定终止该投资项目。</w:t>
            </w:r>
          </w:p>
          <w:p>
            <w:pPr>
              <w:pStyle w:val="TableParagraph"/>
              <w:spacing w:line="314" w:lineRule="auto" w:before="70"/>
              <w:ind w:left="24" w:right="14"/>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年以来，教育电子市场中高端学习机产品逐渐被学生平板所替代，在芯片产品的性能需求上，学生平板 </w:t>
            </w:r>
            <w:r>
              <w:rPr>
                <w:rFonts w:ascii="宋体" w:hAnsi="宋体" w:cs="宋体" w:eastAsia="宋体" w:hint="default"/>
                <w:spacing w:val="-1"/>
                <w:sz w:val="18"/>
                <w:szCs w:val="18"/>
              </w:rPr>
              <w:t>和普通消费类的平板电脑趋于一致。鉴于国内平板电脑市场竞争越来越激烈，芯片提供商需要不断跟进新的生产</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工艺，从而导致越来越高的研发和生产成本，而教育电子作为一个行业类市场，高端产品的市场容量有限，如果</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公司仅为满足教育电子的高端需求而进行新工艺产品的开发，将会带来成本无法收回的风险。为避免在市场变化</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时出现募集资金投资无法收回的风险，并综合考虑电子市场的发展趋势，经公司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日召开的第二届</w:t>
            </w:r>
          </w:p>
          <w:p>
            <w:pPr>
              <w:pStyle w:val="TableParagraph"/>
              <w:spacing w:line="300" w:lineRule="auto" w:before="1"/>
              <w:ind w:left="24" w:right="19"/>
              <w:jc w:val="both"/>
              <w:rPr>
                <w:rFonts w:ascii="宋体" w:hAnsi="宋体" w:cs="宋体" w:eastAsia="宋体" w:hint="default"/>
                <w:sz w:val="18"/>
                <w:szCs w:val="18"/>
              </w:rPr>
            </w:pPr>
            <w:r>
              <w:rPr>
                <w:rFonts w:ascii="宋体" w:hAnsi="宋体" w:cs="宋体" w:eastAsia="宋体" w:hint="default"/>
                <w:sz w:val="18"/>
                <w:szCs w:val="18"/>
              </w:rPr>
              <w:t>董事会第十一次会议和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年年度股东大会审议通过，公司将</w:t>
            </w:r>
            <w:r>
              <w:rPr>
                <w:rFonts w:ascii="Times New Roman" w:hAnsi="Times New Roman" w:cs="Times New Roman" w:eastAsia="Times New Roman" w:hint="default"/>
                <w:sz w:val="18"/>
                <w:szCs w:val="18"/>
              </w:rPr>
              <w:t>“</w:t>
            </w:r>
            <w:r>
              <w:rPr>
                <w:rFonts w:ascii="宋体" w:hAnsi="宋体" w:cs="宋体" w:eastAsia="宋体" w:hint="default"/>
                <w:sz w:val="18"/>
                <w:szCs w:val="18"/>
              </w:rPr>
              <w:t>便携式教育电子产品用 嵌入式处理器芯片技术改造项目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物联网及智能可穿戴设备核心技术及产品研发项目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5"/>
              <w:ind w:left="22" w:right="22"/>
              <w:jc w:val="left"/>
              <w:rPr>
                <w:rFonts w:ascii="宋体" w:hAnsi="宋体" w:cs="宋体" w:eastAsia="宋体" w:hint="default"/>
                <w:sz w:val="18"/>
                <w:szCs w:val="18"/>
              </w:rPr>
            </w:pPr>
            <w:r>
              <w:rPr>
                <w:rFonts w:ascii="宋体" w:hAnsi="宋体" w:cs="宋体" w:eastAsia="宋体" w:hint="default"/>
                <w:sz w:val="18"/>
                <w:szCs w:val="18"/>
              </w:rPr>
              <w:t>超募资 金的金 </w:t>
            </w:r>
            <w:r>
              <w:rPr>
                <w:rFonts w:ascii="宋体" w:hAnsi="宋体" w:cs="宋体" w:eastAsia="宋体" w:hint="default"/>
                <w:spacing w:val="-14"/>
                <w:sz w:val="18"/>
                <w:szCs w:val="18"/>
              </w:rPr>
              <w:t>额、用途</w:t>
            </w:r>
            <w:r>
              <w:rPr>
                <w:rFonts w:ascii="宋体" w:hAnsi="宋体" w:cs="宋体" w:eastAsia="宋体" w:hint="default"/>
                <w:sz w:val="18"/>
                <w:szCs w:val="18"/>
              </w:rPr>
              <w:t> 及使用 进展情 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15"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月，公司首次公开发行股票实际募集资金净额人民币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82,566.10</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万元，募投项目承诺投资额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32,661.00</w:t>
            </w:r>
          </w:p>
          <w:p>
            <w:pPr>
              <w:pStyle w:val="TableParagraph"/>
              <w:spacing w:line="300" w:lineRule="auto" w:before="60"/>
              <w:ind w:left="24" w:right="34"/>
              <w:jc w:val="left"/>
              <w:rPr>
                <w:rFonts w:ascii="宋体" w:hAnsi="宋体" w:cs="宋体" w:eastAsia="宋体" w:hint="default"/>
                <w:sz w:val="18"/>
                <w:szCs w:val="18"/>
              </w:rPr>
            </w:pPr>
            <w:r>
              <w:rPr>
                <w:rFonts w:ascii="宋体" w:hAnsi="宋体" w:cs="宋体" w:eastAsia="宋体" w:hint="default"/>
                <w:sz w:val="18"/>
                <w:szCs w:val="18"/>
              </w:rPr>
              <w:t>万元，超募资金金额为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49,905.10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日公司第一届董事会第十五次会议审议通过了《关于变更 </w:t>
            </w:r>
            <w:r>
              <w:rPr>
                <w:rFonts w:ascii="宋体" w:hAnsi="宋体" w:cs="宋体" w:eastAsia="宋体" w:hint="default"/>
                <w:spacing w:val="-2"/>
                <w:w w:val="100"/>
                <w:sz w:val="18"/>
                <w:szCs w:val="18"/>
              </w:rPr>
              <w:t>募集资金投资项目实施地点和实施金额及延期实施的议案》，对募集资金投资项目</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研发中心建设项目</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的实施地</w:t>
            </w:r>
            <w:r>
              <w:rPr>
                <w:rFonts w:ascii="宋体" w:hAnsi="宋体" w:cs="宋体" w:eastAsia="宋体" w:hint="default"/>
                <w:spacing w:val="-82"/>
                <w:w w:val="100"/>
                <w:sz w:val="18"/>
                <w:szCs w:val="18"/>
              </w:rPr>
              <w:t> </w:t>
            </w:r>
            <w:r>
              <w:rPr>
                <w:rFonts w:ascii="宋体" w:hAnsi="宋体" w:cs="宋体" w:eastAsia="宋体" w:hint="default"/>
                <w:sz w:val="18"/>
                <w:szCs w:val="18"/>
              </w:rPr>
              <w:t>点和实施金额进行了变更，变更投资额后结余的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万元转入超募资金管理。</w:t>
            </w:r>
          </w:p>
          <w:p>
            <w:pPr>
              <w:pStyle w:val="TableParagraph"/>
              <w:spacing w:line="300" w:lineRule="auto" w:before="53"/>
              <w:ind w:left="24" w:right="3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、为充分利用地方优势，降低公司整体运营成本，利用地方丰富的人力资源及相对较低的人工成本优势，更好 地进行产业布局和企业发展的整体规划，经公司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日召开的第二届董事会第十次会议和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319" w:lineRule="auto" w:before="13"/>
              <w:ind w:left="24" w:right="1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日召开的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年第一次临时股东大会审议通过，公司决定使用超募资金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万元在合肥高新技术产业 开发区投资成立全资子公司。</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月，公司完成了全资子公司合肥君正科技有限公司的设立工作。 </w:t>
            </w:r>
            <w:r>
              <w:rPr>
                <w:rFonts w:ascii="Times New Roman" w:hAnsi="Times New Roman" w:cs="Times New Roman" w:eastAsia="Times New Roman" w:hint="default"/>
                <w:sz w:val="18"/>
                <w:szCs w:val="18"/>
              </w:rPr>
              <w:t>3</w:t>
            </w: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日召开的第三届董事会第二十一次会议和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日召开的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w:t>
            </w:r>
          </w:p>
          <w:p>
            <w:pPr>
              <w:pStyle w:val="TableParagraph"/>
              <w:spacing w:line="300" w:lineRule="auto"/>
              <w:ind w:left="24" w:right="37"/>
              <w:jc w:val="left"/>
              <w:rPr>
                <w:rFonts w:ascii="宋体" w:hAnsi="宋体" w:cs="宋体" w:eastAsia="宋体" w:hint="default"/>
                <w:sz w:val="18"/>
                <w:szCs w:val="18"/>
              </w:rPr>
            </w:pPr>
            <w:r>
              <w:rPr>
                <w:rFonts w:ascii="宋体" w:hAnsi="宋体" w:cs="宋体" w:eastAsia="宋体" w:hint="default"/>
                <w:sz w:val="18"/>
                <w:szCs w:val="18"/>
              </w:rPr>
              <w:t>会审议通过，公司使用超募资金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万元对公司全资子公司合肥君正科技有限公司进行增资，以进行合肥君正 二期研发楼的建设。</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月，公司完成了对全资子公司合肥君正科技有限公司的增资工作。</w:t>
            </w:r>
          </w:p>
          <w:p>
            <w:pPr>
              <w:pStyle w:val="TableParagraph"/>
              <w:spacing w:line="300" w:lineRule="auto" w:before="51"/>
              <w:ind w:left="24"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日召开的第四届董事会第七次会议和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 </w:t>
            </w:r>
            <w:r>
              <w:rPr>
                <w:rFonts w:ascii="宋体" w:hAnsi="宋体" w:cs="宋体" w:eastAsia="宋体" w:hint="default"/>
                <w:spacing w:val="-2"/>
                <w:sz w:val="18"/>
                <w:szCs w:val="18"/>
              </w:rPr>
              <w:t>大会审议通过，公司拟使用结余募集资金和超募资金及部分募集资金利息（含现金管理收益）</w:t>
            </w:r>
            <w:r>
              <w:rPr>
                <w:rFonts w:ascii="Times New Roman" w:hAnsi="Times New Roman" w:cs="Times New Roman" w:eastAsia="Times New Roman" w:hint="default"/>
                <w:spacing w:val="-2"/>
                <w:sz w:val="18"/>
                <w:szCs w:val="18"/>
              </w:rPr>
              <w:t>45,613.30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万元支付</w:t>
            </w:r>
            <w:r>
              <w:rPr>
                <w:rFonts w:ascii="宋体" w:hAnsi="宋体" w:cs="宋体" w:eastAsia="宋体" w:hint="default"/>
                <w:spacing w:val="-84"/>
                <w:sz w:val="18"/>
                <w:szCs w:val="18"/>
              </w:rPr>
              <w:t> </w:t>
            </w:r>
            <w:r>
              <w:rPr>
                <w:rFonts w:ascii="宋体" w:hAnsi="宋体" w:cs="宋体" w:eastAsia="宋体" w:hint="default"/>
                <w:sz w:val="18"/>
                <w:szCs w:val="18"/>
              </w:rPr>
              <w:t>公司重大资产重组部分现金对价，该事项已经</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日召开的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年第一次临时股东大会审议通过。公</w:t>
            </w:r>
          </w:p>
          <w:p>
            <w:pPr>
              <w:pStyle w:val="TableParagraph"/>
              <w:spacing w:line="307" w:lineRule="auto" w:before="13"/>
              <w:ind w:left="24" w:right="17"/>
              <w:jc w:val="left"/>
              <w:rPr>
                <w:rFonts w:ascii="宋体" w:hAnsi="宋体" w:cs="宋体" w:eastAsia="宋体" w:hint="default"/>
                <w:sz w:val="18"/>
                <w:szCs w:val="18"/>
              </w:rPr>
            </w:pPr>
            <w:r>
              <w:rPr>
                <w:rFonts w:ascii="宋体" w:hAnsi="宋体" w:cs="宋体" w:eastAsia="宋体" w:hint="default"/>
                <w:sz w:val="18"/>
                <w:szCs w:val="18"/>
              </w:rPr>
              <w:t>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日收到中国证监会出具的《关于核准北京君正集成电路股份有限公司向北京屹唐半导体产 </w:t>
            </w:r>
            <w:r>
              <w:rPr>
                <w:rFonts w:ascii="宋体" w:hAnsi="宋体" w:cs="宋体" w:eastAsia="宋体" w:hint="default"/>
                <w:spacing w:val="-3"/>
                <w:sz w:val="18"/>
                <w:szCs w:val="18"/>
              </w:rPr>
              <w:t>业投资中心（有限合伙）等发行股份购买资产并募集配套资金的批复》（证监许可</w:t>
            </w:r>
            <w:r>
              <w:rPr>
                <w:rFonts w:ascii="Times New Roman" w:hAnsi="Times New Roman" w:cs="Times New Roman" w:eastAsia="Times New Roman" w:hint="default"/>
                <w:spacing w:val="-3"/>
                <w:sz w:val="18"/>
                <w:szCs w:val="18"/>
              </w:rPr>
              <w:t>[2019]2938</w:t>
            </w:r>
            <w:r>
              <w:rPr>
                <w:rFonts w:ascii="Times New Roman" w:hAnsi="Times New Roman" w:cs="Times New Roman" w:eastAsia="Times New Roman" w:hint="default"/>
                <w:spacing w:val="27"/>
                <w:sz w:val="18"/>
                <w:szCs w:val="18"/>
              </w:rPr>
              <w:t> </w:t>
            </w:r>
            <w:r>
              <w:rPr>
                <w:rFonts w:ascii="宋体" w:hAnsi="宋体" w:cs="宋体" w:eastAsia="宋体" w:hint="default"/>
                <w:spacing w:val="-11"/>
                <w:sz w:val="18"/>
                <w:szCs w:val="18"/>
              </w:rPr>
              <w:t>号），核准公司本次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发行股份购买资产并募集配套资金事项获得证监会核准。公司将通过发行股份及支付现金的方式向北京屹唐半导</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4"/>
                <w:sz w:val="18"/>
                <w:szCs w:val="18"/>
              </w:rPr>
              <w:t>体产业投资中心（有限合伙）、上海武岳峰集成电路股权投资合伙企业（有限合伙）等</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8"/>
                <w:sz w:val="18"/>
                <w:szCs w:val="18"/>
              </w:rPr>
              <w:t> </w:t>
            </w:r>
            <w:r>
              <w:rPr>
                <w:rFonts w:ascii="宋体" w:hAnsi="宋体" w:cs="宋体" w:eastAsia="宋体" w:hint="default"/>
                <w:spacing w:val="-1"/>
                <w:sz w:val="18"/>
                <w:szCs w:val="18"/>
              </w:rPr>
              <w:t>名交易对方购买其持有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的相关资产。公司将积极推动本次交易的各项工作，截至本报告期末，公司尚未以募集资金支付本次交易的现金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对价。</w:t>
            </w:r>
          </w:p>
          <w:p>
            <w:pPr>
              <w:pStyle w:val="TableParagraph"/>
              <w:spacing w:line="300" w:lineRule="auto" w:before="67"/>
              <w:ind w:left="24"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、截至本报告期末，公司超募资金余额为</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26,651.10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万元，其中部分存放于募集资金专户，部分用于购买银行保 本型理财产品。</w:t>
            </w:r>
          </w:p>
        </w:tc>
      </w:tr>
      <w:tr>
        <w:trPr>
          <w:trHeight w:val="401"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37"/>
              <w:ind w:left="22" w:right="147"/>
              <w:jc w:val="both"/>
              <w:rPr>
                <w:rFonts w:ascii="宋体" w:hAnsi="宋体" w:cs="宋体" w:eastAsia="宋体" w:hint="default"/>
                <w:sz w:val="18"/>
                <w:szCs w:val="18"/>
              </w:rPr>
            </w:pPr>
            <w:r>
              <w:rPr>
                <w:rFonts w:ascii="宋体" w:hAnsi="宋体" w:cs="宋体" w:eastAsia="宋体" w:hint="default"/>
                <w:sz w:val="18"/>
                <w:szCs w:val="18"/>
              </w:rPr>
              <w:t>募集资 金投资 项目实 施地点 变更情 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722" w:type="dxa"/>
            <w:vMerge/>
            <w:tcBorders>
              <w:left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337"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7"/>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日召开的第一届董事会第十五次会议审议通过了《关于变更募集资金投资项目实施地点和 </w:t>
            </w:r>
            <w:r>
              <w:rPr>
                <w:rFonts w:ascii="宋体" w:hAnsi="宋体" w:cs="宋体" w:eastAsia="宋体" w:hint="default"/>
                <w:spacing w:val="-2"/>
                <w:w w:val="100"/>
                <w:sz w:val="18"/>
                <w:szCs w:val="18"/>
              </w:rPr>
              <w:t>实施金额及延期实施的议案》，对募集资金投资项目</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研发中心建设项目</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的实施地点进行了变更，原实施地点为</w:t>
            </w:r>
            <w:r>
              <w:rPr>
                <w:rFonts w:ascii="宋体" w:hAnsi="宋体" w:cs="宋体" w:eastAsia="宋体" w:hint="default"/>
                <w:spacing w:val="-83"/>
                <w:w w:val="100"/>
                <w:sz w:val="18"/>
                <w:szCs w:val="18"/>
              </w:rPr>
              <w:t> </w:t>
            </w:r>
            <w:r>
              <w:rPr>
                <w:rFonts w:ascii="宋体" w:hAnsi="宋体" w:cs="宋体" w:eastAsia="宋体" w:hint="default"/>
                <w:sz w:val="18"/>
                <w:szCs w:val="18"/>
              </w:rPr>
              <w:t>北京市海淀区中关村软件园区内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平方米租赁区内，变更后的实施地点位于中关村软件园二期（西扩）起步 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J-2 </w:t>
            </w:r>
            <w:r>
              <w:rPr>
                <w:rFonts w:ascii="宋体" w:hAnsi="宋体" w:cs="宋体" w:eastAsia="宋体" w:hint="default"/>
                <w:sz w:val="18"/>
                <w:szCs w:val="18"/>
              </w:rPr>
              <w:t>地块。</w:t>
            </w:r>
          </w:p>
        </w:tc>
      </w:tr>
      <w:tr>
        <w:trPr>
          <w:trHeight w:val="403"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募集资</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22"/>
        <w:gridCol w:w="8848"/>
      </w:tblGrid>
      <w:tr>
        <w:trPr>
          <w:trHeight w:val="401"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22" w:right="147"/>
              <w:jc w:val="both"/>
              <w:rPr>
                <w:rFonts w:ascii="宋体" w:hAnsi="宋体" w:cs="宋体" w:eastAsia="宋体" w:hint="default"/>
                <w:sz w:val="18"/>
                <w:szCs w:val="18"/>
              </w:rPr>
            </w:pPr>
            <w:r>
              <w:rPr>
                <w:rFonts w:ascii="宋体" w:hAnsi="宋体" w:cs="宋体" w:eastAsia="宋体" w:hint="default"/>
                <w:sz w:val="18"/>
                <w:szCs w:val="18"/>
              </w:rPr>
              <w:t>金投资 项目实 施方式 调整情 况</w:t>
            </w:r>
          </w:p>
        </w:tc>
        <w:tc>
          <w:tcPr>
            <w:tcW w:w="8848" w:type="dxa"/>
            <w:tcBorders>
              <w:top w:val="single" w:sz="4" w:space="0" w:color="000000"/>
              <w:left w:val="single" w:sz="4" w:space="0" w:color="000000"/>
              <w:bottom w:val="single" w:sz="4" w:space="0" w:color="000000"/>
              <w:right w:val="single" w:sz="4" w:space="0" w:color="000000"/>
            </w:tcBorders>
          </w:tcPr>
          <w:p>
            <w:pPr/>
          </w:p>
        </w:tc>
      </w:tr>
      <w:tr>
        <w:trPr>
          <w:trHeight w:val="1210"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2" w:right="147"/>
              <w:jc w:val="both"/>
              <w:rPr>
                <w:rFonts w:ascii="宋体" w:hAnsi="宋体" w:cs="宋体" w:eastAsia="宋体" w:hint="default"/>
                <w:sz w:val="18"/>
                <w:szCs w:val="18"/>
              </w:rPr>
            </w:pPr>
            <w:r>
              <w:rPr>
                <w:rFonts w:ascii="宋体" w:hAnsi="宋体" w:cs="宋体" w:eastAsia="宋体" w:hint="default"/>
                <w:sz w:val="18"/>
                <w:szCs w:val="18"/>
              </w:rPr>
              <w:t>募集资 金投资 项目先 期投入 及置换 情况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561"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日，经公司第一届董事会第十一次会议审议通过，根据北京兴华会计师事务所有限责任公司出具</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的</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宋体" w:hAnsi="宋体" w:cs="宋体" w:eastAsia="宋体" w:hint="default"/>
                <w:sz w:val="18"/>
                <w:szCs w:val="18"/>
              </w:rPr>
              <w:t>）京会兴核字第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1-041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《关于北京君正集成电路股份有限公司以自筹资金预先投入募投项目的鉴证</w:t>
            </w:r>
          </w:p>
          <w:p>
            <w:pPr>
              <w:pStyle w:val="TableParagraph"/>
              <w:spacing w:line="300" w:lineRule="auto" w:before="63"/>
              <w:ind w:left="24" w:right="22"/>
              <w:jc w:val="left"/>
              <w:rPr>
                <w:rFonts w:ascii="宋体" w:hAnsi="宋体" w:cs="宋体" w:eastAsia="宋体" w:hint="default"/>
                <w:sz w:val="18"/>
                <w:szCs w:val="18"/>
              </w:rPr>
            </w:pPr>
            <w:r>
              <w:rPr>
                <w:rFonts w:ascii="宋体" w:hAnsi="宋体" w:cs="宋体" w:eastAsia="宋体" w:hint="default"/>
                <w:spacing w:val="-11"/>
                <w:sz w:val="18"/>
                <w:szCs w:val="18"/>
              </w:rPr>
              <w:t>报告》，公司以募集资金</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1,843.24</w:t>
            </w:r>
            <w:r>
              <w:rPr>
                <w:rFonts w:ascii="Times New Roman" w:hAnsi="Times New Roman" w:cs="Times New Roman" w:eastAsia="Times New Roman" w:hint="default"/>
                <w:sz w:val="18"/>
                <w:szCs w:val="18"/>
              </w:rPr>
              <w:t> </w:t>
            </w:r>
            <w:r>
              <w:rPr>
                <w:rFonts w:ascii="宋体" w:hAnsi="宋体" w:cs="宋体" w:eastAsia="宋体" w:hint="default"/>
                <w:spacing w:val="-1"/>
                <w:w w:val="100"/>
                <w:sz w:val="18"/>
                <w:szCs w:val="18"/>
              </w:rPr>
              <w:t>万元置换预先已投入募集资金投资项目</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移动互联网终端应用处理器芯片研发及</w:t>
            </w:r>
            <w:r>
              <w:rPr>
                <w:rFonts w:ascii="宋体" w:hAnsi="宋体" w:cs="宋体" w:eastAsia="宋体" w:hint="default"/>
                <w:spacing w:val="-87"/>
                <w:w w:val="100"/>
                <w:sz w:val="18"/>
                <w:szCs w:val="18"/>
              </w:rPr>
              <w:t> </w:t>
            </w:r>
            <w:r>
              <w:rPr>
                <w:rFonts w:ascii="宋体" w:hAnsi="宋体" w:cs="宋体" w:eastAsia="宋体" w:hint="default"/>
                <w:sz w:val="18"/>
                <w:szCs w:val="18"/>
              </w:rPr>
              <w:t>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的自筹资金。</w:t>
            </w:r>
          </w:p>
        </w:tc>
      </w:tr>
      <w:tr>
        <w:trPr>
          <w:trHeight w:val="403"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147"/>
              <w:jc w:val="both"/>
              <w:rPr>
                <w:rFonts w:ascii="宋体" w:hAnsi="宋体" w:cs="宋体" w:eastAsia="宋体" w:hint="default"/>
                <w:sz w:val="18"/>
                <w:szCs w:val="18"/>
              </w:rPr>
            </w:pPr>
            <w:r>
              <w:rPr>
                <w:rFonts w:ascii="宋体" w:hAnsi="宋体" w:cs="宋体" w:eastAsia="宋体" w:hint="default"/>
                <w:sz w:val="18"/>
                <w:szCs w:val="18"/>
              </w:rPr>
              <w:t>用闲置 募集资 金暂时 补充流 动资金 情况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60"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16" w:lineRule="auto"/>
              <w:ind w:left="22" w:right="147"/>
              <w:jc w:val="both"/>
              <w:rPr>
                <w:rFonts w:ascii="宋体" w:hAnsi="宋体" w:cs="宋体" w:eastAsia="宋体" w:hint="default"/>
                <w:sz w:val="18"/>
                <w:szCs w:val="18"/>
              </w:rPr>
            </w:pPr>
            <w:r>
              <w:rPr>
                <w:rFonts w:ascii="宋体" w:hAnsi="宋体" w:cs="宋体" w:eastAsia="宋体" w:hint="default"/>
                <w:sz w:val="18"/>
                <w:szCs w:val="18"/>
              </w:rPr>
              <w:t>项目实 施出现 募集资 金结余 的金额 及原因</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250"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、根据招股说明书中披露的项目完成时间及项目总投资额，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移动互联网终端应用处理器芯片研发及产业化项目</w:t>
            </w:r>
            <w:r>
              <w:rPr>
                <w:rFonts w:ascii="Times New Roman" w:hAnsi="Times New Roman" w:cs="Times New Roman" w:eastAsia="Times New Roman" w:hint="default"/>
                <w:spacing w:val="-2"/>
                <w:sz w:val="18"/>
                <w:szCs w:val="18"/>
              </w:rPr>
              <w:t>”</w:t>
            </w:r>
          </w:p>
          <w:p>
            <w:pPr>
              <w:pStyle w:val="TableParagraph"/>
              <w:spacing w:line="240" w:lineRule="auto" w:before="63"/>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达到预定可使用状态的日期为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3"/>
                <w:sz w:val="18"/>
                <w:szCs w:val="18"/>
              </w:rPr>
              <w:t>日，募集资金承诺投资总额为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12,387.00</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万元。截至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309" w:lineRule="auto" w:before="63"/>
              <w:ind w:left="24" w:right="-7"/>
              <w:jc w:val="both"/>
              <w:rPr>
                <w:rFonts w:ascii="宋体" w:hAnsi="宋体" w:cs="宋体" w:eastAsia="宋体" w:hint="default"/>
                <w:sz w:val="18"/>
                <w:szCs w:val="18"/>
              </w:rPr>
            </w:pPr>
            <w:r>
              <w:rPr>
                <w:rFonts w:ascii="宋体" w:hAnsi="宋体" w:cs="宋体" w:eastAsia="宋体" w:hint="default"/>
                <w:sz w:val="18"/>
                <w:szCs w:val="18"/>
              </w:rPr>
              <w:t>日，该投资项目已经完结，实际投资总额为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11,402.82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万元，结余募集资金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984.18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万元。结余的主要原因为，公 司从项目的实际情况出发，本着节约、合理及有效的原则使用募集资金，并且公司结合自身的技术优势和经验， 充分利用现有的设备资源，减少了新设备的购置，节省了设备购置费用，致使募集资金出现结余。</w:t>
            </w:r>
          </w:p>
          <w:p>
            <w:pPr>
              <w:pStyle w:val="TableParagraph"/>
              <w:spacing w:line="240" w:lineRule="auto" w:before="65"/>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、根据招股说明书及公司董事会决议，</w:t>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预计完成时间为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日，募集资金承诺</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投资总额为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3,142.00 </w:t>
            </w:r>
            <w:r>
              <w:rPr>
                <w:rFonts w:ascii="宋体" w:hAnsi="宋体" w:cs="宋体" w:eastAsia="宋体" w:hint="default"/>
                <w:sz w:val="18"/>
                <w:szCs w:val="18"/>
              </w:rPr>
              <w:t>万元。截至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日，该投资项目已经完结，实际投资金额为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1,810.31 </w:t>
            </w:r>
            <w:r>
              <w:rPr>
                <w:rFonts w:ascii="宋体" w:hAnsi="宋体" w:cs="宋体" w:eastAsia="宋体" w:hint="default"/>
                <w:sz w:val="18"/>
                <w:szCs w:val="18"/>
              </w:rPr>
              <w:t>万元，结</w:t>
            </w:r>
          </w:p>
          <w:p>
            <w:pPr>
              <w:pStyle w:val="TableParagraph"/>
              <w:spacing w:line="309" w:lineRule="auto" w:before="63"/>
              <w:ind w:left="24" w:right="20"/>
              <w:jc w:val="both"/>
              <w:rPr>
                <w:rFonts w:ascii="宋体" w:hAnsi="宋体" w:cs="宋体" w:eastAsia="宋体" w:hint="default"/>
                <w:sz w:val="18"/>
                <w:szCs w:val="18"/>
              </w:rPr>
            </w:pPr>
            <w:r>
              <w:rPr>
                <w:rFonts w:ascii="宋体" w:hAnsi="宋体" w:cs="宋体" w:eastAsia="宋体" w:hint="default"/>
                <w:sz w:val="18"/>
                <w:szCs w:val="18"/>
              </w:rPr>
              <w:t>余募集资金</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1,331.69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万元。结余的主要原因为，公司本着节约、合理及有效的原则使用募集资金，严格控制各项 </w:t>
            </w:r>
            <w:r>
              <w:rPr>
                <w:rFonts w:ascii="宋体" w:hAnsi="宋体" w:cs="宋体" w:eastAsia="宋体" w:hint="default"/>
                <w:spacing w:val="-1"/>
                <w:sz w:val="18"/>
                <w:szCs w:val="18"/>
              </w:rPr>
              <w:t>支出，并对各项资源进行合理调度和优化配置，充分考虑资源的共通性，节省了项目费用，致使募集资金出现结</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余。</w:t>
            </w:r>
          </w:p>
        </w:tc>
      </w:tr>
      <w:tr>
        <w:trPr>
          <w:trHeight w:val="1652"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尚未使 用的募 集资金 用途及 去向</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截至报告期末，公司尚未使用的募集资金部分存放于募集资金专户，部分用于购买保本型理财产品。</w:t>
            </w:r>
          </w:p>
        </w:tc>
      </w:tr>
      <w:tr>
        <w:trPr>
          <w:trHeight w:val="2275"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7"/>
              <w:jc w:val="both"/>
              <w:rPr>
                <w:rFonts w:ascii="宋体" w:hAnsi="宋体" w:cs="宋体" w:eastAsia="宋体" w:hint="default"/>
                <w:sz w:val="18"/>
                <w:szCs w:val="18"/>
              </w:rPr>
            </w:pPr>
            <w:r>
              <w:rPr>
                <w:rFonts w:ascii="宋体" w:hAnsi="宋体" w:cs="宋体" w:eastAsia="宋体" w:hint="default"/>
                <w:sz w:val="18"/>
                <w:szCs w:val="18"/>
              </w:rPr>
              <w:t>募集资 金使用 及披露 中存在 的问题 或其他 情况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3"/>
        <w:rPr>
          <w:rFonts w:ascii="Times New Roman" w:hAnsi="Times New Roman" w:cs="Times New Roman" w:eastAsia="Times New Roman" w:hint="default"/>
          <w:sz w:val="28"/>
          <w:szCs w:val="28"/>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8"/>
        <w:gridCol w:w="958"/>
        <w:gridCol w:w="958"/>
        <w:gridCol w:w="956"/>
        <w:gridCol w:w="958"/>
        <w:gridCol w:w="955"/>
        <w:gridCol w:w="958"/>
        <w:gridCol w:w="958"/>
      </w:tblGrid>
      <w:tr>
        <w:trPr>
          <w:trHeight w:val="1337"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4"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 </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357" w:hRule="exact"/>
        </w:trPr>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便携式消费</w:t>
            </w: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电子产品用</w:t>
            </w: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多媒体处理</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z w:val="18"/>
              </w:rPr>
              <w:t>324.3</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z w:val="18"/>
              </w:rPr>
              <w:t>324.3</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8" w:type="dxa"/>
            <w:vMerge/>
            <w:tcBorders>
              <w:left w:val="single" w:sz="4" w:space="0" w:color="000000"/>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06" w:hRule="exact"/>
        </w:trPr>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器芯片技术</w:t>
            </w: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改造项目</w:t>
            </w: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研发中心建 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研发中心建 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3,142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1,810.31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57.62%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7" w:hRule="exact"/>
        </w:trPr>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物联网及智</w:t>
            </w: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便携式教育</w:t>
            </w: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r>
      <w:tr>
        <w:trPr>
          <w:trHeight w:val="935"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22"/>
              <w:jc w:val="both"/>
              <w:rPr>
                <w:rFonts w:ascii="宋体" w:hAnsi="宋体" w:cs="宋体" w:eastAsia="宋体" w:hint="default"/>
                <w:sz w:val="18"/>
                <w:szCs w:val="18"/>
              </w:rPr>
            </w:pPr>
            <w:r>
              <w:rPr>
                <w:rFonts w:ascii="宋体" w:hAnsi="宋体" w:cs="宋体" w:eastAsia="宋体" w:hint="default"/>
                <w:sz w:val="18"/>
                <w:szCs w:val="18"/>
              </w:rPr>
              <w:t>能可穿戴设 备核心技术 及产品研发</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23"/>
              <w:jc w:val="both"/>
              <w:rPr>
                <w:rFonts w:ascii="宋体" w:hAnsi="宋体" w:cs="宋体" w:eastAsia="宋体" w:hint="default"/>
                <w:sz w:val="18"/>
                <w:szCs w:val="18"/>
              </w:rPr>
            </w:pPr>
            <w:r>
              <w:rPr>
                <w:rFonts w:ascii="宋体" w:hAnsi="宋体" w:cs="宋体" w:eastAsia="宋体" w:hint="default"/>
                <w:sz w:val="18"/>
                <w:szCs w:val="18"/>
              </w:rPr>
              <w:t>电子产品用 嵌入式处理 器芯片技术</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spacing w:val="-1"/>
                <w:sz w:val="18"/>
              </w:rPr>
              <w:t>13,991</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9"/>
              <w:jc w:val="right"/>
              <w:rPr>
                <w:rFonts w:ascii="Times New Roman" w:hAnsi="Times New Roman" w:cs="Times New Roman" w:eastAsia="Times New Roman" w:hint="default"/>
                <w:sz w:val="18"/>
                <w:szCs w:val="18"/>
              </w:rPr>
            </w:pPr>
            <w:r>
              <w:rPr>
                <w:rFonts w:ascii="Times New Roman"/>
                <w:w w:val="95"/>
                <w:sz w:val="18"/>
              </w:rPr>
              <w:t>2,082.75</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spacing w:val="-1"/>
                <w:sz w:val="18"/>
              </w:rPr>
              <w:t>13,019.85</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6"/>
              <w:jc w:val="right"/>
              <w:rPr>
                <w:rFonts w:ascii="Times New Roman" w:hAnsi="Times New Roman" w:cs="Times New Roman" w:eastAsia="Times New Roman" w:hint="default"/>
                <w:sz w:val="18"/>
                <w:szCs w:val="18"/>
              </w:rPr>
            </w:pPr>
            <w:r>
              <w:rPr>
                <w:rFonts w:ascii="Times New Roman"/>
                <w:sz w:val="18"/>
              </w:rPr>
              <w:t>93.06%</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9"/>
              <w:jc w:val="right"/>
              <w:rPr>
                <w:rFonts w:ascii="Times New Roman" w:hAnsi="Times New Roman" w:cs="Times New Roman" w:eastAsia="Times New Roman" w:hint="default"/>
                <w:sz w:val="18"/>
                <w:szCs w:val="18"/>
              </w:rPr>
            </w:pPr>
            <w:r>
              <w:rPr>
                <w:rFonts w:ascii="Times New Roman"/>
                <w:w w:val="95"/>
                <w:sz w:val="18"/>
              </w:rPr>
              <w:t>1,278.29</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改造项目</w:t>
            </w: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17,457.3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2,082.75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15,154.46</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w w:val="95"/>
                <w:sz w:val="18"/>
              </w:rPr>
              <w:t>1,278.29</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left="0" w:right="1134"/>
        <w:jc w:val="right"/>
      </w:pPr>
      <w:r>
        <w:rPr/>
        <w:pict>
          <v:shape style="position:absolute;margin-left:56.459999pt;margin-top:-160.89827pt;width:479.35pt;height:383.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73"/>
                    <w:gridCol w:w="6699"/>
                  </w:tblGrid>
                  <w:tr>
                    <w:trPr>
                      <w:trHeight w:val="361" w:hRule="exact"/>
                    </w:trPr>
                    <w:tc>
                      <w:tcPr>
                        <w:tcW w:w="287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、鉴于国内</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PMP</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市场受移动互联网终端产品的冲击持续衰退，消费电子市场已经发</w:t>
                        </w:r>
                      </w:p>
                    </w:tc>
                  </w:tr>
                  <w:tr>
                    <w:trPr>
                      <w:trHeight w:val="312"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生了较大变化，继续</w:t>
                        </w:r>
                        <w:r>
                          <w:rPr>
                            <w:rFonts w:ascii="Times New Roman" w:hAnsi="Times New Roman" w:cs="Times New Roman" w:eastAsia="Times New Roman" w:hint="default"/>
                            <w:sz w:val="18"/>
                            <w:szCs w:val="18"/>
                          </w:rPr>
                          <w:t>“</w:t>
                        </w:r>
                        <w:r>
                          <w:rPr>
                            <w:rFonts w:ascii="宋体" w:hAnsi="宋体" w:cs="宋体" w:eastAsia="宋体" w:hint="default"/>
                            <w:sz w:val="18"/>
                            <w:szCs w:val="18"/>
                          </w:rPr>
                          <w:t>便携式消费电子产品用多媒体处理器芯片技术改造项目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的研发</w:t>
                        </w:r>
                      </w:p>
                    </w:tc>
                  </w:tr>
                  <w:tr>
                    <w:trPr>
                      <w:trHeight w:val="312"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已无法达到理想的投资回报，实施该项目存在较大风险，经公司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12"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召开的第一届董事会第十九次会议和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w:t>
                        </w:r>
                      </w:p>
                    </w:tc>
                  </w:tr>
                  <w:tr>
                    <w:trPr>
                      <w:trHeight w:val="326"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东大会审议通过，决定终止该投资项目。</w:t>
                        </w:r>
                      </w:p>
                    </w:tc>
                  </w:tr>
                  <w:tr>
                    <w:trPr>
                      <w:trHeight w:val="336"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日召开的第一届董事会第十五次会议审议通过了《关于变更</w:t>
                        </w:r>
                      </w:p>
                    </w:tc>
                  </w:tr>
                  <w:tr>
                    <w:trPr>
                      <w:trHeight w:val="312"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募集资金投资项目实施地点和实施金额及延期实施的议案</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对募集资金投资项</w:t>
                        </w:r>
                        <w:r>
                          <w:rPr>
                            <w:rFonts w:ascii="宋体" w:hAnsi="宋体" w:cs="宋体" w:eastAsia="宋体" w:hint="default"/>
                            <w:spacing w:val="1"/>
                            <w:sz w:val="18"/>
                            <w:szCs w:val="18"/>
                          </w:rPr>
                          <w:t>目</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研</w:t>
                        </w:r>
                      </w:p>
                    </w:tc>
                  </w:tr>
                  <w:tr>
                    <w:trPr>
                      <w:trHeight w:val="312"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发中心建设项目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的实施地点进行了变更，原实施地点为北京市海淀区中关村软件园</w:t>
                        </w:r>
                      </w:p>
                    </w:tc>
                  </w:tr>
                  <w:tr>
                    <w:trPr>
                      <w:trHeight w:val="312"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区内</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平方米租赁区内，变更后的实施地点位于中关村软件园二期（西扩）起步</w:t>
                        </w:r>
                      </w:p>
                    </w:tc>
                  </w:tr>
                  <w:tr>
                    <w:trPr>
                      <w:trHeight w:val="312"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区</w:t>
                        </w:r>
                        <w:r>
                          <w:rPr>
                            <w:rFonts w:ascii="宋体" w:hAnsi="宋体" w:cs="宋体" w:eastAsia="宋体" w:hint="default"/>
                            <w:spacing w:val="-57"/>
                            <w:sz w:val="18"/>
                            <w:szCs w:val="18"/>
                          </w:rPr>
                          <w:t> </w:t>
                        </w:r>
                        <w:r>
                          <w:rPr>
                            <w:rFonts w:ascii="Times New Roman" w:hAnsi="Times New Roman" w:cs="Times New Roman" w:eastAsia="Times New Roman" w:hint="default"/>
                            <w:spacing w:val="-1"/>
                            <w:w w:val="99"/>
                            <w:sz w:val="18"/>
                            <w:szCs w:val="18"/>
                          </w:rPr>
                          <w:t>J</w:t>
                        </w:r>
                        <w:r>
                          <w:rPr>
                            <w:rFonts w:ascii="Times New Roman" w:hAnsi="Times New Roman" w:cs="Times New Roman" w:eastAsia="Times New Roman" w:hint="default"/>
                            <w:w w:val="99"/>
                            <w:sz w:val="18"/>
                            <w:szCs w:val="18"/>
                          </w:rPr>
                          <w:t>-2</w:t>
                        </w:r>
                        <w:r>
                          <w:rPr>
                            <w:rFonts w:ascii="Times New Roman" w:hAnsi="Times New Roman" w:cs="Times New Roman" w:eastAsia="Times New Roman" w:hint="default"/>
                            <w:spacing w:val="-11"/>
                            <w:w w:val="99"/>
                            <w:sz w:val="18"/>
                            <w:szCs w:val="18"/>
                          </w:rPr>
                          <w:t> </w:t>
                        </w:r>
                        <w:r>
                          <w:rPr>
                            <w:rFonts w:ascii="宋体" w:hAnsi="宋体" w:cs="宋体" w:eastAsia="宋体" w:hint="default"/>
                            <w:w w:val="99"/>
                            <w:sz w:val="18"/>
                            <w:szCs w:val="18"/>
                          </w:rPr>
                          <w:t>地块</w:t>
                        </w:r>
                        <w:r>
                          <w:rPr>
                            <w:rFonts w:ascii="宋体" w:hAnsi="宋体" w:cs="宋体" w:eastAsia="宋体" w:hint="default"/>
                            <w:spacing w:val="-92"/>
                            <w:w w:val="99"/>
                            <w:sz w:val="18"/>
                            <w:szCs w:val="18"/>
                          </w:rPr>
                          <w:t>，</w:t>
                        </w:r>
                        <w:r>
                          <w:rPr>
                            <w:rFonts w:ascii="宋体" w:hAnsi="宋体" w:cs="宋体" w:eastAsia="宋体" w:hint="default"/>
                            <w:w w:val="99"/>
                            <w:sz w:val="18"/>
                            <w:szCs w:val="18"/>
                          </w:rPr>
                          <w:t>变更后结余的</w:t>
                        </w:r>
                        <w:r>
                          <w:rPr>
                            <w:rFonts w:ascii="宋体" w:hAnsi="宋体" w:cs="宋体" w:eastAsia="宋体" w:hint="default"/>
                            <w:spacing w:val="-57"/>
                            <w:w w:val="99"/>
                            <w:sz w:val="18"/>
                            <w:szCs w:val="18"/>
                          </w:rPr>
                          <w:t> </w:t>
                        </w:r>
                        <w:r>
                          <w:rPr>
                            <w:rFonts w:ascii="Times New Roman" w:hAnsi="Times New Roman" w:cs="Times New Roman" w:eastAsia="Times New Roman" w:hint="default"/>
                            <w:spacing w:val="1"/>
                            <w:w w:val="99"/>
                            <w:sz w:val="18"/>
                            <w:szCs w:val="18"/>
                          </w:rPr>
                          <w:t>2</w:t>
                        </w:r>
                        <w:r>
                          <w:rPr>
                            <w:rFonts w:ascii="Times New Roman" w:hAnsi="Times New Roman" w:cs="Times New Roman" w:eastAsia="Times New Roman" w:hint="default"/>
                            <w:spacing w:val="-2"/>
                            <w:w w:val="99"/>
                            <w:sz w:val="18"/>
                            <w:szCs w:val="18"/>
                          </w:rPr>
                          <w:t>4</w:t>
                        </w:r>
                        <w:r>
                          <w:rPr>
                            <w:rFonts w:ascii="Times New Roman" w:hAnsi="Times New Roman" w:cs="Times New Roman" w:eastAsia="Times New Roman" w:hint="default"/>
                            <w:spacing w:val="1"/>
                            <w:w w:val="99"/>
                            <w:sz w:val="18"/>
                            <w:szCs w:val="18"/>
                          </w:rPr>
                          <w:t>6</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2"/>
                            <w:w w:val="99"/>
                            <w:sz w:val="18"/>
                            <w:szCs w:val="18"/>
                          </w:rPr>
                          <w:t>0</w:t>
                        </w:r>
                        <w:r>
                          <w:rPr>
                            <w:rFonts w:ascii="Times New Roman" w:hAnsi="Times New Roman" w:cs="Times New Roman" w:eastAsia="Times New Roman" w:hint="default"/>
                            <w:w w:val="99"/>
                            <w:sz w:val="18"/>
                            <w:szCs w:val="18"/>
                          </w:rPr>
                          <w:t>0</w:t>
                        </w:r>
                        <w:r>
                          <w:rPr>
                            <w:rFonts w:ascii="Times New Roman" w:hAnsi="Times New Roman" w:cs="Times New Roman" w:eastAsia="Times New Roman" w:hint="default"/>
                            <w:spacing w:val="-10"/>
                            <w:w w:val="99"/>
                            <w:sz w:val="18"/>
                            <w:szCs w:val="18"/>
                          </w:rPr>
                          <w:t> </w:t>
                        </w:r>
                        <w:r>
                          <w:rPr>
                            <w:rFonts w:ascii="宋体" w:hAnsi="宋体" w:cs="宋体" w:eastAsia="宋体" w:hint="default"/>
                            <w:w w:val="99"/>
                            <w:sz w:val="18"/>
                            <w:szCs w:val="18"/>
                          </w:rPr>
                          <w:t>万元转入超募资金的管理</w:t>
                        </w:r>
                        <w:r>
                          <w:rPr>
                            <w:rFonts w:ascii="宋体" w:hAnsi="宋体" w:cs="宋体" w:eastAsia="宋体" w:hint="default"/>
                            <w:spacing w:val="-92"/>
                            <w:w w:val="99"/>
                            <w:sz w:val="18"/>
                            <w:szCs w:val="18"/>
                          </w:rPr>
                          <w:t>，</w:t>
                        </w:r>
                        <w:r>
                          <w:rPr>
                            <w:rFonts w:ascii="宋体" w:hAnsi="宋体" w:cs="宋体" w:eastAsia="宋体" w:hint="default"/>
                            <w:w w:val="99"/>
                            <w:sz w:val="18"/>
                            <w:szCs w:val="18"/>
                          </w:rPr>
                          <w:t>并将预计完成时间由</w:t>
                        </w:r>
                        <w:r>
                          <w:rPr>
                            <w:rFonts w:ascii="宋体" w:hAnsi="宋体" w:cs="宋体" w:eastAsia="宋体" w:hint="default"/>
                            <w:spacing w:val="-56"/>
                            <w:w w:val="99"/>
                            <w:sz w:val="18"/>
                            <w:szCs w:val="18"/>
                          </w:rPr>
                          <w:t> </w:t>
                        </w:r>
                        <w:r>
                          <w:rPr>
                            <w:rFonts w:ascii="Times New Roman" w:hAnsi="Times New Roman" w:cs="Times New Roman" w:eastAsia="Times New Roman" w:hint="default"/>
                            <w:spacing w:val="1"/>
                            <w:w w:val="99"/>
                            <w:sz w:val="18"/>
                            <w:szCs w:val="18"/>
                          </w:rPr>
                          <w:t>2</w:t>
                        </w:r>
                        <w:r>
                          <w:rPr>
                            <w:rFonts w:ascii="Times New Roman" w:hAnsi="Times New Roman" w:cs="Times New Roman" w:eastAsia="Times New Roman" w:hint="default"/>
                            <w:spacing w:val="-2"/>
                            <w:w w:val="99"/>
                            <w:sz w:val="18"/>
                            <w:szCs w:val="18"/>
                          </w:rPr>
                          <w:t>0</w:t>
                        </w:r>
                        <w:r>
                          <w:rPr>
                            <w:rFonts w:ascii="Times New Roman" w:hAnsi="Times New Roman" w:cs="Times New Roman" w:eastAsia="Times New Roman" w:hint="default"/>
                            <w:spacing w:val="1"/>
                            <w:w w:val="99"/>
                            <w:sz w:val="18"/>
                            <w:szCs w:val="18"/>
                          </w:rPr>
                          <w:t>1</w:t>
                        </w:r>
                        <w:r>
                          <w:rPr>
                            <w:rFonts w:ascii="Times New Roman" w:hAnsi="Times New Roman" w:cs="Times New Roman" w:eastAsia="Times New Roman" w:hint="default"/>
                            <w:w w:val="99"/>
                            <w:sz w:val="18"/>
                            <w:szCs w:val="18"/>
                          </w:rPr>
                          <w:t>2</w:t>
                        </w:r>
                        <w:r>
                          <w:rPr>
                            <w:rFonts w:ascii="Times New Roman" w:hAnsi="Times New Roman" w:cs="Times New Roman" w:eastAsia="Times New Roman" w:hint="default"/>
                            <w:sz w:val="18"/>
                            <w:szCs w:val="18"/>
                          </w:rPr>
                        </w:r>
                      </w:p>
                    </w:tc>
                  </w:tr>
                  <w:tr>
                    <w:trPr>
                      <w:trHeight w:val="312"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日延期至</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92"/>
                            <w:sz w:val="18"/>
                            <w:szCs w:val="18"/>
                          </w:rPr>
                          <w:t>。</w:t>
                        </w:r>
                        <w:r>
                          <w:rPr>
                            <w:rFonts w:ascii="宋体" w:hAnsi="宋体" w:cs="宋体" w:eastAsia="宋体" w:hint="default"/>
                            <w:sz w:val="18"/>
                            <w:szCs w:val="18"/>
                          </w:rPr>
                          <w:t>由于公司研发基地建设工作比预期有所延后</w:t>
                        </w:r>
                      </w:p>
                    </w:tc>
                  </w:tr>
                  <w:tr>
                    <w:trPr>
                      <w:trHeight w:val="312"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pacing w:val="-5"/>
                            <w:sz w:val="18"/>
                            <w:szCs w:val="18"/>
                          </w:rPr>
                          <w:t>变更原因、决策程序及信息披露情况</w:t>
                        </w: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致使</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研发中心建设项目</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的</w:t>
                        </w:r>
                        <w:r>
                          <w:rPr>
                            <w:rFonts w:ascii="宋体" w:hAnsi="宋体" w:cs="宋体" w:eastAsia="宋体" w:hint="default"/>
                            <w:spacing w:val="2"/>
                            <w:sz w:val="18"/>
                            <w:szCs w:val="18"/>
                          </w:rPr>
                          <w:t>实</w:t>
                        </w:r>
                        <w:r>
                          <w:rPr>
                            <w:rFonts w:ascii="宋体" w:hAnsi="宋体" w:cs="宋体" w:eastAsia="宋体" w:hint="default"/>
                            <w:sz w:val="18"/>
                            <w:szCs w:val="18"/>
                          </w:rPr>
                          <w:t>施进度受到影响</w:t>
                        </w:r>
                        <w:r>
                          <w:rPr>
                            <w:rFonts w:ascii="宋体" w:hAnsi="宋体" w:cs="宋体" w:eastAsia="宋体" w:hint="default"/>
                            <w:spacing w:val="-89"/>
                            <w:sz w:val="18"/>
                            <w:szCs w:val="18"/>
                          </w:rPr>
                          <w:t>，</w:t>
                        </w:r>
                        <w:r>
                          <w:rPr>
                            <w:rFonts w:ascii="宋体" w:hAnsi="宋体" w:cs="宋体" w:eastAsia="宋体" w:hint="default"/>
                            <w:sz w:val="18"/>
                            <w:szCs w:val="18"/>
                          </w:rPr>
                          <w:t>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w:t>
                        </w:r>
                      </w:p>
                    </w:tc>
                  </w:tr>
                  <w:tr>
                    <w:trPr>
                      <w:trHeight w:val="312"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会第九次会议审议通过</w:t>
                        </w:r>
                        <w:r>
                          <w:rPr>
                            <w:rFonts w:ascii="宋体" w:hAnsi="宋体" w:cs="宋体" w:eastAsia="宋体" w:hint="default"/>
                            <w:spacing w:val="-8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研</w:t>
                        </w:r>
                        <w:r>
                          <w:rPr>
                            <w:rFonts w:ascii="宋体" w:hAnsi="宋体" w:cs="宋体" w:eastAsia="宋体" w:hint="default"/>
                            <w:spacing w:val="2"/>
                            <w:sz w:val="18"/>
                            <w:szCs w:val="18"/>
                          </w:rPr>
                          <w:t>发</w:t>
                        </w:r>
                        <w:r>
                          <w:rPr>
                            <w:rFonts w:ascii="宋体" w:hAnsi="宋体" w:cs="宋体" w:eastAsia="宋体" w:hint="default"/>
                            <w:sz w:val="18"/>
                            <w:szCs w:val="18"/>
                          </w:rPr>
                          <w:t>中心建设项目</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预计完成时间由</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日延期</w:t>
                        </w:r>
                      </w:p>
                    </w:tc>
                  </w:tr>
                  <w:tr>
                    <w:trPr>
                      <w:trHeight w:val="332"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32"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年以来，教育电子市场中高端学习机产品逐渐被学生平板所替代，在芯片产</w:t>
                        </w:r>
                      </w:p>
                    </w:tc>
                  </w:tr>
                  <w:tr>
                    <w:trPr>
                      <w:trHeight w:val="307"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品的性能需求上，学生平板和普通消费类的平板电脑趋于一致。鉴于国内平板电脑市</w:t>
                        </w:r>
                      </w:p>
                    </w:tc>
                  </w:tr>
                  <w:tr>
                    <w:trPr>
                      <w:trHeight w:val="312"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场竞争越来越激烈，芯片提供商需要不断跟进新的生产工艺，从而导致越来越高的研</w:t>
                        </w:r>
                      </w:p>
                    </w:tc>
                  </w:tr>
                  <w:tr>
                    <w:trPr>
                      <w:trHeight w:val="312"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发和生产成本，而教育电子作为一个行业类市场，高端产品的市场容量有限，如果公</w:t>
                        </w:r>
                      </w:p>
                    </w:tc>
                  </w:tr>
                  <w:tr>
                    <w:trPr>
                      <w:trHeight w:val="312"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司仅为满足教育电子的高端需求而进行新工艺产品的开发，将会带来成本无法收回的</w:t>
                        </w:r>
                      </w:p>
                    </w:tc>
                  </w:tr>
                  <w:tr>
                    <w:trPr>
                      <w:trHeight w:val="312"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风险。为避免在市场变化时出现募集资金投资无法收回的风险，并综合考虑电子市场</w:t>
                        </w:r>
                      </w:p>
                    </w:tc>
                  </w:tr>
                  <w:tr>
                    <w:trPr>
                      <w:trHeight w:val="317"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的发展趋势，经公司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日召开的第二届董事会第十一次会议和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r>
                  <w:tr>
                    <w:trPr>
                      <w:trHeight w:val="312"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年年度股东大会审议通过，公司将</w:t>
                        </w:r>
                        <w:r>
                          <w:rPr>
                            <w:rFonts w:ascii="Times New Roman" w:hAnsi="Times New Roman" w:cs="Times New Roman" w:eastAsia="Times New Roman" w:hint="default"/>
                            <w:sz w:val="18"/>
                            <w:szCs w:val="18"/>
                          </w:rPr>
                          <w:t>“</w:t>
                        </w:r>
                        <w:r>
                          <w:rPr>
                            <w:rFonts w:ascii="宋体" w:hAnsi="宋体" w:cs="宋体" w:eastAsia="宋体" w:hint="default"/>
                            <w:sz w:val="18"/>
                            <w:szCs w:val="18"/>
                          </w:rPr>
                          <w:t>便携式教育电子产品用嵌入</w:t>
                        </w:r>
                      </w:p>
                    </w:tc>
                  </w:tr>
                  <w:tr>
                    <w:trPr>
                      <w:trHeight w:val="312"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式处理器芯片技术改造项目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物联网及智能可穿戴设备核心技术及产品研发项</w:t>
                        </w:r>
                      </w:p>
                    </w:tc>
                  </w:tr>
                  <w:tr>
                    <w:trPr>
                      <w:trHeight w:val="355" w:hRule="exact"/>
                    </w:trPr>
                    <w:tc>
                      <w:tcPr>
                        <w:tcW w:w="287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p>
              </w:txbxContent>
            </v:textbox>
            <w10:wrap type="none"/>
          </v:shape>
        </w:pict>
      </w:r>
      <w:r>
        <w:rPr/>
        <w:t>，</w:t>
      </w:r>
    </w:p>
    <w:p>
      <w:pPr>
        <w:spacing w:after="0" w:line="240" w:lineRule="auto"/>
        <w:jc w:val="righ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BodyText"/>
        <w:spacing w:line="240" w:lineRule="auto" w:before="44"/>
        <w:ind w:left="0" w:right="1136"/>
        <w:jc w:val="right"/>
      </w:pPr>
      <w:r>
        <w:rPr/>
        <w:pict>
          <v:shape style="position:absolute;margin-left:56.459999pt;margin-top:-189.898285pt;width:479.35pt;height:354.8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73"/>
                    <w:gridCol w:w="6699"/>
                  </w:tblGrid>
                  <w:tr>
                    <w:trPr>
                      <w:trHeight w:val="361" w:hRule="exact"/>
                    </w:trPr>
                    <w:tc>
                      <w:tcPr>
                        <w:tcW w:w="287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、鉴于国内</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PMP</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市场受移动互联网终端产品的冲击持续衰退，消费电子市场已经发</w:t>
                        </w:r>
                      </w:p>
                    </w:tc>
                  </w:tr>
                  <w:tr>
                    <w:trPr>
                      <w:trHeight w:val="312"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生了较大变化，继续</w:t>
                        </w:r>
                        <w:r>
                          <w:rPr>
                            <w:rFonts w:ascii="Times New Roman" w:hAnsi="Times New Roman" w:cs="Times New Roman" w:eastAsia="Times New Roman" w:hint="default"/>
                            <w:sz w:val="18"/>
                            <w:szCs w:val="18"/>
                          </w:rPr>
                          <w:t>“</w:t>
                        </w:r>
                        <w:r>
                          <w:rPr>
                            <w:rFonts w:ascii="宋体" w:hAnsi="宋体" w:cs="宋体" w:eastAsia="宋体" w:hint="default"/>
                            <w:sz w:val="18"/>
                            <w:szCs w:val="18"/>
                          </w:rPr>
                          <w:t>便携式消费电子产品用多媒体处理器芯片技术改造项目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的研发</w:t>
                        </w:r>
                      </w:p>
                    </w:tc>
                  </w:tr>
                  <w:tr>
                    <w:trPr>
                      <w:trHeight w:val="312"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已无法达到理想的投资回报，实施该项目存在较大风险，经公司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12"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召开的第一届董事会第十九次会议和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w:t>
                        </w:r>
                      </w:p>
                    </w:tc>
                  </w:tr>
                  <w:tr>
                    <w:trPr>
                      <w:trHeight w:val="326"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东大会审议通过，决定终止该投资项目。</w:t>
                        </w:r>
                      </w:p>
                    </w:tc>
                  </w:tr>
                  <w:tr>
                    <w:trPr>
                      <w:trHeight w:val="336"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物联网及智能可穿戴设备核心技术及产品研发项目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设立初期，物联网市场仍处于</w:t>
                        </w:r>
                      </w:p>
                    </w:tc>
                  </w:tr>
                  <w:tr>
                    <w:trPr>
                      <w:trHeight w:val="307"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探索阶段，公司根据市场发展态势不断调整技术研发和产品规划的进度，以确保募投</w:t>
                        </w:r>
                      </w:p>
                    </w:tc>
                  </w:tr>
                  <w:tr>
                    <w:trPr>
                      <w:trHeight w:val="312"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项目投资的安全稳健。近两年来随着市场发展，物联网类产品逐渐从概念走向具体产</w:t>
                        </w:r>
                      </w:p>
                    </w:tc>
                  </w:tr>
                  <w:tr>
                    <w:trPr>
                      <w:trHeight w:val="302"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品，产品呈多样化发展趋势，公司也处于在该市场推广的重要阶段，同时，针对物联</w:t>
                        </w:r>
                      </w:p>
                    </w:tc>
                  </w:tr>
                  <w:tr>
                    <w:trPr>
                      <w:trHeight w:val="312"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w:t>
                        </w: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网市场的产品特点和未来发展趋势，公司拟推出更高性能、更具竞争力的芯片产品。</w:t>
                        </w:r>
                      </w:p>
                    </w:tc>
                  </w:tr>
                  <w:tr>
                    <w:trPr>
                      <w:trHeight w:val="327"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pacing w:val="-3"/>
                            <w:sz w:val="18"/>
                            <w:szCs w:val="18"/>
                          </w:rPr>
                          <w:t>因此，经公司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日召开的第三届董事会第十五次会议和第三届监事会第</w:t>
                        </w:r>
                      </w:p>
                    </w:tc>
                  </w:tr>
                  <w:tr>
                    <w:trPr>
                      <w:trHeight w:val="312"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十次会议审议通过，公司对</w:t>
                        </w:r>
                        <w:r>
                          <w:rPr>
                            <w:rFonts w:ascii="Times New Roman" w:hAnsi="Times New Roman" w:cs="Times New Roman" w:eastAsia="Times New Roman" w:hint="default"/>
                            <w:sz w:val="18"/>
                            <w:szCs w:val="18"/>
                          </w:rPr>
                          <w:t>“</w:t>
                        </w:r>
                        <w:r>
                          <w:rPr>
                            <w:rFonts w:ascii="宋体" w:hAnsi="宋体" w:cs="宋体" w:eastAsia="宋体" w:hint="default"/>
                            <w:sz w:val="18"/>
                            <w:szCs w:val="18"/>
                          </w:rPr>
                          <w:t>物联网及智能可穿戴设备核心技术及产品研发项目</w:t>
                        </w:r>
                        <w:r>
                          <w:rPr>
                            <w:rFonts w:ascii="Times New Roman" w:hAnsi="Times New Roman" w:cs="Times New Roman" w:eastAsia="Times New Roman" w:hint="default"/>
                            <w:sz w:val="18"/>
                            <w:szCs w:val="18"/>
                          </w:rPr>
                          <w:t>”</w:t>
                        </w:r>
                        <w:r>
                          <w:rPr>
                            <w:rFonts w:ascii="宋体" w:hAnsi="宋体" w:cs="宋体" w:eastAsia="宋体" w:hint="default"/>
                            <w:sz w:val="18"/>
                            <w:szCs w:val="18"/>
                          </w:rPr>
                          <w:t>进行</w:t>
                        </w:r>
                      </w:p>
                    </w:tc>
                  </w:tr>
                  <w:tr>
                    <w:trPr>
                      <w:trHeight w:val="312"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了延期</w:t>
                        </w:r>
                        <w:r>
                          <w:rPr>
                            <w:rFonts w:ascii="宋体" w:hAnsi="宋体" w:cs="宋体" w:eastAsia="宋体" w:hint="default"/>
                            <w:spacing w:val="-77"/>
                            <w:sz w:val="18"/>
                            <w:szCs w:val="18"/>
                          </w:rPr>
                          <w:t>，</w:t>
                        </w:r>
                        <w:r>
                          <w:rPr>
                            <w:rFonts w:ascii="宋体" w:hAnsi="宋体" w:cs="宋体" w:eastAsia="宋体" w:hint="default"/>
                            <w:sz w:val="18"/>
                            <w:szCs w:val="18"/>
                          </w:rPr>
                          <w:t>将原计划完成时间由</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日调整为</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80"/>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07"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国内物联网及智能可穿戴设备市场均处于蓬勃发展的重要时期，公司在这些领域中积</w:t>
                        </w:r>
                      </w:p>
                    </w:tc>
                  </w:tr>
                  <w:tr>
                    <w:trPr>
                      <w:trHeight w:val="312"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累了深厚的市场基础和技术基础，为更好地把握市场发展机会，进一步扩大公司在这</w:t>
                        </w:r>
                      </w:p>
                    </w:tc>
                  </w:tr>
                  <w:tr>
                    <w:trPr>
                      <w:trHeight w:val="312"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些应用领域中的市场份额，公司需要根据目前的市场发展趋势和产品需求情况继续推</w:t>
                        </w:r>
                      </w:p>
                    </w:tc>
                  </w:tr>
                  <w:tr>
                    <w:trPr>
                      <w:trHeight w:val="317"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出更高性能和性价比的芯片产品。因此，经公司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日召开的第四届董事</w:t>
                        </w:r>
                      </w:p>
                    </w:tc>
                  </w:tr>
                  <w:tr>
                    <w:trPr>
                      <w:trHeight w:val="312"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会第二次会议和第四届监事会第二次会议审议通过，公司对</w:t>
                        </w:r>
                        <w:r>
                          <w:rPr>
                            <w:rFonts w:ascii="Times New Roman" w:hAnsi="Times New Roman" w:cs="Times New Roman" w:eastAsia="Times New Roman" w:hint="default"/>
                            <w:sz w:val="18"/>
                            <w:szCs w:val="18"/>
                          </w:rPr>
                          <w:t>“</w:t>
                        </w:r>
                        <w:r>
                          <w:rPr>
                            <w:rFonts w:ascii="宋体" w:hAnsi="宋体" w:cs="宋体" w:eastAsia="宋体" w:hint="default"/>
                            <w:sz w:val="18"/>
                            <w:szCs w:val="18"/>
                          </w:rPr>
                          <w:t>物联网及智能可穿戴设</w:t>
                        </w:r>
                      </w:p>
                    </w:tc>
                  </w:tr>
                  <w:tr>
                    <w:trPr>
                      <w:trHeight w:val="312"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备核心技术及产品研发项目</w:t>
                        </w:r>
                        <w:r>
                          <w:rPr>
                            <w:rFonts w:ascii="Times New Roman" w:hAnsi="Times New Roman" w:cs="Times New Roman" w:eastAsia="Times New Roman" w:hint="default"/>
                            <w:sz w:val="18"/>
                            <w:szCs w:val="18"/>
                          </w:rPr>
                          <w:t>”</w:t>
                        </w:r>
                        <w:r>
                          <w:rPr>
                            <w:rFonts w:ascii="宋体" w:hAnsi="宋体" w:cs="宋体" w:eastAsia="宋体" w:hint="default"/>
                            <w:sz w:val="18"/>
                            <w:szCs w:val="18"/>
                          </w:rPr>
                          <w:t>进行延期，将原计划完成时间由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日调整</w:t>
                        </w:r>
                      </w:p>
                    </w:tc>
                  </w:tr>
                  <w:tr>
                    <w:trPr>
                      <w:trHeight w:val="355" w:hRule="exact"/>
                    </w:trPr>
                    <w:tc>
                      <w:tcPr>
                        <w:tcW w:w="287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716"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2"/>
        <w:spacing w:line="240" w:lineRule="auto" w:before="26"/>
        <w:ind w:left="292" w:right="1034"/>
        <w:jc w:val="left"/>
        <w:rPr>
          <w:b w:val="0"/>
          <w:bCs w:val="0"/>
        </w:rPr>
      </w:pP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292" w:right="1034"/>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292"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3"/>
        <w:rPr>
          <w:rFonts w:ascii="宋体" w:hAnsi="宋体" w:cs="宋体" w:eastAsia="宋体" w:hint="default"/>
          <w:sz w:val="21"/>
          <w:szCs w:val="21"/>
        </w:rPr>
      </w:pPr>
    </w:p>
    <w:p>
      <w:pPr>
        <w:pStyle w:val="Heading3"/>
        <w:spacing w:line="240" w:lineRule="auto"/>
        <w:ind w:left="292" w:right="1034"/>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292"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292" w:right="1034"/>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79" w:top="1060" w:bottom="1160" w:left="840" w:right="0"/>
        </w:sectPr>
      </w:pPr>
    </w:p>
    <w:p>
      <w:pPr>
        <w:pStyle w:val="BodyText"/>
        <w:spacing w:line="240" w:lineRule="auto" w:before="44"/>
        <w:ind w:left="292"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292"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292" w:right="0"/>
        <w:jc w:val="left"/>
      </w:pPr>
      <w:r>
        <w:rPr/>
        <w:t>单位：元</w:t>
      </w:r>
    </w:p>
    <w:p>
      <w:pPr>
        <w:spacing w:after="0" w:line="240" w:lineRule="auto"/>
        <w:jc w:val="left"/>
        <w:sectPr>
          <w:type w:val="continuous"/>
          <w:pgSz w:w="11910" w:h="16840"/>
          <w:pgMar w:top="1060" w:bottom="1160" w:left="840" w:right="0"/>
          <w:cols w:num="2" w:equalWidth="0">
            <w:col w:w="4991" w:space="3929"/>
            <w:col w:w="2150"/>
          </w:cols>
        </w:sectPr>
      </w:pPr>
    </w:p>
    <w:p>
      <w:pPr>
        <w:spacing w:line="240" w:lineRule="auto" w:before="4"/>
        <w:rPr>
          <w:rFonts w:ascii="宋体" w:hAnsi="宋体" w:cs="宋体" w:eastAsia="宋体" w:hint="default"/>
          <w:sz w:val="8"/>
          <w:szCs w:val="8"/>
        </w:rPr>
      </w:pPr>
    </w:p>
    <w:tbl>
      <w:tblPr>
        <w:tblW w:w="0" w:type="auto"/>
        <w:jc w:val="left"/>
        <w:tblInd w:w="117" w:type="dxa"/>
        <w:tblLayout w:type="fixed"/>
        <w:tblCellMar>
          <w:top w:w="0" w:type="dxa"/>
          <w:left w:w="0" w:type="dxa"/>
          <w:bottom w:w="0" w:type="dxa"/>
          <w:right w:w="0" w:type="dxa"/>
        </w:tblCellMar>
        <w:tblLook w:val="01E0"/>
      </w:tblPr>
      <w:tblGrid>
        <w:gridCol w:w="1191"/>
        <w:gridCol w:w="907"/>
        <w:gridCol w:w="908"/>
        <w:gridCol w:w="1133"/>
        <w:gridCol w:w="1193"/>
        <w:gridCol w:w="1190"/>
        <w:gridCol w:w="1190"/>
        <w:gridCol w:w="1136"/>
        <w:gridCol w:w="1133"/>
      </w:tblGrid>
      <w:tr>
        <w:trPr>
          <w:trHeight w:val="401"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8"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北京君正集成 电路（香港） 集团有限公司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集成电路 </w:t>
            </w:r>
            <w:r>
              <w:rPr>
                <w:rFonts w:ascii="宋体" w:hAnsi="宋体" w:cs="宋体" w:eastAsia="宋体" w:hint="default"/>
                <w:spacing w:val="-10"/>
                <w:sz w:val="18"/>
                <w:szCs w:val="18"/>
              </w:rPr>
              <w:t>开发、销售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元港币</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15,091,869.46</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15,091,869.46</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2" w:right="0"/>
              <w:jc w:val="left"/>
              <w:rPr>
                <w:rFonts w:ascii="Times New Roman" w:hAnsi="Times New Roman" w:cs="Times New Roman" w:eastAsia="Times New Roman" w:hint="default"/>
                <w:sz w:val="18"/>
                <w:szCs w:val="18"/>
              </w:rPr>
            </w:pPr>
            <w:r>
              <w:rPr>
                <w:rFonts w:ascii="Times New Roman"/>
                <w:sz w:val="18"/>
              </w:rPr>
              <w:t>-41,222.96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-41,222.96</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840" w:right="0"/>
        </w:sectPr>
      </w:pPr>
    </w:p>
    <w:p>
      <w:pPr>
        <w:spacing w:line="240" w:lineRule="auto" w:before="6"/>
        <w:rPr>
          <w:rFonts w:ascii="宋体" w:hAnsi="宋体" w:cs="宋体" w:eastAsia="宋体" w:hint="default"/>
          <w:sz w:val="28"/>
          <w:szCs w:val="28"/>
        </w:rPr>
      </w:pPr>
    </w:p>
    <w:tbl>
      <w:tblPr>
        <w:tblW w:w="0" w:type="auto"/>
        <w:jc w:val="left"/>
        <w:tblInd w:w="117" w:type="dxa"/>
        <w:tblLayout w:type="fixed"/>
        <w:tblCellMar>
          <w:top w:w="0" w:type="dxa"/>
          <w:left w:w="0" w:type="dxa"/>
          <w:bottom w:w="0" w:type="dxa"/>
          <w:right w:w="0" w:type="dxa"/>
        </w:tblCellMar>
        <w:tblLook w:val="01E0"/>
      </w:tblPr>
      <w:tblGrid>
        <w:gridCol w:w="1191"/>
        <w:gridCol w:w="907"/>
        <w:gridCol w:w="908"/>
        <w:gridCol w:w="1133"/>
        <w:gridCol w:w="1193"/>
        <w:gridCol w:w="1190"/>
        <w:gridCol w:w="1190"/>
        <w:gridCol w:w="1136"/>
        <w:gridCol w:w="1133"/>
      </w:tblGrid>
      <w:tr>
        <w:trPr>
          <w:trHeight w:val="1025"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深圳君正时代 集成电路有限 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集成电路 </w:t>
            </w:r>
            <w:r>
              <w:rPr>
                <w:rFonts w:ascii="宋体" w:hAnsi="宋体" w:cs="宋体" w:eastAsia="宋体" w:hint="default"/>
                <w:spacing w:val="-10"/>
                <w:sz w:val="18"/>
                <w:szCs w:val="18"/>
              </w:rPr>
              <w:t>开发、销售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6"/>
              <w:jc w:val="right"/>
              <w:rPr>
                <w:rFonts w:ascii="Times New Roman" w:hAnsi="Times New Roman" w:cs="Times New Roman" w:eastAsia="Times New Roman" w:hint="default"/>
                <w:sz w:val="18"/>
                <w:szCs w:val="18"/>
              </w:rPr>
            </w:pPr>
            <w:r>
              <w:rPr>
                <w:rFonts w:ascii="Times New Roman"/>
                <w:spacing w:val="-1"/>
                <w:sz w:val="18"/>
              </w:rPr>
              <w:t>83,000,000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92,848,504.27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79,004,210.63</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106,651,842.98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9,624,422.42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4" w:right="0"/>
              <w:jc w:val="center"/>
              <w:rPr>
                <w:rFonts w:ascii="Times New Roman" w:hAnsi="Times New Roman" w:cs="Times New Roman" w:eastAsia="Times New Roman" w:hint="default"/>
                <w:sz w:val="18"/>
                <w:szCs w:val="18"/>
              </w:rPr>
            </w:pPr>
            <w:r>
              <w:rPr>
                <w:rFonts w:ascii="Times New Roman"/>
                <w:sz w:val="18"/>
              </w:rPr>
              <w:t>8,858,573.24</w:t>
            </w:r>
          </w:p>
        </w:tc>
      </w:tr>
      <w:tr>
        <w:trPr>
          <w:trHeight w:val="715"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合肥君正科技 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集成电路 </w:t>
            </w:r>
            <w:r>
              <w:rPr>
                <w:rFonts w:ascii="宋体" w:hAnsi="宋体" w:cs="宋体" w:eastAsia="宋体" w:hint="default"/>
                <w:spacing w:val="-10"/>
                <w:sz w:val="18"/>
                <w:szCs w:val="18"/>
              </w:rPr>
              <w:t>开发、销售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7"/>
              <w:jc w:val="right"/>
              <w:rPr>
                <w:rFonts w:ascii="Times New Roman" w:hAnsi="Times New Roman" w:cs="Times New Roman" w:eastAsia="Times New Roman" w:hint="default"/>
                <w:sz w:val="18"/>
                <w:szCs w:val="18"/>
              </w:rPr>
            </w:pPr>
            <w:r>
              <w:rPr>
                <w:rFonts w:ascii="Times New Roman"/>
                <w:spacing w:val="-1"/>
                <w:sz w:val="18"/>
              </w:rPr>
              <w:t>235,000,000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265,339,063.90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211,815,970.14</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194,996,924.27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28,128,960.41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27,112,043.02</w:t>
            </w:r>
          </w:p>
        </w:tc>
      </w:tr>
    </w:tbl>
    <w:p>
      <w:pPr>
        <w:pStyle w:val="BodyText"/>
        <w:spacing w:line="240" w:lineRule="auto" w:before="49"/>
        <w:ind w:left="292" w:right="1034"/>
        <w:jc w:val="left"/>
      </w:pPr>
      <w:r>
        <w:rPr/>
        <w:t>报告期内取得和处置子公司的情况</w:t>
      </w:r>
    </w:p>
    <w:p>
      <w:pPr>
        <w:pStyle w:val="BodyText"/>
        <w:spacing w:line="340" w:lineRule="auto" w:before="115"/>
        <w:ind w:left="292"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主要控股参股公司情况说明</w:t>
      </w:r>
    </w:p>
    <w:p>
      <w:pPr>
        <w:pStyle w:val="BodyText"/>
        <w:spacing w:line="307" w:lineRule="auto" w:before="41"/>
        <w:ind w:left="292" w:right="1034" w:firstLine="372"/>
        <w:jc w:val="left"/>
      </w:pPr>
      <w:r>
        <w:rPr>
          <w:spacing w:val="-3"/>
        </w:rPr>
        <w:t>公司全资子公司合肥君正科技有限公司主要面向智能视频领域，进行视频编解码技术、</w:t>
      </w:r>
      <w:r>
        <w:rPr>
          <w:rFonts w:ascii="Times New Roman" w:hAnsi="Times New Roman" w:cs="Times New Roman" w:eastAsia="Times New Roman" w:hint="default"/>
          <w:spacing w:val="-3"/>
        </w:rPr>
        <w:t>SoC</w:t>
      </w:r>
      <w:r>
        <w:rPr>
          <w:spacing w:val="-3"/>
        </w:rPr>
        <w:t>芯片技术、神经网路处理器、</w:t>
      </w:r>
      <w:r>
        <w:rPr/>
        <w:t> </w:t>
      </w:r>
      <w:r>
        <w:rPr>
          <w:rFonts w:ascii="宋体" w:hAnsi="宋体" w:cs="宋体" w:eastAsia="宋体" w:hint="default"/>
          <w:spacing w:val="-2"/>
        </w:rPr>
        <w:t>AI</w:t>
      </w:r>
      <w:r>
        <w:rPr>
          <w:spacing w:val="-2"/>
        </w:rPr>
        <w:t>算法技术等相关核心技术的研发、芯片产品的开发、软硬件方案开发及市场推广与客户支持等工作。报告期内，合肥君正</w:t>
      </w:r>
      <w:r>
        <w:rPr>
          <w:spacing w:val="-67"/>
        </w:rPr>
        <w:t> </w:t>
      </w:r>
      <w:r>
        <w:rPr>
          <w:spacing w:val="-67"/>
        </w:rPr>
      </w:r>
      <w:r>
        <w:rPr/>
        <w:t>在智能视频和泛视频类应用领域积极拓展，实现了智能视频领域的持续快速增长，实现销售收入</w:t>
      </w:r>
      <w:r>
        <w:rPr>
          <w:rFonts w:ascii="Times New Roman" w:hAnsi="Times New Roman" w:cs="Times New Roman" w:eastAsia="Times New Roman" w:hint="default"/>
        </w:rPr>
        <w:t>19,499.69</w:t>
      </w:r>
      <w:r>
        <w:rPr/>
        <w:t>万元，同比增长 </w:t>
      </w:r>
      <w:r>
        <w:rPr>
          <w:rFonts w:ascii="Times New Roman" w:hAnsi="Times New Roman" w:cs="Times New Roman" w:eastAsia="Times New Roman" w:hint="default"/>
        </w:rPr>
        <w:t>45.44%</w:t>
      </w:r>
      <w:r>
        <w:rPr/>
        <w:t>；实现净利润</w:t>
      </w:r>
      <w:r>
        <w:rPr>
          <w:rFonts w:ascii="Times New Roman" w:hAnsi="Times New Roman" w:cs="Times New Roman" w:eastAsia="Times New Roman" w:hint="default"/>
        </w:rPr>
        <w:t>2,711.20</w:t>
      </w:r>
      <w:r>
        <w:rPr/>
        <w:t>万元，同比增长</w:t>
      </w:r>
      <w:r>
        <w:rPr>
          <w:rFonts w:ascii="Times New Roman" w:hAnsi="Times New Roman" w:cs="Times New Roman" w:eastAsia="Times New Roman" w:hint="default"/>
        </w:rPr>
        <w:t>246.91%</w:t>
      </w:r>
      <w:r>
        <w:rPr/>
        <w:t>。</w:t>
      </w:r>
    </w:p>
    <w:p>
      <w:pPr>
        <w:pStyle w:val="BodyText"/>
        <w:spacing w:line="314" w:lineRule="auto" w:before="45"/>
        <w:ind w:left="292" w:right="1109" w:firstLine="372"/>
        <w:jc w:val="left"/>
      </w:pPr>
      <w:r>
        <w:rPr/>
        <w:t>公司全资子公司深圳君正时代集成电路有限公司主要面向智能家居家电、智能穿戴、二维码、智能门锁等各类智能硬 </w:t>
      </w:r>
      <w:r>
        <w:rPr>
          <w:spacing w:val="-2"/>
        </w:rPr>
        <w:t>件市场以及生物识别等领域，进行核心软硬件方案的研发、开发平台的研发以及市场推广和客户支持等工作。报告期内，国</w:t>
      </w:r>
      <w:r>
        <w:rPr>
          <w:spacing w:val="-64"/>
        </w:rPr>
        <w:t> </w:t>
      </w:r>
      <w:r>
        <w:rPr>
          <w:spacing w:val="-64"/>
        </w:rPr>
      </w:r>
      <w:r>
        <w:rPr>
          <w:spacing w:val="-2"/>
        </w:rPr>
        <w:t>内物联网市场快速发展，深圳君正在物联网领域的多个应用市场中均取得良好的市场进展，但由于其细分领域中的智能手表</w:t>
      </w:r>
      <w:r>
        <w:rPr>
          <w:spacing w:val="-63"/>
        </w:rPr>
        <w:t> </w:t>
      </w:r>
      <w:r>
        <w:rPr>
          <w:spacing w:val="-63"/>
        </w:rPr>
      </w:r>
      <w:r>
        <w:rPr/>
        <w:t>市场有所下滑，导致其全年销售收入未能保持持续快速增长的趋势，其全年实现销售收入</w:t>
      </w:r>
      <w:r>
        <w:rPr>
          <w:rFonts w:ascii="Times New Roman" w:hAnsi="Times New Roman" w:cs="Times New Roman" w:eastAsia="Times New Roman" w:hint="default"/>
        </w:rPr>
        <w:t>10,665.18</w:t>
      </w:r>
      <w:r>
        <w:rPr/>
        <w:t>万元，同比增长</w:t>
      </w:r>
      <w:r>
        <w:rPr>
          <w:rFonts w:ascii="Times New Roman" w:hAnsi="Times New Roman" w:cs="Times New Roman" w:eastAsia="Times New Roman" w:hint="default"/>
        </w:rPr>
        <w:t>4.91%</w:t>
      </w:r>
      <w:r>
        <w:rPr/>
        <w:t>， 实现净利润</w:t>
      </w:r>
      <w:r>
        <w:rPr>
          <w:rFonts w:ascii="Times New Roman" w:hAnsi="Times New Roman" w:cs="Times New Roman" w:eastAsia="Times New Roman" w:hint="default"/>
        </w:rPr>
        <w:t>885.86</w:t>
      </w:r>
      <w:r>
        <w:rPr/>
        <w:t>万元，同比增长</w:t>
      </w:r>
      <w:r>
        <w:rPr>
          <w:rFonts w:ascii="Times New Roman" w:hAnsi="Times New Roman" w:cs="Times New Roman" w:eastAsia="Times New Roman" w:hint="default"/>
        </w:rPr>
        <w:t>22.86%</w:t>
      </w:r>
      <w:r>
        <w:rPr/>
        <w:t>。</w:t>
      </w:r>
    </w:p>
    <w:p>
      <w:pPr>
        <w:spacing w:line="240" w:lineRule="auto" w:before="6"/>
        <w:rPr>
          <w:rFonts w:ascii="宋体" w:hAnsi="宋体" w:cs="宋体" w:eastAsia="宋体" w:hint="default"/>
          <w:sz w:val="19"/>
          <w:szCs w:val="19"/>
        </w:rPr>
      </w:pPr>
    </w:p>
    <w:p>
      <w:pPr>
        <w:pStyle w:val="Heading2"/>
        <w:spacing w:line="240" w:lineRule="auto"/>
        <w:ind w:left="292" w:right="1034"/>
        <w:jc w:val="left"/>
        <w:rPr>
          <w:b w:val="0"/>
          <w:bCs w:val="0"/>
        </w:rPr>
      </w:pP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92"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292" w:right="1034"/>
        <w:jc w:val="left"/>
        <w:rPr>
          <w:b w:val="0"/>
          <w:bCs w:val="0"/>
        </w:rPr>
      </w:pP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653" w:right="1034"/>
        <w:jc w:val="left"/>
      </w:pPr>
      <w:r>
        <w:rPr>
          <w:rFonts w:ascii="Times New Roman" w:hAnsi="Times New Roman" w:cs="Times New Roman" w:eastAsia="Times New Roman" w:hint="default"/>
        </w:rPr>
        <w:t>1</w:t>
      </w:r>
      <w:r>
        <w:rPr/>
        <w:t>、行业格局和趋势</w:t>
      </w:r>
    </w:p>
    <w:p>
      <w:pPr>
        <w:pStyle w:val="BodyText"/>
        <w:spacing w:line="312" w:lineRule="auto" w:before="101"/>
        <w:ind w:left="292" w:right="1034" w:firstLine="360"/>
        <w:jc w:val="left"/>
      </w:pPr>
      <w:r>
        <w:rPr>
          <w:rFonts w:ascii="Times New Roman" w:hAnsi="Times New Roman" w:cs="Times New Roman" w:eastAsia="Times New Roman" w:hint="default"/>
        </w:rPr>
        <w:t>2019</w:t>
      </w:r>
      <w:r>
        <w:rPr/>
        <w:t>年国内电子市场更加趋于多元化，同时，在各个市场领域中，人工智能的应用越来越广泛，</w:t>
      </w:r>
      <w:r>
        <w:rPr>
          <w:rFonts w:ascii="Times New Roman" w:hAnsi="Times New Roman" w:cs="Times New Roman" w:eastAsia="Times New Roman" w:hint="default"/>
        </w:rPr>
        <w:t>AI</w:t>
      </w:r>
      <w:r>
        <w:rPr/>
        <w:t>时代逐渐到来并渗 </w:t>
      </w:r>
      <w:r>
        <w:rPr>
          <w:spacing w:val="-2"/>
        </w:rPr>
        <w:t>透到各行各业。在物联网市场，各类智能硬件产品更新换代日趋加快，种类也日趋增多，尤其是面向消费类市场的应用，市</w:t>
      </w:r>
      <w:r>
        <w:rPr>
          <w:spacing w:val="-66"/>
        </w:rPr>
        <w:t> </w:t>
      </w:r>
      <w:r>
        <w:rPr>
          <w:spacing w:val="-66"/>
        </w:rPr>
      </w:r>
      <w:r>
        <w:rPr>
          <w:spacing w:val="-2"/>
        </w:rPr>
        <w:t>场的变化一方面给行业内带来了良好的发展机遇，但同时也带来了更多的挑战。智能视频领域竞争进一步加剧，产品性能不</w:t>
      </w:r>
      <w:r>
        <w:rPr>
          <w:spacing w:val="-63"/>
        </w:rPr>
        <w:t> </w:t>
      </w:r>
      <w:r>
        <w:rPr>
          <w:spacing w:val="-63"/>
        </w:rPr>
      </w:r>
      <w:r>
        <w:rPr/>
        <w:t>断升级，市场对</w:t>
      </w:r>
      <w:r>
        <w:rPr>
          <w:rFonts w:ascii="Times New Roman" w:hAnsi="Times New Roman" w:cs="Times New Roman" w:eastAsia="Times New Roman" w:hint="default"/>
        </w:rPr>
        <w:t>AI</w:t>
      </w:r>
      <w:r>
        <w:rPr/>
        <w:t>的认知逐渐加深，</w:t>
      </w:r>
      <w:r>
        <w:rPr>
          <w:rFonts w:ascii="Times New Roman" w:hAnsi="Times New Roman" w:cs="Times New Roman" w:eastAsia="Times New Roman" w:hint="default"/>
        </w:rPr>
        <w:t>AI</w:t>
      </w:r>
      <w:r>
        <w:rPr/>
        <w:t>的逐渐普及将给业内企业带来新一轮的发展机遇。</w:t>
      </w:r>
    </w:p>
    <w:p>
      <w:pPr>
        <w:pStyle w:val="BodyText"/>
        <w:spacing w:line="314" w:lineRule="auto" w:before="44"/>
        <w:ind w:left="292" w:right="1034" w:firstLine="360"/>
        <w:jc w:val="left"/>
      </w:pPr>
      <w:r>
        <w:rPr>
          <w:spacing w:val="-2"/>
        </w:rPr>
        <w:t>在物联网市场，产业分工从过去的追求规模化、根据功能性分工，逐渐向多样化、个性化和重视品质需求转变。为满足</w:t>
      </w:r>
      <w:r>
        <w:rPr/>
        <w:t> </w:t>
      </w:r>
      <w:r>
        <w:rPr>
          <w:spacing w:val="-2"/>
        </w:rPr>
        <w:t>市场需求，集成电路产品不仅需要有高性能，还要不断提高算力和存储容量，同时重视低功耗的需求，以满足人机交互的需</w:t>
      </w:r>
      <w:r>
        <w:rPr>
          <w:spacing w:val="-65"/>
        </w:rPr>
        <w:t> </w:t>
      </w:r>
      <w:r>
        <w:rPr>
          <w:spacing w:val="-65"/>
        </w:rPr>
      </w:r>
      <w:r>
        <w:rPr>
          <w:spacing w:val="-2"/>
        </w:rPr>
        <w:t>要以及对大数据输入、处理、输出的需求。在这一领域中，智能手表、音箱、耳机等大消费类的电子产品，是资本和产业集</w:t>
      </w:r>
      <w:r>
        <w:rPr>
          <w:spacing w:val="-72"/>
        </w:rPr>
        <w:t> </w:t>
      </w:r>
      <w:r>
        <w:rPr>
          <w:spacing w:val="-72"/>
        </w:rPr>
      </w:r>
      <w:r>
        <w:rPr>
          <w:spacing w:val="-2"/>
        </w:rPr>
        <w:t>中的领域，技术快速迭代，有些领域逐渐形成垄断，而在一些商用垂直市场如二维码、生物识别、打印机等，产品迭代时间</w:t>
      </w:r>
      <w:r>
        <w:rPr>
          <w:spacing w:val="-68"/>
        </w:rPr>
        <w:t> </w:t>
      </w:r>
      <w:r>
        <w:rPr>
          <w:spacing w:val="-68"/>
        </w:rPr>
      </w:r>
      <w:r>
        <w:rPr>
          <w:spacing w:val="-2"/>
        </w:rPr>
        <w:t>较长，有一定的行业门槛。公司在这两类市场中均有布局，在消费类市场中有智能手表、智能音箱、智能家电等，在商用类</w:t>
      </w:r>
      <w:r>
        <w:rPr>
          <w:spacing w:val="-68"/>
        </w:rPr>
        <w:t> </w:t>
      </w:r>
      <w:r>
        <w:rPr>
          <w:spacing w:val="-68"/>
        </w:rPr>
      </w:r>
      <w:r>
        <w:rPr>
          <w:spacing w:val="-2"/>
        </w:rPr>
        <w:t>市场中，有二维码、生物识别等。</w:t>
      </w:r>
      <w:r>
        <w:rPr>
          <w:rFonts w:ascii="Times New Roman" w:hAnsi="Times New Roman" w:cs="Times New Roman" w:eastAsia="Times New Roman" w:hint="default"/>
          <w:spacing w:val="-2"/>
        </w:rPr>
        <w:t>2019</w:t>
      </w:r>
      <w:r>
        <w:rPr>
          <w:spacing w:val="-2"/>
        </w:rPr>
        <w:t>年，智能手表产品在消费者中的普及性不断提高，产品种类也不断增加，包括带有通</w:t>
      </w:r>
      <w:r>
        <w:rPr>
          <w:spacing w:val="-64"/>
        </w:rPr>
        <w:t> </w:t>
      </w:r>
      <w:r>
        <w:rPr>
          <w:spacing w:val="-64"/>
        </w:rPr>
      </w:r>
      <w:r>
        <w:rPr>
          <w:spacing w:val="-2"/>
        </w:rPr>
        <w:t>话功能的运动手表、低端运动手表等，由于公司的产品目前主要应用于无通话功能的高端智能手表类别，在智能手表种类不</w:t>
      </w:r>
      <w:r>
        <w:rPr>
          <w:spacing w:val="-63"/>
        </w:rPr>
        <w:t> </w:t>
      </w:r>
      <w:r>
        <w:rPr>
          <w:spacing w:val="-63"/>
        </w:rPr>
      </w:r>
      <w:r>
        <w:rPr>
          <w:spacing w:val="-2"/>
        </w:rPr>
        <w:t>断增加的情况下，公司在该领域的市场占有率出现下降，市场销售同比下滑，从而导致公司报告期内在物联网领域的总体销</w:t>
      </w:r>
      <w:r>
        <w:rPr>
          <w:spacing w:val="-63"/>
        </w:rPr>
        <w:t> </w:t>
      </w:r>
      <w:r>
        <w:rPr>
          <w:spacing w:val="-63"/>
        </w:rPr>
      </w:r>
      <w:r>
        <w:rPr>
          <w:spacing w:val="-2"/>
        </w:rPr>
        <w:t>售收入未能保持持续快速增长。二维码市场在</w:t>
      </w:r>
      <w:r>
        <w:rPr>
          <w:rFonts w:ascii="Times New Roman" w:hAnsi="Times New Roman" w:cs="Times New Roman" w:eastAsia="Times New Roman" w:hint="default"/>
          <w:spacing w:val="-2"/>
        </w:rPr>
        <w:t>2019</w:t>
      </w:r>
      <w:r>
        <w:rPr>
          <w:spacing w:val="-2"/>
        </w:rPr>
        <w:t>年继续保持快速发展的势头，公司在该市场具有先发优势，在市场竞争日</w:t>
      </w:r>
      <w:r>
        <w:rPr>
          <w:spacing w:val="-60"/>
        </w:rPr>
        <w:t> </w:t>
      </w:r>
      <w:r>
        <w:rPr>
          <w:spacing w:val="-60"/>
        </w:rPr>
      </w:r>
      <w:r>
        <w:rPr>
          <w:spacing w:val="-2"/>
        </w:rPr>
        <w:t>趋激烈的情况下，通过持续的自我迭代保持了市场竞争力，把握住了国内主流渠道和品牌的需求，从而在这一细分领域保持</w:t>
      </w:r>
      <w:r>
        <w:rPr>
          <w:spacing w:val="-63"/>
        </w:rPr>
        <w:t> </w:t>
      </w:r>
      <w:r>
        <w:rPr>
          <w:spacing w:val="-63"/>
        </w:rPr>
      </w:r>
      <w:r>
        <w:rPr>
          <w:spacing w:val="-2"/>
        </w:rPr>
        <w:t>了良好的发展持续性。在生物识别领域，公司也具有很好地先发优势，对于传统生物识别市场，人工智能浪潮带来了很好的</w:t>
      </w:r>
      <w:r>
        <w:rPr>
          <w:spacing w:val="-65"/>
        </w:rPr>
        <w:t> </w:t>
      </w:r>
      <w:r>
        <w:rPr>
          <w:spacing w:val="-65"/>
        </w:rPr>
      </w:r>
      <w:r>
        <w:rPr/>
        <w:t>市场需求氛围，不断驱动着产品的性能升级。总体来说，</w:t>
      </w:r>
      <w:r>
        <w:rPr>
          <w:rFonts w:ascii="Times New Roman" w:hAnsi="Times New Roman" w:cs="Times New Roman" w:eastAsia="Times New Roman" w:hint="default"/>
        </w:rPr>
        <w:t>2019</w:t>
      </w:r>
      <w:r>
        <w:rPr/>
        <w:t>年物联网领域持续发展，市场规模不断扩大，产品灵活多样，</w:t>
      </w:r>
      <w:r>
        <w:rPr>
          <w:spacing w:val="-87"/>
        </w:rPr>
        <w:t> </w:t>
      </w:r>
      <w:r>
        <w:rPr>
          <w:spacing w:val="-87"/>
        </w:rPr>
      </w:r>
      <w:r>
        <w:rPr>
          <w:spacing w:val="-2"/>
        </w:rPr>
        <w:t>公司也在不断探索和挖掘市场潜力，根据需求变化及时调整产品和市场策略，未来公司将面向该领域不断推出更高性能、更</w:t>
      </w:r>
      <w:r>
        <w:rPr>
          <w:spacing w:val="-63"/>
        </w:rPr>
        <w:t> </w:t>
      </w:r>
      <w:r>
        <w:rPr>
          <w:spacing w:val="-63"/>
        </w:rPr>
      </w:r>
      <w:r>
        <w:rPr/>
        <w:t>具优势的新产品。</w:t>
      </w:r>
    </w:p>
    <w:p>
      <w:pPr>
        <w:spacing w:after="0" w:line="314" w:lineRule="auto"/>
        <w:jc w:val="left"/>
        <w:sectPr>
          <w:pgSz w:w="11910" w:h="16840"/>
          <w:pgMar w:header="745" w:footer="979" w:top="1060" w:bottom="1160" w:left="840" w:right="0"/>
        </w:sectPr>
      </w:pPr>
    </w:p>
    <w:p>
      <w:pPr>
        <w:spacing w:line="240" w:lineRule="auto" w:before="10"/>
        <w:rPr>
          <w:rFonts w:ascii="宋体" w:hAnsi="宋体" w:cs="宋体" w:eastAsia="宋体" w:hint="default"/>
          <w:sz w:val="25"/>
          <w:szCs w:val="25"/>
        </w:rPr>
      </w:pPr>
    </w:p>
    <w:p>
      <w:pPr>
        <w:pStyle w:val="BodyText"/>
        <w:spacing w:line="307" w:lineRule="auto" w:before="44"/>
        <w:ind w:right="1113" w:firstLine="360"/>
        <w:jc w:val="left"/>
      </w:pPr>
      <w:r>
        <w:rPr>
          <w:spacing w:val="-2"/>
        </w:rPr>
        <w:t>智能视频领域在</w:t>
      </w:r>
      <w:r>
        <w:rPr>
          <w:rFonts w:ascii="Times New Roman" w:hAnsi="Times New Roman" w:cs="Times New Roman" w:eastAsia="Times New Roman" w:hint="default"/>
          <w:spacing w:val="-2"/>
        </w:rPr>
        <w:t>2019</w:t>
      </w:r>
      <w:r>
        <w:rPr>
          <w:spacing w:val="-2"/>
        </w:rPr>
        <w:t>年市场保持了持续的乐观和繁荣，行业市场和消费类市场均呈现出持续发展的势头，更多品牌逐渐</w:t>
      </w:r>
      <w:r>
        <w:rPr/>
        <w:t> 进入这一领域，</w:t>
      </w:r>
      <w:r>
        <w:rPr>
          <w:rFonts w:ascii="Times New Roman" w:hAnsi="Times New Roman" w:cs="Times New Roman" w:eastAsia="Times New Roman" w:hint="default"/>
        </w:rPr>
        <w:t>AI</w:t>
      </w:r>
      <w:r>
        <w:rPr/>
        <w:t>技术的发展更为整个行业的发展注入了新的动力。随着市场逐步加深对</w:t>
      </w:r>
      <w:r>
        <w:rPr>
          <w:rFonts w:ascii="Times New Roman" w:hAnsi="Times New Roman" w:cs="Times New Roman" w:eastAsia="Times New Roman" w:hint="default"/>
        </w:rPr>
        <w:t>AI</w:t>
      </w:r>
      <w:r>
        <w:rPr/>
        <w:t>的认知，从整个行业来看，未 </w:t>
      </w:r>
      <w:r>
        <w:rPr>
          <w:spacing w:val="-3"/>
        </w:rPr>
        <w:t>来将逐步会有更多具有</w:t>
      </w:r>
      <w:r>
        <w:rPr>
          <w:rFonts w:ascii="Times New Roman" w:hAnsi="Times New Roman" w:cs="Times New Roman" w:eastAsia="Times New Roman" w:hint="default"/>
          <w:spacing w:val="-3"/>
        </w:rPr>
        <w:t>AI</w:t>
      </w:r>
      <w:r>
        <w:rPr>
          <w:spacing w:val="-3"/>
        </w:rPr>
        <w:t>算法能力的产品落地，且对算力的要求也越来越高。从产品性能指标上，中高端产品全面进入</w:t>
      </w:r>
      <w:r>
        <w:rPr>
          <w:rFonts w:ascii="Times New Roman" w:hAnsi="Times New Roman" w:cs="Times New Roman" w:eastAsia="Times New Roman" w:hint="default"/>
          <w:spacing w:val="-3"/>
        </w:rPr>
        <w:t>H.265</w:t>
      </w:r>
      <w:r>
        <w:rPr>
          <w:rFonts w:ascii="Times New Roman" w:hAnsi="Times New Roman" w:cs="Times New Roman" w:eastAsia="Times New Roman" w:hint="default"/>
        </w:rPr>
        <w:t> </w:t>
      </w:r>
      <w:r>
        <w:rPr>
          <w:spacing w:val="-2"/>
        </w:rPr>
        <w:t>时代。但与此同时，随着竞争的不断加剧，成本也越来越成为竞争力的重要因素之一，技术、服务、成本、供应链等全方位</w:t>
      </w:r>
      <w:r>
        <w:rPr>
          <w:spacing w:val="-72"/>
        </w:rPr>
        <w:t> </w:t>
      </w:r>
      <w:r>
        <w:rPr>
          <w:spacing w:val="-72"/>
        </w:rPr>
      </w:r>
      <w:r>
        <w:rPr>
          <w:spacing w:val="-2"/>
        </w:rPr>
        <w:t>的极限竞争仍将持续。报告期内，随着新产品的落地，公司面向智能视频领域的产品布局也更加齐全；同时，几年来公司逐</w:t>
      </w:r>
      <w:r>
        <w:rPr>
          <w:spacing w:val="-67"/>
        </w:rPr>
        <w:t> </w:t>
      </w:r>
      <w:r>
        <w:rPr>
          <w:spacing w:val="-67"/>
        </w:rPr>
      </w:r>
      <w:r>
        <w:rPr/>
        <w:t>渐积累了丰富的技术与市场经验，公司的技术和产品不断完善，在视频质量、整体方案、个性化算法、</w:t>
      </w:r>
      <w:r>
        <w:rPr>
          <w:rFonts w:ascii="Times New Roman" w:hAnsi="Times New Roman" w:cs="Times New Roman" w:eastAsia="Times New Roman" w:hint="default"/>
        </w:rPr>
        <w:t>AI</w:t>
      </w:r>
      <w:r>
        <w:rPr/>
        <w:t>处理能力以及功 </w:t>
      </w:r>
      <w:r>
        <w:rPr>
          <w:spacing w:val="-2"/>
        </w:rPr>
        <w:t>耗等方面，逐渐形成了独特的优势，公司的电池类产品被更多地客户所采用。此外，公司深度学习的协处理器产品，可很好</w:t>
      </w:r>
      <w:r>
        <w:rPr>
          <w:spacing w:val="-67"/>
        </w:rPr>
        <w:t> </w:t>
      </w:r>
      <w:r>
        <w:rPr>
          <w:spacing w:val="-67"/>
        </w:rPr>
      </w:r>
      <w:r>
        <w:rPr/>
        <w:t>地满足市场对端级视频分析方面的需求，为客户提供个性化的产品需求，有助于提升公司全方位的产品布局。</w:t>
      </w:r>
    </w:p>
    <w:p>
      <w:pPr>
        <w:pStyle w:val="BodyText"/>
        <w:spacing w:line="319" w:lineRule="auto" w:before="67"/>
        <w:ind w:right="1130" w:firstLine="360"/>
        <w:jc w:val="both"/>
      </w:pPr>
      <w:r>
        <w:rPr>
          <w:spacing w:val="-2"/>
        </w:rPr>
        <w:t>作为全球电子产品的重要市场，大数据、物联网、智能视频、人工智能等领域技术与市场的不断发展将给中国电子产业</w:t>
      </w:r>
      <w:r>
        <w:rPr/>
        <w:t> </w:t>
      </w:r>
      <w:r>
        <w:rPr>
          <w:spacing w:val="-2"/>
        </w:rPr>
        <w:t>带来持续的发展动力，从而给中国集成电路产业带来更多的市场机会。公司将密切关注各类市场的发展变化，及时跟进新市</w:t>
      </w:r>
      <w:r>
        <w:rPr>
          <w:spacing w:val="-63"/>
        </w:rPr>
        <w:t> </w:t>
      </w:r>
      <w:r>
        <w:rPr>
          <w:spacing w:val="-63"/>
        </w:rPr>
      </w:r>
      <w:r>
        <w:rPr/>
        <w:t>场，不断加强核心技术的研发，为客户提供更丰富的产品种类和更好的产品体验，不断促进公司的发展壮大。</w:t>
      </w:r>
    </w:p>
    <w:p>
      <w:pPr>
        <w:pStyle w:val="BodyText"/>
        <w:spacing w:line="312" w:lineRule="auto" w:before="55"/>
        <w:ind w:right="1131" w:firstLine="360"/>
        <w:jc w:val="both"/>
      </w:pPr>
      <w:r>
        <w:rPr>
          <w:spacing w:val="-2"/>
        </w:rPr>
        <w:t>集成电路产业是支撑经济社会发展和保障国家安全的战略性、基础性和先导性产业，是信息技术产业的核心，对国家信</w:t>
      </w:r>
      <w:r>
        <w:rPr/>
        <w:t> </w:t>
      </w:r>
      <w:r>
        <w:rPr>
          <w:spacing w:val="-2"/>
        </w:rPr>
        <w:t>息产业的发展和国家的信息安全至关重要，近年来，国家先后出台了各项政策支持国内集成电路产业的发展。</w:t>
      </w:r>
      <w:r>
        <w:rPr>
          <w:rFonts w:ascii="Times New Roman" w:hAnsi="Times New Roman" w:cs="Times New Roman" w:eastAsia="Times New Roman" w:hint="default"/>
          <w:spacing w:val="-2"/>
        </w:rPr>
        <w:t>2019</w:t>
      </w:r>
      <w:r>
        <w:rPr>
          <w:spacing w:val="-2"/>
        </w:rPr>
        <w:t>年，在国</w:t>
      </w:r>
      <w:r>
        <w:rPr>
          <w:spacing w:val="-60"/>
        </w:rPr>
        <w:t> </w:t>
      </w:r>
      <w:r>
        <w:rPr>
          <w:spacing w:val="-60"/>
        </w:rPr>
      </w:r>
      <w:r>
        <w:rPr>
          <w:spacing w:val="-2"/>
        </w:rPr>
        <w:t>内外各种环境因素的影响下，国内市场对自主可控集成电路技术与产品的需求也呈上升趋势，为国内集成电路企业的发展提</w:t>
      </w:r>
      <w:r>
        <w:rPr>
          <w:spacing w:val="-64"/>
        </w:rPr>
        <w:t> </w:t>
      </w:r>
      <w:r>
        <w:rPr>
          <w:spacing w:val="-64"/>
        </w:rPr>
      </w:r>
      <w:r>
        <w:rPr/>
        <w:t>供了契机。</w:t>
      </w:r>
    </w:p>
    <w:p>
      <w:pPr>
        <w:pStyle w:val="BodyText"/>
        <w:spacing w:line="340" w:lineRule="auto" w:before="63"/>
        <w:ind w:left="513" w:right="986"/>
        <w:jc w:val="left"/>
      </w:pPr>
      <w:r>
        <w:rPr>
          <w:rFonts w:ascii="Times New Roman" w:hAnsi="Times New Roman" w:cs="Times New Roman" w:eastAsia="Times New Roman" w:hint="default"/>
        </w:rPr>
        <w:t>2</w:t>
      </w:r>
      <w:r>
        <w:rPr/>
        <w:t>、公司发展战略 </w:t>
      </w:r>
      <w:r>
        <w:rPr>
          <w:spacing w:val="-4"/>
        </w:rPr>
        <w:t>公司将不断加大嵌入式</w:t>
      </w:r>
      <w:r>
        <w:rPr>
          <w:rFonts w:ascii="宋体" w:hAnsi="宋体" w:cs="宋体" w:eastAsia="宋体" w:hint="default"/>
          <w:spacing w:val="-4"/>
        </w:rPr>
        <w:t>CPU</w:t>
      </w:r>
      <w:r>
        <w:rPr>
          <w:spacing w:val="-4"/>
        </w:rPr>
        <w:t>技术、多媒体技术、</w:t>
      </w:r>
      <w:r>
        <w:rPr>
          <w:rFonts w:ascii="宋体" w:hAnsi="宋体" w:cs="宋体" w:eastAsia="宋体" w:hint="default"/>
          <w:spacing w:val="-4"/>
        </w:rPr>
        <w:t>AI</w:t>
      </w:r>
      <w:r>
        <w:rPr>
          <w:spacing w:val="-4"/>
        </w:rPr>
        <w:t>相关技术等核心技术的研发投入，形成“处理器</w:t>
      </w:r>
      <w:r>
        <w:rPr>
          <w:rFonts w:ascii="宋体" w:hAnsi="宋体" w:cs="宋体" w:eastAsia="宋体" w:hint="default"/>
          <w:spacing w:val="-4"/>
        </w:rPr>
        <w:t>+AI</w:t>
      </w:r>
      <w:r>
        <w:rPr>
          <w:spacing w:val="-4"/>
        </w:rPr>
        <w:t>”独特的技术优势；</w:t>
      </w:r>
    </w:p>
    <w:p>
      <w:pPr>
        <w:pStyle w:val="BodyText"/>
        <w:spacing w:line="316" w:lineRule="auto" w:before="1"/>
        <w:ind w:right="1131"/>
        <w:jc w:val="both"/>
      </w:pPr>
      <w:r>
        <w:rPr/>
        <w:t>通过“处理器</w:t>
      </w:r>
      <w:r>
        <w:rPr>
          <w:rFonts w:ascii="宋体" w:hAnsi="宋体" w:cs="宋体" w:eastAsia="宋体" w:hint="default"/>
        </w:rPr>
        <w:t>+AI</w:t>
      </w:r>
      <w:r>
        <w:rPr/>
        <w:t>”的技术优势，拓展扩大现有的物联网和智能视频市场；同时，积极布局汽车电子领域的相关技术，择机 </w:t>
      </w:r>
      <w:r>
        <w:rPr>
          <w:spacing w:val="-2"/>
        </w:rPr>
        <w:t>进军汽车电子市场。公司也将利用资本市场平台，在内生式发展的同时，积极寻求外延式发展的机会，寻求产业内的并购机</w:t>
      </w:r>
      <w:r>
        <w:rPr>
          <w:spacing w:val="-65"/>
        </w:rPr>
        <w:t> </w:t>
      </w:r>
      <w:r>
        <w:rPr>
          <w:spacing w:val="-65"/>
        </w:rPr>
      </w:r>
      <w:r>
        <w:rPr/>
        <w:t>会，将公司打造成国内领先、具有国际竞争力的集成电路设计企业。</w:t>
      </w:r>
    </w:p>
    <w:p>
      <w:pPr>
        <w:pStyle w:val="BodyText"/>
        <w:spacing w:line="340" w:lineRule="auto" w:before="57"/>
        <w:ind w:left="513" w:right="986"/>
        <w:jc w:val="left"/>
      </w:pPr>
      <w:r>
        <w:rPr>
          <w:rFonts w:ascii="Times New Roman" w:hAnsi="Times New Roman" w:cs="Times New Roman" w:eastAsia="Times New Roman" w:hint="default"/>
        </w:rPr>
        <w:t>3</w:t>
      </w:r>
      <w:r>
        <w:rPr/>
        <w:t>、前期披露的发展战略和经营计划在报告期内的进展 </w:t>
      </w:r>
      <w:r>
        <w:rPr>
          <w:spacing w:val="-4"/>
        </w:rPr>
        <w:t>根据公司的总体发展战略和</w:t>
      </w:r>
      <w:r>
        <w:rPr>
          <w:rFonts w:ascii="Times New Roman" w:hAnsi="Times New Roman" w:cs="Times New Roman" w:eastAsia="Times New Roman" w:hint="default"/>
          <w:spacing w:val="-4"/>
        </w:rPr>
        <w:t>2019</w:t>
      </w:r>
      <w:r>
        <w:rPr>
          <w:spacing w:val="-4"/>
        </w:rPr>
        <w:t>年经营计划，报告期内，公司高度重视技术研发工作，持续推进核心技术的研发与创新，</w:t>
      </w:r>
    </w:p>
    <w:p>
      <w:pPr>
        <w:pStyle w:val="BodyText"/>
        <w:spacing w:line="228" w:lineRule="exact"/>
        <w:ind w:right="1133"/>
        <w:jc w:val="left"/>
      </w:pPr>
      <w:r>
        <w:rPr/>
        <w:t>公司完成了</w:t>
      </w:r>
      <w:r>
        <w:rPr>
          <w:rFonts w:ascii="Times New Roman" w:hAnsi="Times New Roman" w:cs="Times New Roman" w:eastAsia="Times New Roman" w:hint="default"/>
        </w:rPr>
        <w:t>XBurst2 CPU</w:t>
      </w:r>
      <w:r>
        <w:rPr/>
        <w:t>核的优化及基于</w:t>
      </w:r>
      <w:r>
        <w:rPr>
          <w:rFonts w:ascii="Times New Roman" w:hAnsi="Times New Roman" w:cs="Times New Roman" w:eastAsia="Times New Roman" w:hint="default"/>
        </w:rPr>
        <w:t>XBurst2</w:t>
      </w:r>
      <w:r>
        <w:rPr>
          <w:rFonts w:ascii="Times New Roman" w:hAnsi="Times New Roman" w:cs="Times New Roman" w:eastAsia="Times New Roman" w:hint="default"/>
          <w:spacing w:val="-11"/>
        </w:rPr>
        <w:t> </w:t>
      </w:r>
      <w:r>
        <w:rPr>
          <w:rFonts w:ascii="Times New Roman" w:hAnsi="Times New Roman" w:cs="Times New Roman" w:eastAsia="Times New Roman" w:hint="default"/>
        </w:rPr>
        <w:t>CPU</w:t>
      </w:r>
      <w:r>
        <w:rPr/>
        <w:t>的芯片产品的投片工作。公司进行了视频编解码技术的深度优化，影</w:t>
      </w:r>
    </w:p>
    <w:p>
      <w:pPr>
        <w:pStyle w:val="BodyText"/>
        <w:spacing w:line="314" w:lineRule="auto" w:before="63"/>
        <w:ind w:right="986"/>
        <w:jc w:val="left"/>
      </w:pPr>
      <w:r>
        <w:rPr/>
        <w:t>像信号处理技术、神经网络处理器技术及</w:t>
      </w:r>
      <w:r>
        <w:rPr>
          <w:rFonts w:ascii="Times New Roman" w:hAnsi="Times New Roman" w:cs="Times New Roman" w:eastAsia="Times New Roman" w:hint="default"/>
        </w:rPr>
        <w:t>AI</w:t>
      </w:r>
      <w:r>
        <w:rPr/>
        <w:t>算法技术等核心技术的研发工作也进展良好；公司紧跟市场需求发展，及时布 </w:t>
      </w:r>
      <w:r>
        <w:rPr>
          <w:spacing w:val="-2"/>
        </w:rPr>
        <w:t>局新技术新产品，不断完善核心技术的研发，在物联网和智能视频领域深耕细作，推动了公司市场销售的不断增长。人才管</w:t>
      </w:r>
      <w:r>
        <w:rPr>
          <w:spacing w:val="-62"/>
        </w:rPr>
        <w:t> </w:t>
      </w:r>
      <w:r>
        <w:rPr>
          <w:spacing w:val="-62"/>
        </w:rPr>
      </w:r>
      <w:r>
        <w:rPr>
          <w:spacing w:val="-2"/>
        </w:rPr>
        <w:t>理方面，公司继续加强人才培养和激励方面的工作，不断完善公司管理制度，建立、健全长期有效的激励机制，公司股票期</w:t>
      </w:r>
      <w:r>
        <w:rPr>
          <w:spacing w:val="-67"/>
        </w:rPr>
        <w:t> </w:t>
      </w:r>
      <w:r>
        <w:rPr>
          <w:spacing w:val="-67"/>
        </w:rPr>
      </w:r>
      <w:r>
        <w:rPr>
          <w:spacing w:val="-4"/>
        </w:rPr>
        <w:t>权激励计划第三个行权期的行权顺利实施。产业并购方面，公司对北京矽成的重大资产重组事项获得中国证监会有条件通过，</w:t>
      </w:r>
      <w:r>
        <w:rPr>
          <w:spacing w:val="-44"/>
        </w:rPr>
        <w:t> </w:t>
      </w:r>
      <w:r>
        <w:rPr>
          <w:spacing w:val="-44"/>
        </w:rPr>
      </w:r>
      <w:r>
        <w:rPr>
          <w:spacing w:val="-4"/>
        </w:rPr>
        <w:t>并于报告期内收到证监会的核准批文。此外，报告期内合肥君正二期研发楼完成了方案设计，并完成了部分的市政审批工作。</w:t>
      </w:r>
    </w:p>
    <w:p>
      <w:pPr>
        <w:pStyle w:val="BodyText"/>
        <w:spacing w:line="240" w:lineRule="auto" w:before="61"/>
        <w:ind w:left="513" w:right="1133"/>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2020</w:t>
      </w:r>
      <w:r>
        <w:rPr/>
        <w:t>年度经营计划</w:t>
      </w:r>
    </w:p>
    <w:p>
      <w:pPr>
        <w:pStyle w:val="BodyText"/>
        <w:spacing w:line="240" w:lineRule="auto" w:before="101"/>
        <w:ind w:left="513" w:right="1133"/>
        <w:jc w:val="left"/>
      </w:pPr>
      <w:r>
        <w:rPr/>
        <w:t>（</w:t>
      </w:r>
      <w:r>
        <w:rPr>
          <w:rFonts w:ascii="Times New Roman" w:hAnsi="Times New Roman" w:cs="Times New Roman" w:eastAsia="Times New Roman" w:hint="default"/>
        </w:rPr>
        <w:t>1</w:t>
      </w:r>
      <w:r>
        <w:rPr/>
        <w:t>）持续推进技术与产品的研发</w:t>
      </w:r>
    </w:p>
    <w:p>
      <w:pPr>
        <w:pStyle w:val="BodyText"/>
        <w:spacing w:line="309" w:lineRule="auto" w:before="104"/>
        <w:ind w:right="1113" w:firstLine="360"/>
        <w:jc w:val="left"/>
      </w:pPr>
      <w:r>
        <w:rPr/>
        <w:t>公司持续加强自主可控核心技术的积累，推进基于</w:t>
      </w:r>
      <w:r>
        <w:rPr>
          <w:rFonts w:ascii="Times New Roman" w:hAnsi="Times New Roman" w:cs="Times New Roman" w:eastAsia="Times New Roman" w:hint="default"/>
        </w:rPr>
        <w:t>MIPS</w:t>
      </w:r>
      <w:r>
        <w:rPr/>
        <w:t>架构和</w:t>
      </w:r>
      <w:r>
        <w:rPr>
          <w:rFonts w:ascii="Times New Roman" w:hAnsi="Times New Roman" w:cs="Times New Roman" w:eastAsia="Times New Roman" w:hint="default"/>
        </w:rPr>
        <w:t>RISC-V</w:t>
      </w:r>
      <w:r>
        <w:rPr/>
        <w:t>架构的</w:t>
      </w:r>
      <w:r>
        <w:rPr>
          <w:rFonts w:ascii="Times New Roman" w:hAnsi="Times New Roman" w:cs="Times New Roman" w:eastAsia="Times New Roman" w:hint="default"/>
        </w:rPr>
        <w:t>CPU</w:t>
      </w:r>
      <w:r>
        <w:rPr/>
        <w:t>技术研发，在视频编解码、影像信号 处理、神经网络处理器、</w:t>
      </w:r>
      <w:r>
        <w:rPr>
          <w:rFonts w:ascii="Times New Roman" w:hAnsi="Times New Roman" w:cs="Times New Roman" w:eastAsia="Times New Roman" w:hint="default"/>
        </w:rPr>
        <w:t>AI</w:t>
      </w:r>
      <w:r>
        <w:rPr/>
        <w:t>算法等核心技术方面进行持续的研发与创新。公司将根据市场发展动向进行新兴技术的跟踪与 </w:t>
      </w:r>
      <w:r>
        <w:rPr>
          <w:spacing w:val="-2"/>
        </w:rPr>
        <w:t>研究，并适时展开相关的技术研发工作。同时，公司将针对物联网和智能视频两大领域的市场需求情况，展开芯片新产品的</w:t>
      </w:r>
      <w:r>
        <w:rPr>
          <w:spacing w:val="-64"/>
        </w:rPr>
        <w:t> </w:t>
      </w:r>
      <w:r>
        <w:rPr>
          <w:spacing w:val="-64"/>
        </w:rPr>
      </w:r>
      <w:r>
        <w:rPr>
          <w:spacing w:val="-2"/>
        </w:rPr>
        <w:t>规划和开发，对芯片产品进行升级换代。公司完成对北京矽成的重组后，将充分发挥两家企业的协同性，陆续展开面向汽车</w:t>
      </w:r>
      <w:r>
        <w:rPr>
          <w:spacing w:val="-65"/>
        </w:rPr>
        <w:t> </w:t>
      </w:r>
      <w:r>
        <w:rPr>
          <w:spacing w:val="-65"/>
        </w:rPr>
      </w:r>
      <w:r>
        <w:rPr/>
        <w:t>电子领域的相关技术与产品的研发工作。</w:t>
      </w:r>
    </w:p>
    <w:p>
      <w:pPr>
        <w:pStyle w:val="BodyText"/>
        <w:spacing w:line="338" w:lineRule="auto" w:before="65"/>
        <w:ind w:left="513" w:right="1118"/>
        <w:jc w:val="left"/>
      </w:pPr>
      <w:r>
        <w:rPr/>
        <w:t>（</w:t>
      </w:r>
      <w:r>
        <w:rPr>
          <w:rFonts w:ascii="Times New Roman" w:hAnsi="Times New Roman" w:cs="Times New Roman" w:eastAsia="Times New Roman" w:hint="default"/>
        </w:rPr>
        <w:t>2</w:t>
      </w:r>
      <w:r>
        <w:rPr/>
        <w:t>）继续重点市场的深耕细作，积极挖掘新的市场机会，提高公司市场销售规模 </w:t>
      </w:r>
      <w:r>
        <w:rPr>
          <w:spacing w:val="-2"/>
        </w:rPr>
        <w:t>公司将根据物联网与智能视频领域的市场特点，继续在两类市场中深耕细作，发挥公司的技术优势、产品优势和服务优</w:t>
      </w:r>
    </w:p>
    <w:p>
      <w:pPr>
        <w:pStyle w:val="BodyText"/>
        <w:spacing w:line="312" w:lineRule="auto" w:before="2"/>
        <w:ind w:right="1118"/>
        <w:jc w:val="left"/>
      </w:pPr>
      <w:r>
        <w:rPr>
          <w:spacing w:val="-2"/>
        </w:rPr>
        <w:t>势，不断开发更多的客户。根据物联网市场的碎片化特点，用积极灵活的应变能力捕捉更多的市场机会，抓住智能视频领域</w:t>
      </w:r>
      <w:r>
        <w:rPr>
          <w:spacing w:val="-64"/>
        </w:rPr>
        <w:t> </w:t>
      </w:r>
      <w:r>
        <w:rPr>
          <w:spacing w:val="-64"/>
        </w:rPr>
      </w:r>
      <w:r>
        <w:rPr>
          <w:rFonts w:ascii="Times New Roman" w:hAnsi="Times New Roman" w:cs="Times New Roman" w:eastAsia="Times New Roman" w:hint="default"/>
        </w:rPr>
        <w:t>AI</w:t>
      </w:r>
      <w:r>
        <w:rPr/>
        <w:t>逐渐兴起的机遇，在视频和泛视频市场不断加强产品推广和市场营销力度，持续提高公司的市场销售规模。公司对北京 </w:t>
      </w:r>
      <w:r>
        <w:rPr>
          <w:spacing w:val="-2"/>
        </w:rPr>
        <w:t>矽成的重组完成后，将会充分利用自身在处理器芯片领域的优势与北京矽成在存储器芯片领域的强大竞争力，积极布局及拓</w:t>
      </w:r>
      <w:r>
        <w:rPr>
          <w:spacing w:val="-64"/>
        </w:rPr>
        <w:t> </w:t>
      </w:r>
      <w:r>
        <w:rPr>
          <w:spacing w:val="-64"/>
        </w:rPr>
      </w:r>
      <w:r>
        <w:rPr/>
        <w:t>展公司产品在车载电子、工业控制等领域的应用。</w:t>
      </w:r>
    </w:p>
    <w:p>
      <w:pPr>
        <w:pStyle w:val="BodyText"/>
        <w:spacing w:line="340" w:lineRule="auto" w:before="63"/>
        <w:ind w:left="513" w:right="1033"/>
        <w:jc w:val="left"/>
      </w:pPr>
      <w:r>
        <w:rPr/>
        <w:t>（</w:t>
      </w:r>
      <w:r>
        <w:rPr>
          <w:rFonts w:ascii="Times New Roman" w:hAnsi="Times New Roman" w:cs="Times New Roman" w:eastAsia="Times New Roman" w:hint="default"/>
        </w:rPr>
        <w:t>3</w:t>
      </w:r>
      <w:r>
        <w:rPr/>
        <w:t>）完成对北京矽成重大资产重组的各项工作 公司于</w:t>
      </w:r>
      <w:r>
        <w:rPr>
          <w:rFonts w:ascii="Times New Roman" w:hAnsi="Times New Roman" w:cs="Times New Roman" w:eastAsia="Times New Roman" w:hint="default"/>
        </w:rPr>
        <w:t>2019</w:t>
      </w:r>
      <w:r>
        <w:rPr/>
        <w:t>年末收到中国证监会对公司重大资产重组事项的核准批文，</w:t>
      </w:r>
      <w:r>
        <w:rPr>
          <w:rFonts w:ascii="Times New Roman" w:hAnsi="Times New Roman" w:cs="Times New Roman" w:eastAsia="Times New Roman" w:hint="default"/>
        </w:rPr>
        <w:t>2020</w:t>
      </w:r>
      <w:r>
        <w:rPr/>
        <w:t>年，公司将积极推进本次重组的各项工作。</w:t>
      </w:r>
    </w:p>
    <w:p>
      <w:pPr>
        <w:spacing w:after="0" w:line="3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9" w:lineRule="auto" w:before="44"/>
        <w:ind w:right="1130"/>
        <w:jc w:val="both"/>
      </w:pPr>
      <w:r>
        <w:rPr>
          <w:rFonts w:ascii="Times New Roman" w:hAnsi="Times New Roman" w:cs="Times New Roman" w:eastAsia="Times New Roman" w:hint="default"/>
          <w:spacing w:val="-2"/>
        </w:rPr>
        <w:t>2020</w:t>
      </w:r>
      <w:r>
        <w:rPr>
          <w:spacing w:val="-2"/>
        </w:rPr>
        <w:t>年尚需完成的工作包括：标的资产过户的相关工商登记变更手续；根据本次交易相关协议、方案，向交易对方支付现金</w:t>
      </w:r>
      <w:r>
        <w:rPr>
          <w:spacing w:val="-61"/>
        </w:rPr>
        <w:t> </w:t>
      </w:r>
      <w:r>
        <w:rPr>
          <w:spacing w:val="-61"/>
        </w:rPr>
      </w:r>
      <w:r>
        <w:rPr>
          <w:spacing w:val="-2"/>
        </w:rPr>
        <w:t>对价；就本次重组向交易对方发行股份并向中国证券登记结算有限公司深圳分公司申请办理相关登记手续，同时向深圳证券</w:t>
      </w:r>
      <w:r>
        <w:rPr>
          <w:spacing w:val="-64"/>
        </w:rPr>
        <w:t> </w:t>
      </w:r>
      <w:r>
        <w:rPr>
          <w:spacing w:val="-64"/>
        </w:rPr>
      </w:r>
      <w:r>
        <w:rPr>
          <w:spacing w:val="-2"/>
        </w:rPr>
        <w:t>交易所申请办理新增股份上市的手续；在中国证监会核准批复期限内完成非公开发行股份募集配套资金事宜；就本次交易涉</w:t>
      </w:r>
      <w:r>
        <w:rPr>
          <w:spacing w:val="-64"/>
        </w:rPr>
        <w:t> </w:t>
      </w:r>
      <w:r>
        <w:rPr>
          <w:spacing w:val="-64"/>
        </w:rPr>
      </w:r>
      <w:r>
        <w:rPr>
          <w:spacing w:val="-2"/>
        </w:rPr>
        <w:t>及的注册资本变更、公司章程修订等事宜办理工商变更登记或备案手续等。公司预计在</w:t>
      </w:r>
      <w:r>
        <w:rPr>
          <w:rFonts w:ascii="Times New Roman" w:hAnsi="Times New Roman" w:cs="Times New Roman" w:eastAsia="Times New Roman" w:hint="default"/>
          <w:spacing w:val="-2"/>
        </w:rPr>
        <w:t>2020</w:t>
      </w:r>
      <w:r>
        <w:rPr>
          <w:spacing w:val="-2"/>
        </w:rPr>
        <w:t>年内完成上述工作。同时，公司</w:t>
      </w:r>
      <w:r>
        <w:rPr>
          <w:spacing w:val="-62"/>
        </w:rPr>
        <w:t> </w:t>
      </w:r>
      <w:r>
        <w:rPr>
          <w:spacing w:val="-62"/>
        </w:rPr>
      </w:r>
      <w:r>
        <w:rPr/>
        <w:t>将根据本次交易的相关协议、方案，进行北京矽成董事会的调整和北京君正董事的增补等事项。</w:t>
      </w:r>
    </w:p>
    <w:p>
      <w:pPr>
        <w:pStyle w:val="BodyText"/>
        <w:spacing w:line="338" w:lineRule="auto" w:before="65"/>
        <w:ind w:left="513" w:right="1118"/>
        <w:jc w:val="left"/>
      </w:pPr>
      <w:r>
        <w:rPr/>
        <w:t>（</w:t>
      </w:r>
      <w:r>
        <w:rPr>
          <w:rFonts w:ascii="Times New Roman" w:hAnsi="Times New Roman" w:cs="Times New Roman" w:eastAsia="Times New Roman" w:hint="default"/>
        </w:rPr>
        <w:t>4</w:t>
      </w:r>
      <w:r>
        <w:rPr/>
        <w:t>）加强公司经营管理水平和人才队伍建设 </w:t>
      </w:r>
      <w:r>
        <w:rPr>
          <w:spacing w:val="-2"/>
        </w:rPr>
        <w:t>随着公司完成对北京矽成的并购重组，北京矽成亦将纳入公司全资子公司的管理范畴，北京矽成作为一家全球化的跨国</w:t>
      </w:r>
    </w:p>
    <w:p>
      <w:pPr>
        <w:pStyle w:val="BodyText"/>
        <w:spacing w:line="316" w:lineRule="auto" w:before="2"/>
        <w:ind w:right="986"/>
        <w:jc w:val="left"/>
      </w:pPr>
      <w:r>
        <w:rPr>
          <w:spacing w:val="-4"/>
        </w:rPr>
        <w:t>公司，其人员、规模均超过公司，需要公司不断提高经营管理水平。公司将不断加强管理人员的学习和培训，完善管理制度，</w:t>
      </w:r>
      <w:r>
        <w:rPr>
          <w:spacing w:val="-43"/>
        </w:rPr>
        <w:t> </w:t>
      </w:r>
      <w:r>
        <w:rPr>
          <w:spacing w:val="-43"/>
        </w:rPr>
      </w:r>
      <w:r>
        <w:rPr>
          <w:spacing w:val="-2"/>
        </w:rPr>
        <w:t>加强对参、控股公司的监督和管理，采用多种方式进行员工的激励，进一步加强公司的人才队伍建设，加强员工的积极主动</w:t>
      </w:r>
      <w:r>
        <w:rPr>
          <w:spacing w:val="-65"/>
        </w:rPr>
        <w:t> </w:t>
      </w:r>
      <w:r>
        <w:rPr>
          <w:spacing w:val="-65"/>
        </w:rPr>
      </w:r>
      <w:r>
        <w:rPr/>
        <w:t>性，以顺利展开各项业务的经营活动。</w:t>
      </w:r>
    </w:p>
    <w:p>
      <w:pPr>
        <w:pStyle w:val="BodyText"/>
        <w:spacing w:line="338" w:lineRule="auto" w:before="60"/>
        <w:ind w:left="513" w:right="1573"/>
        <w:jc w:val="left"/>
      </w:pPr>
      <w:r>
        <w:rPr/>
        <w:t>（</w:t>
      </w:r>
      <w:r>
        <w:rPr>
          <w:rFonts w:ascii="Times New Roman" w:hAnsi="Times New Roman" w:cs="Times New Roman" w:eastAsia="Times New Roman" w:hint="default"/>
        </w:rPr>
        <w:t>5</w:t>
      </w:r>
      <w:r>
        <w:rPr/>
        <w:t>）进行合肥君正二期研发楼的建设工作 公司将在</w:t>
      </w:r>
      <w:r>
        <w:rPr>
          <w:rFonts w:ascii="Times New Roman" w:hAnsi="Times New Roman" w:cs="Times New Roman" w:eastAsia="Times New Roman" w:hint="default"/>
        </w:rPr>
        <w:t>2020</w:t>
      </w:r>
      <w:r>
        <w:rPr/>
        <w:t>年开始展开合肥君正二期研发楼相关建设工作，并根据实际情况合理安排二期研发楼的建设进度。 </w:t>
      </w:r>
      <w:r>
        <w:rPr>
          <w:rFonts w:ascii="Times New Roman" w:hAnsi="Times New Roman" w:cs="Times New Roman" w:eastAsia="Times New Roman" w:hint="default"/>
        </w:rPr>
        <w:t>5</w:t>
      </w:r>
      <w:r>
        <w:rPr/>
        <w:t>、可能面对的风险因素</w:t>
      </w:r>
    </w:p>
    <w:p>
      <w:pPr>
        <w:pStyle w:val="BodyText"/>
        <w:spacing w:line="240" w:lineRule="auto" w:before="22"/>
        <w:ind w:left="513" w:right="1133"/>
        <w:jc w:val="left"/>
      </w:pPr>
      <w:r>
        <w:rPr/>
        <w:t>参见</w:t>
      </w:r>
      <w:r>
        <w:rPr>
          <w:rFonts w:ascii="Times New Roman" w:hAnsi="Times New Roman" w:cs="Times New Roman" w:eastAsia="Times New Roman" w:hint="default"/>
        </w:rPr>
        <w:t>“</w:t>
      </w:r>
      <w:r>
        <w:rPr/>
        <w:t>重要提示、目录和释义</w:t>
      </w:r>
      <w:r>
        <w:rPr>
          <w:rFonts w:ascii="Times New Roman" w:hAnsi="Times New Roman" w:cs="Times New Roman" w:eastAsia="Times New Roman" w:hint="default"/>
        </w:rPr>
        <w:t>”</w:t>
      </w:r>
      <w:r>
        <w:rPr/>
        <w:t>中风险因素的相关内容。</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815"/>
        <w:gridCol w:w="1815"/>
        <w:gridCol w:w="1815"/>
        <w:gridCol w:w="4193"/>
      </w:tblGrid>
      <w:tr>
        <w:trPr>
          <w:trHeight w:val="401" w:hRule="exact"/>
        </w:trPr>
        <w:tc>
          <w:tcPr>
            <w:tcW w:w="1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1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4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8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5"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4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47"/>
              <w:jc w:val="left"/>
              <w:rPr>
                <w:rFonts w:ascii="宋体" w:hAnsi="宋体" w:cs="宋体" w:eastAsia="宋体" w:hint="default"/>
                <w:sz w:val="18"/>
                <w:szCs w:val="18"/>
              </w:rPr>
            </w:pPr>
            <w:r>
              <w:rPr>
                <w:rFonts w:ascii="宋体" w:hAnsi="宋体" w:cs="宋体" w:eastAsia="宋体" w:hint="default"/>
                <w:spacing w:val="-4"/>
                <w:w w:val="99"/>
                <w:sz w:val="18"/>
                <w:szCs w:val="18"/>
              </w:rPr>
              <w:t>巨潮资讯网（</w:t>
            </w:r>
            <w:hyperlink r:id="rId9">
              <w:r>
                <w:rPr>
                  <w:rFonts w:ascii="Times New Roman" w:hAnsi="Times New Roman" w:cs="Times New Roman" w:eastAsia="Times New Roman" w:hint="default"/>
                  <w:spacing w:val="-4"/>
                  <w:w w:val="99"/>
                  <w:sz w:val="18"/>
                  <w:szCs w:val="18"/>
                </w:rPr>
                <w:t>www.cninfo.com.cn</w:t>
              </w:r>
            </w:hyperlink>
            <w:r>
              <w:rPr>
                <w:rFonts w:ascii="宋体" w:hAnsi="宋体" w:cs="宋体" w:eastAsia="宋体" w:hint="default"/>
                <w:spacing w:val="-4"/>
                <w:w w:val="99"/>
                <w:sz w:val="18"/>
                <w:szCs w:val="18"/>
              </w:rPr>
              <w:t>）《</w:t>
            </w:r>
            <w:r>
              <w:rPr>
                <w:rFonts w:ascii="Times New Roman" w:hAnsi="Times New Roman" w:cs="Times New Roman" w:eastAsia="Times New Roman" w:hint="default"/>
                <w:spacing w:val="-4"/>
                <w:w w:val="99"/>
                <w:sz w:val="18"/>
                <w:szCs w:val="18"/>
              </w:rPr>
              <w:t>300223</w:t>
            </w:r>
            <w:r>
              <w:rPr>
                <w:rFonts w:ascii="Times New Roman" w:hAnsi="Times New Roman" w:cs="Times New Roman" w:eastAsia="Times New Roman" w:hint="default"/>
                <w:spacing w:val="13"/>
                <w:w w:val="99"/>
                <w:sz w:val="18"/>
                <w:szCs w:val="18"/>
              </w:rPr>
              <w:t> </w:t>
            </w:r>
            <w:r>
              <w:rPr>
                <w:rFonts w:ascii="宋体" w:hAnsi="宋体" w:cs="宋体" w:eastAsia="宋体" w:hint="default"/>
                <w:sz w:val="18"/>
                <w:szCs w:val="18"/>
              </w:rPr>
              <w:t>北京君正</w:t>
            </w:r>
            <w:r>
              <w:rPr>
                <w:rFonts w:ascii="宋体" w:hAnsi="宋体" w:cs="宋体" w:eastAsia="宋体" w:hint="default"/>
                <w:spacing w:val="-86"/>
                <w:sz w:val="18"/>
                <w:szCs w:val="18"/>
              </w:rPr>
              <w:t> </w:t>
            </w:r>
            <w:r>
              <w:rPr>
                <w:rFonts w:ascii="宋体" w:hAnsi="宋体" w:cs="宋体" w:eastAsia="宋体" w:hint="default"/>
                <w:sz w:val="18"/>
                <w:szCs w:val="18"/>
              </w:rPr>
              <w:t>调研活动信息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20190613</w:t>
            </w:r>
            <w:r>
              <w:rPr>
                <w:rFonts w:ascii="宋体" w:hAnsi="宋体" w:cs="宋体" w:eastAsia="宋体" w:hint="default"/>
                <w:sz w:val="18"/>
                <w:szCs w:val="18"/>
              </w:rPr>
              <w:t>》</w:t>
            </w:r>
          </w:p>
        </w:tc>
      </w:tr>
      <w:tr>
        <w:trPr>
          <w:trHeight w:val="713"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4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4"/>
              <w:jc w:val="left"/>
              <w:rPr>
                <w:rFonts w:ascii="宋体" w:hAnsi="宋体" w:cs="宋体" w:eastAsia="宋体" w:hint="default"/>
                <w:sz w:val="18"/>
                <w:szCs w:val="18"/>
              </w:rPr>
            </w:pPr>
            <w:r>
              <w:rPr>
                <w:rFonts w:ascii="宋体" w:hAnsi="宋体" w:cs="宋体" w:eastAsia="宋体" w:hint="default"/>
                <w:spacing w:val="-6"/>
                <w:w w:val="99"/>
                <w:sz w:val="18"/>
                <w:szCs w:val="18"/>
              </w:rPr>
              <w:t>巨潮资讯网（</w:t>
            </w:r>
            <w:hyperlink r:id="rId9">
              <w:r>
                <w:rPr>
                  <w:rFonts w:ascii="Times New Roman" w:hAnsi="Times New Roman" w:cs="Times New Roman" w:eastAsia="Times New Roman" w:hint="default"/>
                  <w:spacing w:val="-6"/>
                  <w:w w:val="99"/>
                  <w:sz w:val="18"/>
                  <w:szCs w:val="18"/>
                </w:rPr>
                <w:t>www.cninfo.com.cn</w:t>
              </w:r>
            </w:hyperlink>
            <w:r>
              <w:rPr>
                <w:rFonts w:ascii="宋体" w:hAnsi="宋体" w:cs="宋体" w:eastAsia="宋体" w:hint="default"/>
                <w:spacing w:val="-6"/>
                <w:w w:val="99"/>
                <w:sz w:val="18"/>
                <w:szCs w:val="18"/>
              </w:rPr>
              <w:t>）《</w:t>
            </w:r>
            <w:r>
              <w:rPr>
                <w:rFonts w:ascii="Times New Roman" w:hAnsi="Times New Roman" w:cs="Times New Roman" w:eastAsia="Times New Roman" w:hint="default"/>
                <w:spacing w:val="-6"/>
                <w:w w:val="99"/>
                <w:sz w:val="18"/>
                <w:szCs w:val="18"/>
              </w:rPr>
              <w:t>2019</w:t>
            </w:r>
            <w:r>
              <w:rPr>
                <w:rFonts w:ascii="Times New Roman" w:hAnsi="Times New Roman" w:cs="Times New Roman" w:eastAsia="Times New Roman" w:hint="default"/>
                <w:spacing w:val="3"/>
                <w:w w:val="99"/>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 投资者关系活动记录表》</w:t>
            </w:r>
          </w:p>
        </w:tc>
      </w:tr>
      <w:tr>
        <w:trPr>
          <w:trHeight w:val="715"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4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4"/>
              <w:jc w:val="left"/>
              <w:rPr>
                <w:rFonts w:ascii="宋体" w:hAnsi="宋体" w:cs="宋体" w:eastAsia="宋体" w:hint="default"/>
                <w:sz w:val="18"/>
                <w:szCs w:val="18"/>
              </w:rPr>
            </w:pPr>
            <w:r>
              <w:rPr>
                <w:rFonts w:ascii="宋体" w:hAnsi="宋体" w:cs="宋体" w:eastAsia="宋体" w:hint="default"/>
                <w:spacing w:val="-6"/>
                <w:w w:val="99"/>
                <w:sz w:val="18"/>
                <w:szCs w:val="18"/>
              </w:rPr>
              <w:t>巨潮资讯网（</w:t>
            </w:r>
            <w:hyperlink r:id="rId9">
              <w:r>
                <w:rPr>
                  <w:rFonts w:ascii="Times New Roman" w:hAnsi="Times New Roman" w:cs="Times New Roman" w:eastAsia="Times New Roman" w:hint="default"/>
                  <w:spacing w:val="-6"/>
                  <w:w w:val="99"/>
                  <w:sz w:val="18"/>
                  <w:szCs w:val="18"/>
                </w:rPr>
                <w:t>www.cninfo.com.cn</w:t>
              </w:r>
            </w:hyperlink>
            <w:r>
              <w:rPr>
                <w:rFonts w:ascii="宋体" w:hAnsi="宋体" w:cs="宋体" w:eastAsia="宋体" w:hint="default"/>
                <w:spacing w:val="-6"/>
                <w:w w:val="99"/>
                <w:sz w:val="18"/>
                <w:szCs w:val="18"/>
              </w:rPr>
              <w:t>）《</w:t>
            </w:r>
            <w:r>
              <w:rPr>
                <w:rFonts w:ascii="Times New Roman" w:hAnsi="Times New Roman" w:cs="Times New Roman" w:eastAsia="Times New Roman" w:hint="default"/>
                <w:spacing w:val="-6"/>
                <w:w w:val="99"/>
                <w:sz w:val="18"/>
                <w:szCs w:val="18"/>
              </w:rPr>
              <w:t>2019</w:t>
            </w:r>
            <w:r>
              <w:rPr>
                <w:rFonts w:ascii="Times New Roman" w:hAnsi="Times New Roman" w:cs="Times New Roman" w:eastAsia="Times New Roman" w:hint="default"/>
                <w:spacing w:val="3"/>
                <w:w w:val="99"/>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 投资者关系活动记录表》</w:t>
            </w:r>
          </w:p>
        </w:tc>
      </w:tr>
    </w:tbl>
    <w:p>
      <w:pPr>
        <w:spacing w:after="0" w:line="30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384"/>
        <w:jc w:val="center"/>
        <w:rPr>
          <w:b w:val="0"/>
          <w:bCs w:val="0"/>
        </w:rPr>
      </w:pPr>
      <w:bookmarkStart w:name="_bookmark4" w:id="5"/>
      <w:bookmarkEnd w:id="5"/>
      <w:r>
        <w:rPr>
          <w:b w:val="0"/>
          <w:bCs w:val="0"/>
        </w:rPr>
      </w:r>
      <w:r>
        <w:rPr/>
        <w:t>第五节重要事项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报告期内普通股利润分配政策，特别是现金分红政策的制定、执行或调整情况</w:t>
      </w:r>
    </w:p>
    <w:p>
      <w:pPr>
        <w:pStyle w:val="BodyText"/>
        <w:spacing w:line="338" w:lineRule="auto" w:before="117"/>
        <w:ind w:left="513" w:right="112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报告期内，公司严格按照《公司法》、《证券法》、《上市公司监管指引第</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w:t>
      </w:r>
      <w:r>
        <w:rPr/>
        <w:t>上市公司现金分红》等相关法律法</w:t>
      </w:r>
    </w:p>
    <w:p>
      <w:pPr>
        <w:pStyle w:val="BodyText"/>
        <w:spacing w:line="217" w:lineRule="exact"/>
        <w:ind w:right="986"/>
        <w:jc w:val="left"/>
      </w:pPr>
      <w:r>
        <w:rPr/>
        <w:t>规和《公司章程》关于利润分配政策和审议程序的规定实施利润分配方案，分红标准和分红比例明确清晰，相关的决策程序</w:t>
      </w:r>
    </w:p>
    <w:p>
      <w:pPr>
        <w:pStyle w:val="BodyText"/>
        <w:spacing w:line="316" w:lineRule="auto" w:before="77"/>
        <w:ind w:right="1118"/>
        <w:jc w:val="left"/>
      </w:pPr>
      <w:r>
        <w:rPr>
          <w:spacing w:val="-2"/>
        </w:rPr>
        <w:t>和机制完备，相关议案经由董事会、监事会审议通过后提交股东大会审议，并由独立董事发表独立意见，审议通过后在规定</w:t>
      </w:r>
      <w:r>
        <w:rPr>
          <w:spacing w:val="-65"/>
        </w:rPr>
        <w:t> </w:t>
      </w:r>
      <w:r>
        <w:rPr>
          <w:spacing w:val="-65"/>
        </w:rPr>
      </w:r>
      <w:r>
        <w:rPr/>
        <w:t>时间内进行了实施，切实保证了全体股东的利益。</w:t>
      </w:r>
    </w:p>
    <w:p>
      <w:pPr>
        <w:pStyle w:val="BodyText"/>
        <w:spacing w:line="300" w:lineRule="auto" w:before="59"/>
        <w:ind w:right="1130" w:firstLine="360"/>
        <w:jc w:val="both"/>
      </w:pPr>
      <w:r>
        <w:rPr>
          <w:spacing w:val="-4"/>
        </w:rPr>
        <w:t>报告期内公司分红政策执行情况为：经</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18</w:t>
      </w:r>
      <w:r>
        <w:rPr>
          <w:spacing w:val="-4"/>
        </w:rPr>
        <w:t>日召开的第四届董事会第二次会议、第四届监事会第二次会议和</w:t>
      </w:r>
      <w:r>
        <w:rPr>
          <w:rFonts w:ascii="Times New Roman" w:hAnsi="Times New Roman" w:cs="Times New Roman" w:eastAsia="Times New Roman" w:hint="default"/>
          <w:spacing w:val="-4"/>
        </w:rPr>
        <w:t>2019</w:t>
      </w:r>
      <w:r>
        <w:rPr>
          <w:rFonts w:ascii="Times New Roman" w:hAnsi="Times New Roman" w:cs="Times New Roman" w:eastAsia="Times New Roman" w:hint="default"/>
        </w:rPr>
        <w:t> </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15</w:t>
      </w:r>
      <w:r>
        <w:rPr>
          <w:spacing w:val="-2"/>
        </w:rPr>
        <w:t>日召开的</w:t>
      </w:r>
      <w:r>
        <w:rPr>
          <w:rFonts w:ascii="Times New Roman" w:hAnsi="Times New Roman" w:cs="Times New Roman" w:eastAsia="Times New Roman" w:hint="default"/>
          <w:spacing w:val="-2"/>
        </w:rPr>
        <w:t>2018</w:t>
      </w:r>
      <w:r>
        <w:rPr>
          <w:spacing w:val="-2"/>
        </w:rPr>
        <w:t>年年度股东大会审议通过，公司</w:t>
      </w:r>
      <w:r>
        <w:rPr>
          <w:rFonts w:ascii="Times New Roman" w:hAnsi="Times New Roman" w:cs="Times New Roman" w:eastAsia="Times New Roman" w:hint="default"/>
          <w:spacing w:val="-2"/>
        </w:rPr>
        <w:t>2018</w:t>
      </w:r>
      <w:r>
        <w:rPr>
          <w:spacing w:val="-2"/>
        </w:rPr>
        <w:t>年度利润分配方案为：以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10</w:t>
      </w:r>
      <w:r>
        <w:rPr>
          <w:spacing w:val="-2"/>
        </w:rPr>
        <w:t>日总股本</w:t>
      </w:r>
      <w:r>
        <w:rPr>
          <w:rFonts w:ascii="Times New Roman" w:hAnsi="Times New Roman" w:cs="Times New Roman" w:eastAsia="Times New Roman" w:hint="default"/>
          <w:spacing w:val="-2"/>
        </w:rPr>
        <w:t>201,209,956</w:t>
      </w:r>
      <w:r>
        <w:rPr>
          <w:spacing w:val="-2"/>
        </w:rPr>
        <w:t>股为基</w:t>
      </w:r>
      <w:r>
        <w:rPr>
          <w:spacing w:val="-47"/>
        </w:rPr>
        <w:t> </w:t>
      </w:r>
      <w:r>
        <w:rPr>
          <w:spacing w:val="-47"/>
        </w:rPr>
      </w:r>
      <w:r>
        <w:rPr>
          <w:spacing w:val="-2"/>
        </w:rPr>
        <w:t>数，向全体股东每</w:t>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0.30</w:t>
      </w:r>
      <w:r>
        <w:rPr>
          <w:spacing w:val="-2"/>
        </w:rPr>
        <w:t>元（含税），共分派现金股利</w:t>
      </w:r>
      <w:r>
        <w:rPr>
          <w:rFonts w:ascii="Times New Roman" w:hAnsi="Times New Roman" w:cs="Times New Roman" w:eastAsia="Times New Roman" w:hint="default"/>
          <w:spacing w:val="-2"/>
        </w:rPr>
        <w:t>6,036,298.68</w:t>
      </w:r>
      <w:r>
        <w:rPr>
          <w:spacing w:val="-2"/>
        </w:rPr>
        <w:t>元（含税），剩余未分配利润结转以后年</w:t>
      </w:r>
      <w:r>
        <w:rPr>
          <w:spacing w:val="-57"/>
        </w:rPr>
        <w:t> </w:t>
      </w:r>
      <w:r>
        <w:rPr>
          <w:spacing w:val="-57"/>
        </w:rPr>
      </w:r>
      <w:r>
        <w:rPr/>
        <w:t>度。</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27</w:t>
      </w:r>
      <w:r>
        <w:rPr/>
        <w:t>日，公司</w:t>
      </w:r>
      <w:r>
        <w:rPr>
          <w:rFonts w:ascii="Times New Roman" w:hAnsi="Times New Roman" w:cs="Times New Roman" w:eastAsia="Times New Roman" w:hint="default"/>
        </w:rPr>
        <w:t>2018</w:t>
      </w:r>
      <w:r>
        <w:rPr/>
        <w:t>年度利润分配方案实施完毕。</w:t>
      </w:r>
    </w:p>
    <w:p>
      <w:pPr>
        <w:spacing w:line="240" w:lineRule="auto" w:before="6"/>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8"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1133"/>
        <w:jc w:val="left"/>
      </w:pPr>
      <w:r>
        <w:rPr/>
        <w:t>公司报告期利润分配预案及资本公积金转增股本预案与公司章程和分红管理办法等的相关规定一致</w:t>
      </w:r>
    </w:p>
    <w:p>
      <w:pPr>
        <w:pStyle w:val="BodyText"/>
        <w:spacing w:line="348" w:lineRule="auto" w:before="117"/>
        <w:ind w:right="4274"/>
        <w:jc w:val="left"/>
      </w:pPr>
      <w:r>
        <w:rPr/>
        <w:pict>
          <v:group style="position:absolute;margin-left:242.809998pt;margin-top:98.35173pt;width:290.95pt;height:20.8pt;mso-position-horizontal-relative:page;mso-position-vertical-relative:paragraph;z-index:-1613248" coordorigin="4856,1967" coordsize="5819,416">
            <v:group style="position:absolute;left:4868;top:1979;width:2;height:392" coordorigin="4868,1979" coordsize="2,392">
              <v:shape style="position:absolute;left:4868;top:1979;width:2;height:392" coordorigin="4868,1979" coordsize="0,392" path="m4868,1979l4868,2370e" filled="false" stroked="true" strokeweight="1.2pt" strokecolor="#ffffff">
                <v:path arrowok="t"/>
              </v:shape>
            </v:group>
            <v:group style="position:absolute;left:4880;top:1979;width:5795;height:392" coordorigin="4880,1979" coordsize="5795,392">
              <v:shape style="position:absolute;left:4880;top:1979;width:5795;height:392" coordorigin="4880,1979" coordsize="5795,392" path="m4880,2370l10675,2370,10675,1979,4880,1979,4880,2370xe" filled="true" fillcolor="#ffffff" stroked="false">
                <v:path arrowok="t"/>
                <v:fill type="solid"/>
              </v:shape>
            </v:group>
            <w10:wrap type="none"/>
          </v:group>
        </w:pict>
      </w: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本年度利润分配及资本公积金转增股本情况</w:t>
      </w:r>
    </w:p>
    <w:p>
      <w:pPr>
        <w:spacing w:line="240" w:lineRule="auto" w:before="2"/>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3696"/>
        <w:gridCol w:w="5863"/>
      </w:tblGrid>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202,144,845</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tabs>
                <w:tab w:pos="5511" w:val="left" w:leader="none"/>
              </w:tabs>
              <w:spacing w:line="240" w:lineRule="auto" w:before="49"/>
              <w:ind w:left="-119" w:right="18"/>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0.00</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238,424,470.17</w:t>
            </w:r>
          </w:p>
        </w:tc>
      </w:tr>
      <w:tr>
        <w:trPr>
          <w:trHeight w:val="715"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1"/>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2"/>
        <w:rPr>
          <w:rFonts w:ascii="宋体" w:hAnsi="宋体" w:cs="宋体" w:eastAsia="宋体" w:hint="default"/>
          <w:sz w:val="28"/>
          <w:szCs w:val="28"/>
        </w:rPr>
      </w:pPr>
    </w:p>
    <w:p>
      <w:pPr>
        <w:spacing w:line="2383" w:lineRule="exact"/>
        <w:ind w:left="148" w:right="0" w:firstLine="0"/>
        <w:rPr>
          <w:rFonts w:ascii="宋体" w:hAnsi="宋体" w:cs="宋体" w:eastAsia="宋体" w:hint="default"/>
          <w:sz w:val="20"/>
          <w:szCs w:val="20"/>
        </w:rPr>
      </w:pPr>
      <w:r>
        <w:rPr>
          <w:rFonts w:ascii="宋体" w:hAnsi="宋体" w:cs="宋体" w:eastAsia="宋体" w:hint="default"/>
          <w:position w:val="-47"/>
          <w:sz w:val="20"/>
          <w:szCs w:val="20"/>
        </w:rPr>
        <w:pict>
          <v:group style="width:479.05pt;height:119.2pt;mso-position-horizontal-relative:char;mso-position-vertical-relative:line" coordorigin="0,0" coordsize="9581,2384">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d2d2d2">
                <v:path arrowok="t"/>
              </v:shape>
            </v:group>
            <v:group style="position:absolute;left:34;top:14;width:9514;height:392" coordorigin="34,14" coordsize="9514,392">
              <v:shape style="position:absolute;left:34;top:14;width:9514;height:392" coordorigin="34,14" coordsize="9514,392" path="m34,406l9547,406,9547,14,34,14,34,406xe" filled="true" fillcolor="#d2d2d2" stroked="false">
                <v:path arrowok="t"/>
                <v:fill type="solid"/>
              </v:shape>
            </v:group>
            <v:group style="position:absolute;left:10;top:10;width:9562;height:2" coordorigin="10,10" coordsize="9562,2">
              <v:shape style="position:absolute;left:10;top:10;width:9562;height:2" coordorigin="10,10" coordsize="9562,0" path="m10,10l9571,10e" filled="false" stroked="true" strokeweight=".48pt" strokecolor="#000000">
                <v:path arrowok="t"/>
              </v:shape>
            </v:group>
            <v:group style="position:absolute;left:10;top:411;width:9562;height:2" coordorigin="10,411" coordsize="9562,2">
              <v:shape style="position:absolute;left:10;top:411;width:9562;height:2" coordorigin="10,411" coordsize="9562,0" path="m10,411l9571,411e" filled="false" stroked="true" strokeweight=".48pt" strokecolor="#000000">
                <v:path arrowok="t"/>
              </v:shape>
            </v:group>
            <v:group style="position:absolute;left:5;top:5;width:2;height:2374" coordorigin="5,5" coordsize="2,2374">
              <v:shape style="position:absolute;left:5;top:5;width:2;height:2374" coordorigin="5,5" coordsize="0,2374" path="m5,5l5,2379e" filled="false" stroked="true" strokeweight=".48pt" strokecolor="#000000">
                <v:path arrowok="t"/>
              </v:shape>
            </v:group>
            <v:group style="position:absolute;left:10;top:2374;width:9562;height:2" coordorigin="10,2374" coordsize="9562,2">
              <v:shape style="position:absolute;left:10;top:2374;width:9562;height:2" coordorigin="10,2374" coordsize="9562,0" path="m10,2374l9571,2374e" filled="false" stroked="true" strokeweight=".48pt" strokecolor="#000000">
                <v:path arrowok="t"/>
              </v:shape>
            </v:group>
            <v:group style="position:absolute;left:9576;top:5;width:2;height:2374" coordorigin="9576,5" coordsize="2,2374">
              <v:shape style="position:absolute;left:9576;top:5;width:2;height:2374" coordorigin="9576,5" coordsize="0,2374" path="m9576,5l9576,2379e" filled="false" stroked="true" strokeweight=".47998pt" strokecolor="#000000">
                <v:path arrowok="t"/>
              </v:shape>
              <v:shape style="position:absolute;left:5;top:10;width:9571;height:402" type="#_x0000_t202" filled="false" stroked="false">
                <v:textbox inset="0,0,0,0">
                  <w:txbxContent>
                    <w:p>
                      <w:pPr>
                        <w:spacing w:before="54"/>
                        <w:ind w:left="2895" w:right="0" w:firstLine="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xbxContent>
                </v:textbox>
                <w10:wrap type="none"/>
              </v:shape>
              <v:shape style="position:absolute;left:5;top:411;width:9571;height:1964" type="#_x0000_t202" filled="false" stroked="false">
                <v:textbox inset="0,0,0,0">
                  <w:txbxContent>
                    <w:p>
                      <w:pPr>
                        <w:spacing w:line="309" w:lineRule="auto" w:before="56"/>
                        <w:ind w:left="28" w:right="23" w:firstLine="0"/>
                        <w:jc w:val="left"/>
                        <w:rPr>
                          <w:rFonts w:ascii="宋体" w:hAnsi="宋体" w:cs="宋体" w:eastAsia="宋体" w:hint="default"/>
                          <w:sz w:val="18"/>
                          <w:szCs w:val="18"/>
                        </w:rPr>
                      </w:pPr>
                      <w:r>
                        <w:rPr>
                          <w:rFonts w:ascii="宋体" w:hAnsi="宋体" w:cs="宋体" w:eastAsia="宋体" w:hint="default"/>
                          <w:sz w:val="18"/>
                          <w:szCs w:val="18"/>
                        </w:rPr>
                        <w:t>公司正在实施的重大资产重组事项中，交易的现金对价为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16.16</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亿元，公司拟募集配套资金不超过</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亿元用于支付本次交 </w:t>
                      </w:r>
                      <w:r>
                        <w:rPr>
                          <w:rFonts w:ascii="宋体" w:hAnsi="宋体" w:cs="宋体" w:eastAsia="宋体" w:hint="default"/>
                          <w:spacing w:val="-1"/>
                          <w:sz w:val="18"/>
                          <w:szCs w:val="18"/>
                        </w:rPr>
                        <w:t>易的部分现金对价、投入标的资产的项目建设。受各种因素影响，本次募集配套资金存在募集金额不足乃至募集失败的可</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能。若募集配套资金不足或失败，公司将需要以更多自有资金或自筹资金支付本次交易的现金对价及项目建设，从而给公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司带来较大的现金压力。鉴于公司未来有重大现金支出事项发生，为充分保障公司的经营安全性，缓解公司未来可能出现</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的现金压力，根据相关法律法规及《公司章程》中关于现金分红的规定，经公司董事会审议通过，公司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年度利润分 配预案为：</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年度拟不派发现金红利，不送红股，不以公积金转增股本，剩余未分配利润结转以后年度。</w:t>
                      </w:r>
                    </w:p>
                  </w:txbxContent>
                </v:textbox>
                <w10:wrap type="none"/>
              </v:shape>
            </v:group>
          </v:group>
        </w:pict>
      </w:r>
      <w:r>
        <w:rPr>
          <w:rFonts w:ascii="宋体" w:hAnsi="宋体" w:cs="宋体" w:eastAsia="宋体" w:hint="default"/>
          <w:position w:val="-47"/>
          <w:sz w:val="20"/>
          <w:szCs w:val="20"/>
        </w:rPr>
      </w:r>
    </w:p>
    <w:p>
      <w:pPr>
        <w:pStyle w:val="BodyText"/>
        <w:spacing w:line="240" w:lineRule="auto" w:before="44"/>
        <w:ind w:right="1133"/>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240" w:lineRule="auto" w:before="101"/>
        <w:ind w:left="513" w:right="986"/>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年利润分配方案：</w:t>
      </w:r>
      <w:r>
        <w:rPr>
          <w:rFonts w:ascii="Times New Roman" w:hAnsi="Times New Roman" w:cs="Times New Roman" w:eastAsia="Times New Roman" w:hint="default"/>
        </w:rPr>
        <w:t>2019</w:t>
      </w:r>
      <w:r>
        <w:rPr/>
        <w:t>年度拟不派发现金红利，不送红股，不以公积金转增股本，剩余未分配利润结转以后年</w:t>
      </w:r>
    </w:p>
    <w:p>
      <w:pPr>
        <w:pStyle w:val="BodyText"/>
        <w:spacing w:line="240" w:lineRule="auto" w:before="63"/>
        <w:ind w:right="1133"/>
        <w:jc w:val="left"/>
      </w:pPr>
      <w:r>
        <w:rPr/>
        <w:t>度。</w:t>
      </w:r>
    </w:p>
    <w:p>
      <w:pPr>
        <w:pStyle w:val="BodyText"/>
        <w:spacing w:line="240" w:lineRule="auto" w:before="118"/>
        <w:ind w:left="513" w:right="986"/>
        <w:jc w:val="left"/>
      </w:pP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2018</w:t>
      </w:r>
      <w:r>
        <w:rPr>
          <w:spacing w:val="-4"/>
        </w:rPr>
        <w:t>年利润分配方案：以</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10</w:t>
      </w:r>
      <w:r>
        <w:rPr>
          <w:spacing w:val="-4"/>
        </w:rPr>
        <w:t>日总股本</w:t>
      </w:r>
      <w:r>
        <w:rPr>
          <w:rFonts w:ascii="Times New Roman" w:hAnsi="Times New Roman" w:cs="Times New Roman" w:eastAsia="Times New Roman" w:hint="default"/>
          <w:spacing w:val="-4"/>
        </w:rPr>
        <w:t>201,209,956</w:t>
      </w:r>
      <w:r>
        <w:rPr>
          <w:spacing w:val="-4"/>
        </w:rPr>
        <w:t>股为基数，向全体股东每</w:t>
      </w:r>
      <w:r>
        <w:rPr>
          <w:rFonts w:ascii="Times New Roman" w:hAnsi="Times New Roman" w:cs="Times New Roman" w:eastAsia="Times New Roman" w:hint="default"/>
          <w:spacing w:val="-4"/>
        </w:rPr>
        <w:t>10</w:t>
      </w:r>
      <w:r>
        <w:rPr>
          <w:spacing w:val="-4"/>
        </w:rPr>
        <w:t>股派发现金红利</w:t>
      </w:r>
      <w:r>
        <w:rPr>
          <w:rFonts w:ascii="Times New Roman" w:hAnsi="Times New Roman" w:cs="Times New Roman" w:eastAsia="Times New Roman" w:hint="default"/>
          <w:spacing w:val="-4"/>
        </w:rPr>
        <w:t>0.3</w:t>
      </w:r>
      <w:r>
        <w:rPr>
          <w:spacing w:val="-4"/>
        </w:rPr>
        <w:t>元（含税），</w:t>
      </w:r>
    </w:p>
    <w:p>
      <w:pPr>
        <w:pStyle w:val="BodyText"/>
        <w:spacing w:line="240" w:lineRule="auto" w:before="63"/>
        <w:ind w:right="1133"/>
        <w:jc w:val="left"/>
      </w:pPr>
      <w:r>
        <w:rPr/>
        <w:t>共分配现金股利</w:t>
      </w:r>
      <w:r>
        <w:rPr>
          <w:rFonts w:ascii="Times New Roman" w:hAnsi="Times New Roman" w:cs="Times New Roman" w:eastAsia="Times New Roman" w:hint="default"/>
        </w:rPr>
        <w:t>6,036,298.68</w:t>
      </w:r>
      <w:r>
        <w:rPr/>
        <w:t>元（含税），剩余未分配利润结转以后年度。</w:t>
      </w:r>
    </w:p>
    <w:p>
      <w:pPr>
        <w:pStyle w:val="BodyText"/>
        <w:spacing w:line="300" w:lineRule="auto" w:before="103"/>
        <w:ind w:right="986" w:firstLine="360"/>
        <w:jc w:val="left"/>
      </w:pPr>
      <w:r>
        <w:rPr>
          <w:rFonts w:ascii="Times New Roman" w:hAnsi="Times New Roman" w:cs="Times New Roman" w:eastAsia="Times New Roman" w:hint="default"/>
          <w:spacing w:val="-4"/>
        </w:rPr>
        <w:t>3</w:t>
      </w:r>
      <w:r>
        <w:rPr>
          <w:spacing w:val="-4"/>
        </w:rPr>
        <w:t>、</w:t>
      </w:r>
      <w:r>
        <w:rPr>
          <w:rFonts w:ascii="Times New Roman" w:hAnsi="Times New Roman" w:cs="Times New Roman" w:eastAsia="Times New Roman" w:hint="default"/>
          <w:spacing w:val="-4"/>
        </w:rPr>
        <w:t>2017</w:t>
      </w:r>
      <w:r>
        <w:rPr>
          <w:spacing w:val="-4"/>
        </w:rPr>
        <w:t>年利润分配方案：以</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28</w:t>
      </w:r>
      <w:r>
        <w:rPr>
          <w:spacing w:val="-4"/>
        </w:rPr>
        <w:t>日总股本</w:t>
      </w:r>
      <w:r>
        <w:rPr>
          <w:rFonts w:ascii="Times New Roman" w:hAnsi="Times New Roman" w:cs="Times New Roman" w:eastAsia="Times New Roman" w:hint="default"/>
          <w:spacing w:val="-4"/>
        </w:rPr>
        <w:t>167,067,073</w:t>
      </w:r>
      <w:r>
        <w:rPr>
          <w:spacing w:val="-4"/>
        </w:rPr>
        <w:t>股为基数，向全体股东每</w:t>
      </w:r>
      <w:r>
        <w:rPr>
          <w:rFonts w:ascii="Times New Roman" w:hAnsi="Times New Roman" w:cs="Times New Roman" w:eastAsia="Times New Roman" w:hint="default"/>
          <w:spacing w:val="-4"/>
        </w:rPr>
        <w:t>10</w:t>
      </w:r>
      <w:r>
        <w:rPr>
          <w:spacing w:val="-4"/>
        </w:rPr>
        <w:t>股派发现金红利</w:t>
      </w:r>
      <w:r>
        <w:rPr>
          <w:rFonts w:ascii="Times New Roman" w:hAnsi="Times New Roman" w:cs="Times New Roman" w:eastAsia="Times New Roman" w:hint="default"/>
          <w:spacing w:val="-4"/>
        </w:rPr>
        <w:t>0.2</w:t>
      </w:r>
      <w:r>
        <w:rPr>
          <w:spacing w:val="-4"/>
        </w:rPr>
        <w:t>元（含税），</w:t>
      </w:r>
      <w:r>
        <w:rPr/>
        <w:t> 共分配现金股利</w:t>
      </w:r>
      <w:r>
        <w:rPr>
          <w:rFonts w:ascii="Times New Roman" w:hAnsi="Times New Roman" w:cs="Times New Roman" w:eastAsia="Times New Roman" w:hint="default"/>
        </w:rPr>
        <w:t>3,341,341.46</w:t>
      </w:r>
      <w:r>
        <w:rPr/>
        <w:t>元（含税）；以资本公积金向全体股东每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股，合计转增股本</w:t>
      </w:r>
      <w:r>
        <w:rPr>
          <w:rFonts w:ascii="Times New Roman" w:hAnsi="Times New Roman" w:cs="Times New Roman" w:eastAsia="Times New Roman" w:hint="default"/>
        </w:rPr>
        <w:t>33,413,415</w:t>
      </w:r>
      <w:r>
        <w:rPr/>
        <w:t>股，剩余未分 配利润结转以后年度。</w:t>
      </w:r>
    </w:p>
    <w:p>
      <w:pPr>
        <w:pStyle w:val="BodyText"/>
        <w:spacing w:line="240" w:lineRule="auto" w:before="70"/>
        <w:ind w:right="1133"/>
        <w:jc w:val="left"/>
      </w:pPr>
      <w:r>
        <w:rPr/>
        <w:t>公司近三年（包括本报告期）普通股现金分红情况表</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6"/>
        <w:gridCol w:w="1197"/>
        <w:gridCol w:w="1184"/>
        <w:gridCol w:w="1208"/>
        <w:gridCol w:w="1184"/>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1"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3"/>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7" w:type="dxa"/>
            <w:vMerge/>
            <w:tcBorders>
              <w:left w:val="single" w:sz="4" w:space="0" w:color="000000"/>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7"/>
              <w:ind w:left="51"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23" w:right="141"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1"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58,659,727.20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6,036,298.68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13,515,446.01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44.66%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6,036,298.68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44.66%</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3,341,341.46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6,501,097.82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51.40%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3,341,341.46</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51.40%</w:t>
            </w:r>
          </w:p>
        </w:tc>
      </w:tr>
    </w:tbl>
    <w:p>
      <w:pPr>
        <w:pStyle w:val="BodyText"/>
        <w:spacing w:line="240" w:lineRule="auto" w:before="49"/>
        <w:ind w:right="1133"/>
        <w:jc w:val="left"/>
      </w:pPr>
      <w:r>
        <w:rPr/>
        <w:t>公司报告期内盈利且母公司可供普通股股东分配利润为正但未提出普通股现金红利分配预案</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6381"/>
        <w:gridCol w:w="3190"/>
      </w:tblGrid>
      <w:tr>
        <w:trPr>
          <w:trHeight w:val="713" w:hRule="exact"/>
        </w:trPr>
        <w:tc>
          <w:tcPr>
            <w:tcW w:w="6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45" w:right="34" w:hanging="2610"/>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报告期内盈利且母公司可供普通股股东分配利润为正但未提出普通股现金红利分 配预案的原因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361" w:hRule="exact"/>
        </w:trPr>
        <w:tc>
          <w:tcPr>
            <w:tcW w:w="63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公司正在实施的重大资产重组事项中，交易的现金对价为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亿元，公司拟募</w:t>
            </w:r>
          </w:p>
        </w:tc>
        <w:tc>
          <w:tcPr>
            <w:tcW w:w="319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638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集配套资金不超过</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亿元用于支付本次交易的部分现金对价、投入标的资产的项</w:t>
            </w:r>
          </w:p>
        </w:tc>
        <w:tc>
          <w:tcPr>
            <w:tcW w:w="3190"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63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目建设。受各种因素影响，本次募集配套资金存在募集金额不足乃至募集失败的</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若募集配套资金不足或失败，公司将用</w:t>
            </w:r>
          </w:p>
        </w:tc>
      </w:tr>
      <w:tr>
        <w:trPr>
          <w:trHeight w:val="311" w:hRule="exact"/>
        </w:trPr>
        <w:tc>
          <w:tcPr>
            <w:tcW w:w="638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可能。若募集配套资金不足或失败，公司将需要以更多自有资金或自筹资金支付</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以支付本次交易的部分现金对价。如募</w:t>
            </w:r>
          </w:p>
        </w:tc>
      </w:tr>
      <w:tr>
        <w:trPr>
          <w:trHeight w:val="312" w:hRule="exact"/>
        </w:trPr>
        <w:tc>
          <w:tcPr>
            <w:tcW w:w="63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本次交易的现金对价及项目建设，从而给公司带来较大的现金压力。鉴于公司未</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集配套资金顺利完成，将用于公司日常</w:t>
            </w:r>
          </w:p>
        </w:tc>
      </w:tr>
      <w:tr>
        <w:trPr>
          <w:trHeight w:val="312" w:hRule="exact"/>
        </w:trPr>
        <w:tc>
          <w:tcPr>
            <w:tcW w:w="63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来有重大现金支出事项发生，为充分保障公司的经营安全性，缓解公司未来可能</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经营与发展。</w:t>
            </w:r>
          </w:p>
        </w:tc>
      </w:tr>
      <w:tr>
        <w:trPr>
          <w:trHeight w:val="312" w:hRule="exact"/>
        </w:trPr>
        <w:tc>
          <w:tcPr>
            <w:tcW w:w="63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出现的现金压力，根据相关法律法规及《公司章程》中关于现金分红的规定，公</w:t>
            </w:r>
          </w:p>
        </w:tc>
        <w:tc>
          <w:tcPr>
            <w:tcW w:w="3190"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63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年度拟不进行现金分红。</w:t>
            </w:r>
          </w:p>
        </w:tc>
        <w:tc>
          <w:tcPr>
            <w:tcW w:w="319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pStyle w:val="Heading2"/>
        <w:spacing w:line="240" w:lineRule="auto" w:before="28"/>
        <w:ind w:left="780" w:right="0"/>
        <w:jc w:val="left"/>
        <w:rPr>
          <w:b w:val="0"/>
          <w:bCs w:val="0"/>
        </w:rPr>
      </w:pPr>
      <w:r>
        <w:rPr/>
        <w:pict>
          <v:shape style="position:absolute;margin-left:552.488037pt;margin-top:289.606018pt;width:171.5pt;height:46.85pt;mso-position-horizontal-relative:page;mso-position-vertical-relative:page;z-index:-1613152" type="#_x0000_t202" filled="false" stroked="false">
            <v:textbox inset="0,0,0,0">
              <w:txbxContent>
                <w:p>
                  <w:pPr>
                    <w:spacing w:line="240" w:lineRule="auto" w:before="5"/>
                    <w:rPr>
                      <w:rFonts w:ascii="宋体" w:hAnsi="宋体" w:cs="宋体" w:eastAsia="宋体" w:hint="default"/>
                      <w:sz w:val="21"/>
                      <w:szCs w:val="21"/>
                    </w:rPr>
                  </w:pPr>
                </w:p>
                <w:p>
                  <w:pPr>
                    <w:pStyle w:val="BodyText"/>
                    <w:spacing w:line="240" w:lineRule="auto"/>
                    <w:ind w:left="0" w:right="0"/>
                    <w:jc w:val="left"/>
                  </w:pPr>
                  <w:r>
                    <w:rPr/>
                    <w:t>给上市公司或投资者造成损失的，</w:t>
                  </w:r>
                </w:p>
              </w:txbxContent>
            </v:textbox>
            <w10:wrap type="none"/>
          </v:shape>
        </w:pict>
      </w:r>
      <w:r>
        <w:rPr/>
        <w:pict>
          <v:group style="position:absolute;margin-left:70.559998pt;margin-top:2.195603pt;width:700.95pt;height:.1pt;mso-position-horizontal-relative:page;mso-position-vertical-relative:paragraph;z-index:-1613128" coordorigin="1411,44" coordsize="14019,2">
            <v:shape style="position:absolute;left:1411;top:44;width:14019;height:2" coordorigin="1411,44" coordsize="14019,0" path="m1411,44l15430,44e" filled="false" stroked="true" strokeweight=".72pt" strokecolor="#000000">
              <v:path arrowok="t"/>
            </v:shape>
            <w10:wrap type="none"/>
          </v:group>
        </w:pict>
      </w:r>
      <w:r>
        <w:rPr/>
        <w:pict>
          <v:group style="position:absolute;margin-left:684.700012pt;margin-top:289.606018pt;width:39.25pt;height:46.85pt;mso-position-horizontal-relative:page;mso-position-vertical-relative:page;z-index:-1613104" coordorigin="13694,5792" coordsize="785,937">
            <v:shape style="position:absolute;left:13694;top:5792;width:785;height:937" coordorigin="13694,5792" coordsize="785,937" path="m13694,6729l14479,6729,14479,5792,13694,5792,13694,6729xe" filled="true" fillcolor="#ffffff" stroked="false">
              <v:path arrowok="t"/>
              <v:fill type="solid"/>
            </v:shape>
            <w10:wrap type="none"/>
          </v:group>
        </w:pict>
      </w: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780"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78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03" w:type="dxa"/>
        <w:tblLayout w:type="fixed"/>
        <w:tblCellMar>
          <w:top w:w="0" w:type="dxa"/>
          <w:left w:w="0" w:type="dxa"/>
          <w:bottom w:w="0" w:type="dxa"/>
          <w:right w:w="0" w:type="dxa"/>
        </w:tblCellMar>
        <w:tblLook w:val="01E0"/>
      </w:tblPr>
      <w:tblGrid>
        <w:gridCol w:w="1700"/>
        <w:gridCol w:w="998"/>
        <w:gridCol w:w="794"/>
        <w:gridCol w:w="9429"/>
        <w:gridCol w:w="794"/>
        <w:gridCol w:w="795"/>
        <w:gridCol w:w="794"/>
      </w:tblGrid>
      <w:tr>
        <w:trPr>
          <w:trHeight w:val="403"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9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3"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 w:right="46"/>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998" w:type="dxa"/>
            <w:tcBorders>
              <w:top w:val="single" w:sz="4" w:space="0" w:color="000000"/>
              <w:left w:val="single" w:sz="13" w:space="0" w:color="D2D2D2"/>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942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253" w:hRule="exact"/>
        </w:trPr>
        <w:tc>
          <w:tcPr>
            <w:tcW w:w="1700" w:type="dxa"/>
            <w:tcBorders>
              <w:top w:val="single" w:sz="4" w:space="0" w:color="000000"/>
              <w:left w:val="single" w:sz="4" w:space="0" w:color="000000"/>
              <w:bottom w:val="nil" w:sz="6" w:space="0" w:color="auto"/>
              <w:right w:val="single" w:sz="4" w:space="0" w:color="000000"/>
            </w:tcBorders>
            <w:shd w:val="clear" w:color="auto" w:fill="D2D2D2"/>
          </w:tcPr>
          <w:p>
            <w:pPr/>
          </w:p>
        </w:tc>
        <w:tc>
          <w:tcPr>
            <w:tcW w:w="99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6" w:right="62"/>
              <w:jc w:val="left"/>
              <w:rPr>
                <w:rFonts w:ascii="宋体" w:hAnsi="宋体" w:cs="宋体" w:eastAsia="宋体" w:hint="default"/>
                <w:sz w:val="18"/>
                <w:szCs w:val="18"/>
              </w:rPr>
            </w:pPr>
            <w:r>
              <w:rPr>
                <w:rFonts w:ascii="宋体" w:hAnsi="宋体" w:cs="宋体" w:eastAsia="宋体" w:hint="default"/>
                <w:sz w:val="18"/>
                <w:szCs w:val="18"/>
              </w:rPr>
              <w:t>北京矽成、 上海承裕</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 w:right="41"/>
              <w:jc w:val="both"/>
              <w:rPr>
                <w:rFonts w:ascii="宋体" w:hAnsi="宋体" w:cs="宋体" w:eastAsia="宋体" w:hint="default"/>
                <w:sz w:val="18"/>
                <w:szCs w:val="18"/>
              </w:rPr>
            </w:pPr>
            <w:r>
              <w:rPr>
                <w:rFonts w:ascii="宋体" w:hAnsi="宋体" w:cs="宋体" w:eastAsia="宋体" w:hint="default"/>
                <w:sz w:val="18"/>
                <w:szCs w:val="18"/>
              </w:rPr>
              <w:t>关于信息 真实、准 确和完整 的承诺</w:t>
            </w:r>
          </w:p>
        </w:tc>
        <w:tc>
          <w:tcPr>
            <w:tcW w:w="9429" w:type="dxa"/>
            <w:vMerge w:val="restart"/>
            <w:tcBorders>
              <w:top w:val="single" w:sz="4" w:space="0" w:color="000000"/>
              <w:left w:val="single" w:sz="4" w:space="0" w:color="000000"/>
              <w:right w:val="single" w:sz="4" w:space="0" w:color="000000"/>
            </w:tcBorders>
          </w:tcPr>
          <w:p>
            <w:pPr>
              <w:pStyle w:val="TableParagraph"/>
              <w:spacing w:line="309" w:lineRule="auto" w:before="49"/>
              <w:ind w:left="21" w:right="2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、本承诺人已向上市公司及为本次重组提供审计、评估、法律及财务顾问专业服务的中介机构提供了与本次重组相关的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4"/>
                <w:sz w:val="18"/>
                <w:szCs w:val="18"/>
              </w:rPr>
              <w:t>信息和文件资料（包括但不限于原始书面材料、副本材料或口头信息等），本承诺人保证所提供的文件资料的副本或复印</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件与正本或原件一致，且该等文件资料的签字与印章都是真实的，该等文件的签署人已经合法授权并有效签署该文件；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保证所提供的信息和文件资料的真实性、准确性和完整性，保证不存在虚假记载、误导性陈述或者重大遗漏，并承诺承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担个别和连带的法律责任。</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、本承诺人保证为本次重组所出具的说明及确认均为真实、准确和完整的，不存在任何虚假</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记载、误导性陈述或者重大遗漏，并承诺承担个别和连带的法律责任。</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、在本次重组期间，本承诺人将依照相关法律法</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规、中国证券监督管理委员会和深圳证券交易所的有关规定，及时披露和提供有关本次重组的信息，并保证该等信息的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真实性、准确性和完整性，如因提供的信息存在虚假记载、误导性陈述或者重大遗漏，</w:t>
            </w:r>
          </w:p>
          <w:p>
            <w:pPr>
              <w:pStyle w:val="TableParagraph"/>
              <w:spacing w:line="240" w:lineRule="auto" w:before="24"/>
              <w:ind w:left="21" w:right="0"/>
              <w:jc w:val="both"/>
              <w:rPr>
                <w:rFonts w:ascii="宋体" w:hAnsi="宋体" w:cs="宋体" w:eastAsia="宋体" w:hint="default"/>
                <w:sz w:val="18"/>
                <w:szCs w:val="18"/>
              </w:rPr>
            </w:pPr>
            <w:r>
              <w:rPr>
                <w:rFonts w:ascii="宋体" w:hAnsi="宋体" w:cs="宋体" w:eastAsia="宋体" w:hint="default"/>
                <w:sz w:val="18"/>
                <w:szCs w:val="18"/>
              </w:rPr>
              <w:t>本承诺人将依法承担赔偿责任。</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 w:right="39"/>
              <w:jc w:val="left"/>
              <w:rPr>
                <w:rFonts w:ascii="宋体" w:hAnsi="宋体" w:cs="宋体" w:eastAsia="宋体" w:hint="default"/>
                <w:sz w:val="18"/>
                <w:szCs w:val="18"/>
              </w:rPr>
            </w:pPr>
            <w:r>
              <w:rPr>
                <w:rFonts w:ascii="宋体" w:hAnsi="宋体" w:cs="宋体" w:eastAsia="宋体" w:hint="default"/>
                <w:sz w:val="18"/>
                <w:szCs w:val="18"/>
              </w:rPr>
              <w:t>无承诺期 限</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38"/>
              <w:jc w:val="left"/>
              <w:rPr>
                <w:rFonts w:ascii="宋体" w:hAnsi="宋体" w:cs="宋体" w:eastAsia="宋体" w:hint="default"/>
                <w:sz w:val="18"/>
                <w:szCs w:val="18"/>
              </w:rPr>
            </w:pPr>
            <w:r>
              <w:rPr>
                <w:rFonts w:ascii="宋体" w:hAnsi="宋体" w:cs="宋体" w:eastAsia="宋体" w:hint="default"/>
                <w:sz w:val="18"/>
                <w:szCs w:val="18"/>
              </w:rPr>
              <w:t>报告期 内，承诺 人均遵守 了所做的 承诺。</w:t>
            </w:r>
          </w:p>
        </w:tc>
      </w:tr>
      <w:tr>
        <w:trPr>
          <w:trHeight w:val="394" w:hRule="exact"/>
        </w:trPr>
        <w:tc>
          <w:tcPr>
            <w:tcW w:w="17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4"/>
              <w:jc w:val="center"/>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998" w:type="dxa"/>
            <w:vMerge/>
            <w:tcBorders>
              <w:left w:val="single" w:sz="10" w:space="0" w:color="D2D2D2"/>
              <w:right w:val="single" w:sz="4" w:space="0" w:color="000000"/>
            </w:tcBorders>
          </w:tcPr>
          <w:p>
            <w:pPr/>
          </w:p>
        </w:tc>
        <w:tc>
          <w:tcPr>
            <w:tcW w:w="794" w:type="dxa"/>
            <w:vMerge/>
            <w:tcBorders>
              <w:left w:val="single" w:sz="4" w:space="0" w:color="000000"/>
              <w:right w:val="single" w:sz="4" w:space="0" w:color="000000"/>
            </w:tcBorders>
          </w:tcPr>
          <w:p>
            <w:pPr/>
          </w:p>
        </w:tc>
        <w:tc>
          <w:tcPr>
            <w:tcW w:w="9429"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253" w:hRule="exact"/>
        </w:trPr>
        <w:tc>
          <w:tcPr>
            <w:tcW w:w="1700" w:type="dxa"/>
            <w:tcBorders>
              <w:top w:val="nil" w:sz="6" w:space="0" w:color="auto"/>
              <w:left w:val="single" w:sz="4" w:space="0" w:color="000000"/>
              <w:bottom w:val="single" w:sz="4" w:space="0" w:color="000000"/>
              <w:right w:val="single" w:sz="4" w:space="0" w:color="000000"/>
            </w:tcBorders>
            <w:shd w:val="clear" w:color="auto" w:fill="D2D2D2"/>
          </w:tcPr>
          <w:p>
            <w:pPr/>
          </w:p>
        </w:tc>
        <w:tc>
          <w:tcPr>
            <w:tcW w:w="998" w:type="dxa"/>
            <w:vMerge/>
            <w:tcBorders>
              <w:left w:val="single" w:sz="10" w:space="0" w:color="D2D2D2"/>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9429"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spacing w:after="0"/>
        <w:sectPr>
          <w:headerReference w:type="default" r:id="rId12"/>
          <w:footerReference w:type="default" r:id="rId13"/>
          <w:pgSz w:w="16840" w:h="11910" w:orient="landscape"/>
          <w:pgMar w:header="867" w:footer="980" w:top="1060" w:bottom="1160" w:left="660" w:right="640"/>
          <w:pgNumType w:start="47"/>
        </w:sectPr>
      </w:pPr>
    </w:p>
    <w:p>
      <w:pPr>
        <w:spacing w:line="240" w:lineRule="auto" w:before="2"/>
        <w:rPr>
          <w:rFonts w:ascii="Times New Roman" w:hAnsi="Times New Roman" w:cs="Times New Roman" w:eastAsia="Times New Roman" w:hint="default"/>
          <w:sz w:val="3"/>
          <w:szCs w:val="3"/>
        </w:rPr>
      </w:pPr>
      <w:r>
        <w:rPr/>
        <w:pict>
          <v:shape style="position:absolute;margin-left:615.538025pt;margin-top:57.240005pt;width:108.45pt;height:132.65pt;mso-position-horizontal-relative:page;mso-position-vertical-relative:page;z-index:-1613080" type="#_x0000_t202" filled="false" stroked="false">
            <v:textbox inset="0,0,0,0">
              <w:txbxContent>
                <w:p>
                  <w:pPr>
                    <w:pStyle w:val="BodyText"/>
                    <w:spacing w:line="633" w:lineRule="auto" w:before="49"/>
                    <w:ind w:left="0" w:right="725" w:firstLine="360"/>
                    <w:jc w:val="left"/>
                  </w:pPr>
                  <w:r>
                    <w:rPr/>
                    <w:t>终止的情形， 不存在出资不实、</w:t>
                  </w:r>
                </w:p>
              </w:txbxContent>
            </v:textbox>
            <w10:wrap type="none"/>
          </v:shape>
        </w:pict>
      </w:r>
      <w:r>
        <w:rPr/>
        <w:pict>
          <v:shape style="position:absolute;margin-left:480.485016pt;margin-top:240.650009pt;width:243.5pt;height:132.65pt;mso-position-horizontal-relative:page;mso-position-vertical-relative:page;z-index:-16130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9"/>
                      <w:szCs w:val="19"/>
                    </w:rPr>
                  </w:pPr>
                </w:p>
                <w:p>
                  <w:pPr>
                    <w:pStyle w:val="BodyText"/>
                    <w:spacing w:line="636" w:lineRule="auto"/>
                    <w:ind w:left="540" w:right="726" w:hanging="541"/>
                    <w:jc w:val="left"/>
                  </w:pPr>
                  <w:r>
                    <w:rPr/>
                    <w:t>社保等方面的法律法规而受到重大行政处罚的情形。 实际控制人及其控制的其他企业占用的情形，</w:t>
                  </w:r>
                </w:p>
              </w:txbxContent>
            </v:textbox>
            <w10:wrap type="none"/>
          </v:shape>
        </w:pict>
      </w:r>
      <w:r>
        <w:rPr/>
        <w:pict>
          <v:group style="position:absolute;margin-left:684.700012pt;margin-top:57.240005pt;width:39.25pt;height:132.65pt;mso-position-horizontal-relative:page;mso-position-vertical-relative:page;z-index:-1613032" coordorigin="13694,1145" coordsize="785,2653">
            <v:shape style="position:absolute;left:13694;top:1145;width:785;height:2653" coordorigin="13694,1145" coordsize="785,2653" path="m13694,3798l14479,3798,14479,1145,13694,1145,13694,3798xe" filled="true" fillcolor="#ffffff" stroked="false">
              <v:path arrowok="t"/>
              <v:fill type="solid"/>
            </v:shape>
            <w10:wrap type="none"/>
          </v:group>
        </w:pict>
      </w:r>
      <w:r>
        <w:rPr/>
        <w:pict>
          <v:group style="position:absolute;margin-left:684.700012pt;margin-top:240.650009pt;width:39.25pt;height:132.65pt;mso-position-horizontal-relative:page;mso-position-vertical-relative:page;z-index:-1613008" coordorigin="13694,4813" coordsize="785,2653">
            <v:shape style="position:absolute;left:13694;top:4813;width:785;height:2653" coordorigin="13694,4813" coordsize="785,2653" path="m13694,7465l14479,7465,14479,4813,13694,4813,13694,7465xe" filled="true" fillcolor="#ffffff" stroked="false">
              <v:path arrowok="t"/>
              <v:fill type="solid"/>
            </v:shape>
            <w10:wrap type="none"/>
          </v:group>
        </w:pict>
      </w:r>
    </w:p>
    <w:tbl>
      <w:tblPr>
        <w:tblW w:w="0" w:type="auto"/>
        <w:jc w:val="left"/>
        <w:tblInd w:w="103" w:type="dxa"/>
        <w:tblLayout w:type="fixed"/>
        <w:tblCellMar>
          <w:top w:w="0" w:type="dxa"/>
          <w:left w:w="0" w:type="dxa"/>
          <w:bottom w:w="0" w:type="dxa"/>
          <w:right w:w="0" w:type="dxa"/>
        </w:tblCellMar>
        <w:tblLook w:val="01E0"/>
      </w:tblPr>
      <w:tblGrid>
        <w:gridCol w:w="1700"/>
        <w:gridCol w:w="998"/>
        <w:gridCol w:w="794"/>
        <w:gridCol w:w="9429"/>
        <w:gridCol w:w="794"/>
        <w:gridCol w:w="795"/>
        <w:gridCol w:w="794"/>
      </w:tblGrid>
      <w:tr>
        <w:trPr>
          <w:trHeight w:val="376" w:hRule="exact"/>
        </w:trPr>
        <w:tc>
          <w:tcPr>
            <w:tcW w:w="1700" w:type="dxa"/>
            <w:vMerge w:val="restart"/>
            <w:tcBorders>
              <w:top w:val="single" w:sz="15" w:space="0" w:color="000000"/>
              <w:left w:val="single" w:sz="4" w:space="0" w:color="000000"/>
              <w:right w:val="single" w:sz="4" w:space="0" w:color="000000"/>
            </w:tcBorders>
            <w:shd w:val="clear" w:color="auto" w:fill="D2D2D2"/>
          </w:tcPr>
          <w:p>
            <w:pPr/>
          </w:p>
        </w:tc>
        <w:tc>
          <w:tcPr>
            <w:tcW w:w="998" w:type="dxa"/>
            <w:tcBorders>
              <w:top w:val="single" w:sz="15" w:space="0" w:color="000000"/>
              <w:left w:val="single" w:sz="4" w:space="0" w:color="000000"/>
              <w:bottom w:val="nil" w:sz="6" w:space="0" w:color="auto"/>
              <w:right w:val="single" w:sz="4" w:space="0" w:color="000000"/>
            </w:tcBorders>
          </w:tcPr>
          <w:p>
            <w:pPr/>
          </w:p>
        </w:tc>
        <w:tc>
          <w:tcPr>
            <w:tcW w:w="794" w:type="dxa"/>
            <w:tcBorders>
              <w:top w:val="single" w:sz="15" w:space="0" w:color="000000"/>
              <w:left w:val="single" w:sz="4" w:space="0" w:color="000000"/>
              <w:bottom w:val="nil" w:sz="6" w:space="0" w:color="auto"/>
              <w:right w:val="single" w:sz="4" w:space="0" w:color="000000"/>
            </w:tcBorders>
          </w:tcPr>
          <w:p>
            <w:pPr/>
          </w:p>
        </w:tc>
        <w:tc>
          <w:tcPr>
            <w:tcW w:w="942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、本企业为依法设立并有效存续的有限责任公司，不存在根据相关法律、法规、规范性文件及章程规定需予</w:t>
            </w:r>
          </w:p>
        </w:tc>
        <w:tc>
          <w:tcPr>
            <w:tcW w:w="794" w:type="dxa"/>
            <w:tcBorders>
              <w:top w:val="single" w:sz="15" w:space="0" w:color="000000"/>
              <w:left w:val="single" w:sz="4" w:space="0" w:color="000000"/>
              <w:bottom w:val="nil" w:sz="6" w:space="0" w:color="auto"/>
              <w:right w:val="single" w:sz="4" w:space="0" w:color="000000"/>
            </w:tcBorders>
          </w:tcPr>
          <w:p>
            <w:pPr/>
          </w:p>
        </w:tc>
        <w:tc>
          <w:tcPr>
            <w:tcW w:w="795" w:type="dxa"/>
            <w:tcBorders>
              <w:top w:val="single" w:sz="15" w:space="0" w:color="000000"/>
              <w:left w:val="single" w:sz="4" w:space="0" w:color="000000"/>
              <w:bottom w:val="nil" w:sz="6" w:space="0" w:color="auto"/>
              <w:right w:val="single" w:sz="4" w:space="0" w:color="000000"/>
            </w:tcBorders>
          </w:tcPr>
          <w:p>
            <w:pPr/>
          </w:p>
        </w:tc>
        <w:tc>
          <w:tcPr>
            <w:tcW w:w="794" w:type="dxa"/>
            <w:tcBorders>
              <w:top w:val="single" w:sz="6" w:space="0" w:color="000000"/>
              <w:left w:val="single" w:sz="4" w:space="0" w:color="000000"/>
              <w:bottom w:val="nil" w:sz="6" w:space="0" w:color="auto"/>
              <w:right w:val="single" w:sz="4" w:space="0" w:color="000000"/>
            </w:tcBorders>
          </w:tcPr>
          <w:p>
            <w:pPr/>
          </w:p>
        </w:tc>
      </w:tr>
      <w:tr>
        <w:trPr>
          <w:trHeight w:val="311"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1" w:right="0"/>
              <w:jc w:val="left"/>
              <w:rPr>
                <w:rFonts w:ascii="宋体" w:hAnsi="宋体" w:cs="宋体" w:eastAsia="宋体" w:hint="default"/>
                <w:sz w:val="18"/>
                <w:szCs w:val="18"/>
              </w:rPr>
            </w:pPr>
            <w:r>
              <w:rPr>
                <w:rFonts w:ascii="宋体" w:hAnsi="宋体" w:cs="宋体" w:eastAsia="宋体" w:hint="default"/>
                <w:spacing w:val="-2"/>
                <w:sz w:val="18"/>
                <w:szCs w:val="18"/>
              </w:rPr>
              <w:t>具备参与本次重组的主体资格。</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、本企业全体股东的认缴出资额均已实缴到位；本企业股东的历次股权变动均已履行或</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3"/>
                <w:sz w:val="18"/>
                <w:szCs w:val="18"/>
              </w:rPr>
              <w:t>正在履行相应的程序；本企业的现有股东及持股比例均合法有效。</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、本企业股东合法持有本企业股权，</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虚假出资或抽逃出资的情形；该等股权不存在纠纷或潜在纠纷，除北京华创芯原科技有限公司将其持有的相应股权质押</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予北京亦庄国际投资发展有限公司外，不存在其他质押、查封、冻结及其他任何限制性权利或任何权利负担导致限制转</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2"/>
                <w:sz w:val="18"/>
                <w:szCs w:val="18"/>
              </w:rPr>
              <w:t>让的情形，亦不存在与权属相关的未决或潜在的诉讼、仲裁以及任何其他行政或司法程序。</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、本企业及下属企业（合并</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报表范围内企业，下同）自设立起至今均守法经营，在登记或核准（如有）的经营范围内开展业务活动，不存在违反法</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1873"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北京矽成</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1" w:right="41"/>
              <w:jc w:val="both"/>
              <w:rPr>
                <w:rFonts w:ascii="宋体" w:hAnsi="宋体" w:cs="宋体" w:eastAsia="宋体" w:hint="default"/>
                <w:sz w:val="18"/>
                <w:szCs w:val="18"/>
              </w:rPr>
            </w:pPr>
            <w:r>
              <w:rPr>
                <w:rFonts w:ascii="宋体" w:hAnsi="宋体" w:cs="宋体" w:eastAsia="宋体" w:hint="default"/>
                <w:sz w:val="18"/>
                <w:szCs w:val="18"/>
              </w:rPr>
              <w:t>关于本次 重组有关 事项的声 明及承诺 函</w:t>
            </w: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304" w:lineRule="auto" w:before="10"/>
              <w:ind w:left="21" w:right="20"/>
              <w:jc w:val="both"/>
              <w:rPr>
                <w:rFonts w:ascii="宋体" w:hAnsi="宋体" w:cs="宋体" w:eastAsia="宋体" w:hint="default"/>
                <w:sz w:val="18"/>
                <w:szCs w:val="18"/>
              </w:rPr>
            </w:pPr>
            <w:r>
              <w:rPr>
                <w:rFonts w:ascii="宋体" w:hAnsi="宋体" w:cs="宋体" w:eastAsia="宋体" w:hint="default"/>
                <w:sz w:val="18"/>
                <w:szCs w:val="18"/>
              </w:rPr>
              <w:t>律、法规从事经营活动的情况。</w:t>
            </w:r>
            <w:r>
              <w:rPr>
                <w:rFonts w:ascii="Times New Roman" w:hAnsi="Times New Roman" w:cs="Times New Roman" w:eastAsia="Times New Roman" w:hint="default"/>
                <w:sz w:val="18"/>
                <w:szCs w:val="18"/>
              </w:rPr>
              <w:t>5</w:t>
            </w:r>
            <w:r>
              <w:rPr>
                <w:rFonts w:ascii="宋体" w:hAnsi="宋体" w:cs="宋体" w:eastAsia="宋体" w:hint="default"/>
                <w:sz w:val="18"/>
                <w:szCs w:val="18"/>
              </w:rPr>
              <w:t>、本企业及下属企业拥有的自有土地</w:t>
            </w:r>
            <w:r>
              <w:rPr>
                <w:rFonts w:ascii="Times New Roman" w:hAnsi="Times New Roman" w:cs="Times New Roman" w:eastAsia="Times New Roman" w:hint="default"/>
                <w:sz w:val="18"/>
                <w:szCs w:val="18"/>
              </w:rPr>
              <w:t>/</w:t>
            </w:r>
            <w:r>
              <w:rPr>
                <w:rFonts w:ascii="宋体" w:hAnsi="宋体" w:cs="宋体" w:eastAsia="宋体" w:hint="default"/>
                <w:sz w:val="18"/>
                <w:szCs w:val="18"/>
              </w:rPr>
              <w:t>自有土地使用权和房屋</w:t>
            </w:r>
            <w:r>
              <w:rPr>
                <w:rFonts w:ascii="Times New Roman" w:hAnsi="Times New Roman" w:cs="Times New Roman" w:eastAsia="Times New Roman" w:hint="default"/>
                <w:sz w:val="18"/>
                <w:szCs w:val="18"/>
              </w:rPr>
              <w:t>/</w:t>
            </w:r>
            <w:r>
              <w:rPr>
                <w:rFonts w:ascii="宋体" w:hAnsi="宋体" w:cs="宋体" w:eastAsia="宋体" w:hint="default"/>
                <w:sz w:val="18"/>
                <w:szCs w:val="18"/>
              </w:rPr>
              <w:t>房屋所有权权属清晰、使 用的租赁土地和房屋均已与出租人签署相关租赁协议，本公司及子公司可以合法占有及使用相关物业资产，不存在重大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产权纠纷或潜在纠纷。</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、本企业及下属企业的主要经营性资产不存在被采取查封、扣押等强制性措施的情形，本企业使</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用生产经营性资产不存在法律障碍。</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、本企业及下属企业近三年不存在因环境保护、知识产权、产品质量、劳动安全和</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人身权利等原因而产生的侵权之债。</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、本企业会计基础工作规范，财务报表的编制符合企业会计准则和相关会计制度的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规定，在所有重大方面公允地反映财务状况、经营成果和现金流量，且严格按照国家及地方适用法律法规缴纳各种税款</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w:t>
            </w:r>
          </w:p>
        </w:tc>
        <w:tc>
          <w:tcPr>
            <w:tcW w:w="7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4" w:lineRule="auto"/>
              <w:ind w:left="24" w:right="39"/>
              <w:jc w:val="left"/>
              <w:rPr>
                <w:rFonts w:ascii="宋体" w:hAnsi="宋体" w:cs="宋体" w:eastAsia="宋体" w:hint="default"/>
                <w:sz w:val="18"/>
                <w:szCs w:val="18"/>
              </w:rPr>
            </w:pPr>
            <w:r>
              <w:rPr>
                <w:rFonts w:ascii="宋体" w:hAnsi="宋体" w:cs="宋体" w:eastAsia="宋体" w:hint="default"/>
                <w:sz w:val="18"/>
                <w:szCs w:val="18"/>
              </w:rPr>
              <w:t>无承诺期 限</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3" w:right="38"/>
              <w:jc w:val="left"/>
              <w:rPr>
                <w:rFonts w:ascii="宋体" w:hAnsi="宋体" w:cs="宋体" w:eastAsia="宋体" w:hint="default"/>
                <w:sz w:val="18"/>
                <w:szCs w:val="18"/>
              </w:rPr>
            </w:pPr>
            <w:r>
              <w:rPr>
                <w:rFonts w:ascii="宋体" w:hAnsi="宋体" w:cs="宋体" w:eastAsia="宋体" w:hint="default"/>
                <w:sz w:val="18"/>
                <w:szCs w:val="18"/>
              </w:rPr>
              <w:t>报告期 内，承诺 人遵守了 所做的承 诺。</w:t>
            </w:r>
          </w:p>
        </w:tc>
      </w:tr>
      <w:tr>
        <w:trPr>
          <w:trHeight w:val="317"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9</w:t>
            </w:r>
            <w:r>
              <w:rPr>
                <w:rFonts w:ascii="宋体" w:hAnsi="宋体" w:cs="宋体" w:eastAsia="宋体" w:hint="default"/>
                <w:spacing w:val="-5"/>
                <w:sz w:val="18"/>
                <w:szCs w:val="18"/>
              </w:rPr>
              <w:t>、本企业及下属企业近三年不存在因违反工商、税务、土地、环保、</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、本企业及下属企业不存在尚未了结或可预见的、足以影响企业存续及持续经营的重大诉讼、仲裁案件。</w:t>
            </w:r>
            <w:r>
              <w:rPr>
                <w:rFonts w:ascii="Times New Roman" w:hAnsi="Times New Roman" w:cs="Times New Roman" w:eastAsia="Times New Roman" w:hint="default"/>
                <w:sz w:val="18"/>
                <w:szCs w:val="18"/>
              </w:rPr>
              <w:t>11</w:t>
            </w:r>
            <w:r>
              <w:rPr>
                <w:rFonts w:ascii="宋体" w:hAnsi="宋体" w:cs="宋体" w:eastAsia="宋体" w:hint="default"/>
                <w:sz w:val="18"/>
                <w:szCs w:val="18"/>
              </w:rPr>
              <w:t>、除已向</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上市公司披露的情形外，本企业及下属企业不存在资金被股东及其关联方、</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亦不存在对外担保或为关联方提供担保的情形。</w:t>
            </w:r>
            <w:r>
              <w:rPr>
                <w:rFonts w:ascii="Times New Roman" w:hAnsi="Times New Roman" w:cs="Times New Roman" w:eastAsia="Times New Roman" w:hint="default"/>
                <w:sz w:val="18"/>
                <w:szCs w:val="18"/>
              </w:rPr>
              <w:t>12</w:t>
            </w:r>
            <w:r>
              <w:rPr>
                <w:rFonts w:ascii="宋体" w:hAnsi="宋体" w:cs="宋体" w:eastAsia="宋体" w:hint="default"/>
                <w:sz w:val="18"/>
                <w:szCs w:val="18"/>
              </w:rPr>
              <w:t>、本企业有效存续并正常、持续运营，不存在任何第三方向法院或者</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政府主管部门申请破产、清算、解散、接管或者其他足以导致本企业终止或者丧失经营能力的情形。</w:t>
            </w:r>
            <w:r>
              <w:rPr>
                <w:rFonts w:ascii="Times New Roman" w:hAnsi="Times New Roman" w:cs="Times New Roman" w:eastAsia="Times New Roman" w:hint="default"/>
                <w:sz w:val="18"/>
                <w:szCs w:val="18"/>
              </w:rPr>
              <w:t>13</w:t>
            </w:r>
            <w:r>
              <w:rPr>
                <w:rFonts w:ascii="宋体" w:hAnsi="宋体" w:cs="宋体" w:eastAsia="宋体" w:hint="default"/>
                <w:sz w:val="18"/>
                <w:szCs w:val="18"/>
              </w:rPr>
              <w:t>、本承诺人及子</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公司不存在可能对本次重组产生影响的相关投资协议。本承诺人及子公司不存在让渡经营管理权、收益权等影响资产独</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700" w:type="dxa"/>
            <w:vMerge/>
            <w:tcBorders>
              <w:left w:val="single" w:sz="4" w:space="0" w:color="000000"/>
              <w:bottom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94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立性的协议或其他安排。</w:t>
            </w:r>
          </w:p>
        </w:tc>
        <w:tc>
          <w:tcPr>
            <w:tcW w:w="794" w:type="dxa"/>
            <w:tcBorders>
              <w:top w:val="nil" w:sz="6" w:space="0" w:color="auto"/>
              <w:left w:val="single" w:sz="4" w:space="0" w:color="000000"/>
              <w:bottom w:val="single" w:sz="4" w:space="0" w:color="000000"/>
              <w:right w:val="single" w:sz="4" w:space="0" w:color="000000"/>
            </w:tcBorders>
          </w:tcPr>
          <w:p>
            <w:pPr/>
          </w:p>
        </w:tc>
        <w:tc>
          <w:tcPr>
            <w:tcW w:w="795"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660" w:right="640"/>
        </w:sectPr>
      </w:pPr>
    </w:p>
    <w:p>
      <w:pPr>
        <w:spacing w:line="240" w:lineRule="auto" w:before="11"/>
        <w:rPr>
          <w:rFonts w:ascii="Times New Roman" w:hAnsi="Times New Roman" w:cs="Times New Roman" w:eastAsia="Times New Roman" w:hint="default"/>
          <w:sz w:val="12"/>
          <w:szCs w:val="12"/>
        </w:rPr>
      </w:pPr>
    </w:p>
    <w:p>
      <w:pPr>
        <w:spacing w:after="0" w:line="240" w:lineRule="auto"/>
        <w:rPr>
          <w:rFonts w:ascii="Times New Roman" w:hAnsi="Times New Roman" w:cs="Times New Roman" w:eastAsia="Times New Roman" w:hint="default"/>
          <w:sz w:val="12"/>
          <w:szCs w:val="12"/>
        </w:rPr>
        <w:sectPr>
          <w:pgSz w:w="16840" w:h="11910" w:orient="landscape"/>
          <w:pgMar w:header="867" w:footer="980" w:top="1060" w:bottom="1160" w:left="660" w:right="660"/>
        </w:sectPr>
      </w:pPr>
    </w:p>
    <w:p>
      <w:pPr>
        <w:spacing w:line="240" w:lineRule="auto" w:before="0"/>
        <w:rPr>
          <w:rFonts w:ascii="Times New Roman" w:hAnsi="Times New Roman" w:cs="Times New Roman" w:eastAsia="Times New Roman" w:hint="default"/>
          <w:sz w:val="18"/>
          <w:szCs w:val="18"/>
        </w:rPr>
      </w:pPr>
      <w:r>
        <w:rPr/>
        <w:pict>
          <v:group style="position:absolute;margin-left:38.160pt;margin-top:55.200008pt;width:765.75pt;height:480.5pt;mso-position-horizontal-relative:page;mso-position-vertical-relative:page;z-index:-1612960" coordorigin="763,1104" coordsize="15315,9610">
            <v:group style="position:absolute;left:1411;top:1111;width:14019;height:2" coordorigin="1411,1111" coordsize="14019,2">
              <v:shape style="position:absolute;left:1411;top:1111;width:14019;height:2" coordorigin="1411,1111" coordsize="14019,0" path="m1411,1111l15430,1111e" filled="false" stroked="true" strokeweight=".72pt" strokecolor="#000000">
                <v:path arrowok="t"/>
              </v:shape>
            </v:group>
            <v:group style="position:absolute;left:773;top:1145;width:1691;height:9554" coordorigin="773,1145" coordsize="1691,9554">
              <v:shape style="position:absolute;left:773;top:1145;width:1691;height:9554" coordorigin="773,1145" coordsize="1691,9554" path="m773,10699l2463,10699,2463,1145,773,1145,773,10699xe" filled="true" fillcolor="#d2d2d2" stroked="false">
                <v:path arrowok="t"/>
                <v:fill type="solid"/>
              </v:shape>
            </v:group>
            <v:group style="position:absolute;left:13694;top:1145;width:785;height:4269" coordorigin="13694,1145" coordsize="785,4269">
              <v:shape style="position:absolute;left:13694;top:1145;width:785;height:4269" coordorigin="13694,1145" coordsize="785,4269" path="m13694,5413l14479,5413,14479,1145,13694,1145,13694,5413xe" filled="true" fillcolor="#ffffff" stroked="false">
                <v:path arrowok="t"/>
                <v:fill type="solid"/>
              </v:shape>
            </v:group>
            <v:group style="position:absolute;left:13694;top:6431;width:785;height:4268" coordorigin="13694,6431" coordsize="785,4268">
              <v:shape style="position:absolute;left:13694;top:6431;width:785;height:4268" coordorigin="13694,6431" coordsize="785,4268" path="m13694,10699l14479,10699,14479,6431,13694,6431,13694,10699xe" filled="true" fillcolor="#ffffff" stroked="false">
                <v:path arrowok="t"/>
                <v:fill type="solid"/>
              </v:shape>
            </v:group>
            <v:group style="position:absolute;left:773;top:1138;width:1691;height:2" coordorigin="773,1138" coordsize="1691,2">
              <v:shape style="position:absolute;left:773;top:1138;width:1691;height:2" coordorigin="773,1138" coordsize="1691,0" path="m773,1138l2463,1138e" filled="false" stroked="true" strokeweight=".48pt" strokecolor="#000000">
                <v:path arrowok="t"/>
              </v:shape>
            </v:group>
            <v:group style="position:absolute;left:2472;top:1138;width:989;height:2" coordorigin="2472,1138" coordsize="989,2">
              <v:shape style="position:absolute;left:2472;top:1138;width:989;height:2" coordorigin="2472,1138" coordsize="989,0" path="m2472,1138l3461,1138e" filled="false" stroked="true" strokeweight=".48pt" strokecolor="#000000">
                <v:path arrowok="t"/>
              </v:shape>
            </v:group>
            <v:group style="position:absolute;left:3471;top:1138;width:785;height:2" coordorigin="3471,1138" coordsize="785,2">
              <v:shape style="position:absolute;left:3471;top:1138;width:785;height:2" coordorigin="3471,1138" coordsize="785,0" path="m3471,1138l4256,1138e" filled="false" stroked="true" strokeweight=".48pt" strokecolor="#000000">
                <v:path arrowok="t"/>
              </v:shape>
            </v:group>
            <v:group style="position:absolute;left:4265;top:1138;width:9419;height:2" coordorigin="4265,1138" coordsize="9419,2">
              <v:shape style="position:absolute;left:4265;top:1138;width:9419;height:2" coordorigin="4265,1138" coordsize="9419,0" path="m4265,1138l13684,1138e" filled="false" stroked="true" strokeweight=".48pt" strokecolor="#000000">
                <v:path arrowok="t"/>
              </v:shape>
            </v:group>
            <v:group style="position:absolute;left:13694;top:1138;width:785;height:2" coordorigin="13694,1138" coordsize="785,2">
              <v:shape style="position:absolute;left:13694;top:1138;width:785;height:2" coordorigin="13694,1138" coordsize="785,0" path="m13694,1138l14479,1138e" filled="false" stroked="true" strokeweight=".48pt" strokecolor="#000000">
                <v:path arrowok="t"/>
              </v:shape>
            </v:group>
            <v:group style="position:absolute;left:14488;top:1138;width:786;height:2" coordorigin="14488,1138" coordsize="786,2">
              <v:shape style="position:absolute;left:14488;top:1138;width:786;height:2" coordorigin="14488,1138" coordsize="786,0" path="m14488,1138l15274,1138e" filled="false" stroked="true" strokeweight=".48pt" strokecolor="#000000">
                <v:path arrowok="t"/>
              </v:shape>
            </v:group>
            <v:group style="position:absolute;left:15283;top:1138;width:785;height:2" coordorigin="15283,1138" coordsize="785,2">
              <v:shape style="position:absolute;left:15283;top:1138;width:785;height:2" coordorigin="15283,1138" coordsize="785,0" path="m15283,1138l16068,1138e" filled="false" stroked="true" strokeweight=".48pt" strokecolor="#000000">
                <v:path arrowok="t"/>
              </v:shape>
            </v:group>
            <v:group style="position:absolute;left:768;top:1133;width:2;height:9576" coordorigin="768,1133" coordsize="2,9576">
              <v:shape style="position:absolute;left:768;top:1133;width:2;height:9576" coordorigin="768,1133" coordsize="0,9576" path="m768,1133l768,10708e" filled="false" stroked="true" strokeweight=".48pt" strokecolor="#000000">
                <v:path arrowok="t"/>
              </v:shape>
            </v:group>
            <v:group style="position:absolute;left:773;top:10704;width:1691;height:2" coordorigin="773,10704" coordsize="1691,2">
              <v:shape style="position:absolute;left:773;top:10704;width:1691;height:2" coordorigin="773,10704" coordsize="1691,0" path="m773,10704l2463,10704e" filled="false" stroked="true" strokeweight=".47998pt" strokecolor="#000000">
                <v:path arrowok="t"/>
              </v:shape>
            </v:group>
            <v:group style="position:absolute;left:2468;top:1133;width:2;height:9576" coordorigin="2468,1133" coordsize="2,9576">
              <v:shape style="position:absolute;left:2468;top:1133;width:2;height:9576" coordorigin="2468,1133" coordsize="0,9576" path="m2468,1133l2468,10708e" filled="false" stroked="true" strokeweight=".48pt" strokecolor="#000000">
                <v:path arrowok="t"/>
              </v:shape>
            </v:group>
            <v:group style="position:absolute;left:2472;top:10704;width:989;height:2" coordorigin="2472,10704" coordsize="989,2">
              <v:shape style="position:absolute;left:2472;top:10704;width:989;height:2" coordorigin="2472,10704" coordsize="989,0" path="m2472,10704l3461,10704e" filled="false" stroked="true" strokeweight=".47998pt" strokecolor="#000000">
                <v:path arrowok="t"/>
              </v:shape>
            </v:group>
            <v:group style="position:absolute;left:3466;top:1133;width:2;height:9576" coordorigin="3466,1133" coordsize="2,9576">
              <v:shape style="position:absolute;left:3466;top:1133;width:2;height:9576" coordorigin="3466,1133" coordsize="0,9576" path="m3466,1133l3466,10708e" filled="false" stroked="true" strokeweight=".48001pt" strokecolor="#000000">
                <v:path arrowok="t"/>
              </v:shape>
            </v:group>
            <v:group style="position:absolute;left:3471;top:10704;width:785;height:2" coordorigin="3471,10704" coordsize="785,2">
              <v:shape style="position:absolute;left:3471;top:10704;width:785;height:2" coordorigin="3471,10704" coordsize="785,0" path="m3471,10704l4256,10704e" filled="false" stroked="true" strokeweight=".47998pt" strokecolor="#000000">
                <v:path arrowok="t"/>
              </v:shape>
            </v:group>
            <v:group style="position:absolute;left:4260;top:1133;width:2;height:9576" coordorigin="4260,1133" coordsize="2,9576">
              <v:shape style="position:absolute;left:4260;top:1133;width:2;height:9576" coordorigin="4260,1133" coordsize="0,9576" path="m4260,1133l4260,10708e" filled="false" stroked="true" strokeweight=".48001pt" strokecolor="#000000">
                <v:path arrowok="t"/>
              </v:shape>
            </v:group>
            <v:group style="position:absolute;left:4265;top:10704;width:9419;height:2" coordorigin="4265,10704" coordsize="9419,2">
              <v:shape style="position:absolute;left:4265;top:10704;width:9419;height:2" coordorigin="4265,10704" coordsize="9419,0" path="m4265,10704l13684,10704e" filled="false" stroked="true" strokeweight=".47998pt" strokecolor="#000000">
                <v:path arrowok="t"/>
              </v:shape>
            </v:group>
            <v:group style="position:absolute;left:13689;top:1133;width:2;height:9576" coordorigin="13689,1133" coordsize="2,9576">
              <v:shape style="position:absolute;left:13689;top:1133;width:2;height:9576" coordorigin="13689,1133" coordsize="0,9576" path="m13689,1133l13689,10708e" filled="false" stroked="true" strokeweight=".47998pt" strokecolor="#000000">
                <v:path arrowok="t"/>
              </v:shape>
            </v:group>
            <v:group style="position:absolute;left:13694;top:10704;width:785;height:2" coordorigin="13694,10704" coordsize="785,2">
              <v:shape style="position:absolute;left:13694;top:10704;width:785;height:2" coordorigin="13694,10704" coordsize="785,0" path="m13694,10704l14479,10704e" filled="false" stroked="true" strokeweight=".47998pt" strokecolor="#000000">
                <v:path arrowok="t"/>
              </v:shape>
            </v:group>
            <v:group style="position:absolute;left:14484;top:1133;width:2;height:9576" coordorigin="14484,1133" coordsize="2,9576">
              <v:shape style="position:absolute;left:14484;top:1133;width:2;height:9576" coordorigin="14484,1133" coordsize="0,9576" path="m14484,1133l14484,10708e" filled="false" stroked="true" strokeweight=".47998pt" strokecolor="#000000">
                <v:path arrowok="t"/>
              </v:shape>
            </v:group>
            <v:group style="position:absolute;left:14488;top:10704;width:786;height:2" coordorigin="14488,10704" coordsize="786,2">
              <v:shape style="position:absolute;left:14488;top:10704;width:786;height:2" coordorigin="14488,10704" coordsize="786,0" path="m14488,10704l15274,10704e" filled="false" stroked="true" strokeweight=".47998pt" strokecolor="#000000">
                <v:path arrowok="t"/>
              </v:shape>
            </v:group>
            <v:group style="position:absolute;left:15278;top:1133;width:2;height:9576" coordorigin="15278,1133" coordsize="2,9576">
              <v:shape style="position:absolute;left:15278;top:1133;width:2;height:9576" coordorigin="15278,1133" coordsize="0,9576" path="m15278,1133l15278,10708e" filled="false" stroked="true" strokeweight=".48004pt" strokecolor="#000000">
                <v:path arrowok="t"/>
              </v:shape>
            </v:group>
            <v:group style="position:absolute;left:15283;top:10704;width:785;height:2" coordorigin="15283,10704" coordsize="785,2">
              <v:shape style="position:absolute;left:15283;top:10704;width:785;height:2" coordorigin="15283,10704" coordsize="785,0" path="m15283,10704l16068,10704e" filled="false" stroked="true" strokeweight=".47998pt" strokecolor="#000000">
                <v:path arrowok="t"/>
              </v:shape>
            </v:group>
            <v:group style="position:absolute;left:16073;top:1133;width:2;height:9576" coordorigin="16073,1133" coordsize="2,9576">
              <v:shape style="position:absolute;left:16073;top:1133;width:2;height:9576" coordorigin="16073,1133" coordsize="0,9576" path="m16073,1133l16073,10708e" filled="false" stroked="true" strokeweight=".47998pt" strokecolor="#000000">
                <v:path arrowok="t"/>
              </v:shape>
            </v:group>
            <w10:wrap type="none"/>
          </v:group>
        </w:pic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8"/>
          <w:szCs w:val="18"/>
        </w:rPr>
      </w:pPr>
    </w:p>
    <w:p>
      <w:pPr>
        <w:pStyle w:val="BodyText"/>
        <w:spacing w:line="240" w:lineRule="auto"/>
        <w:ind w:left="0" w:right="0"/>
        <w:jc w:val="right"/>
      </w:pPr>
      <w:r>
        <w:rPr/>
        <w:t>上海承裕</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319" w:lineRule="auto"/>
        <w:ind w:left="235" w:right="0"/>
        <w:jc w:val="both"/>
      </w:pPr>
      <w:r>
        <w:rPr/>
        <w:t>关于本次 重组有关 事项的声 明及承诺 函</w:t>
      </w:r>
    </w:p>
    <w:p>
      <w:pPr>
        <w:spacing w:line="345" w:lineRule="auto" w:before="51"/>
        <w:ind w:left="34" w:right="0" w:firstLine="0"/>
        <w:jc w:val="left"/>
        <w:rPr>
          <w:rFonts w:ascii="宋体" w:hAnsi="宋体" w:cs="宋体" w:eastAsia="宋体" w:hint="default"/>
          <w:sz w:val="16"/>
          <w:szCs w:val="16"/>
        </w:rPr>
      </w:pPr>
      <w:r>
        <w:rPr/>
        <w:br w:type="column"/>
      </w:r>
      <w:r>
        <w:rPr>
          <w:rFonts w:ascii="Times New Roman" w:hAnsi="Times New Roman" w:cs="Times New Roman" w:eastAsia="Times New Roman" w:hint="default"/>
          <w:sz w:val="16"/>
          <w:szCs w:val="16"/>
        </w:rPr>
        <w:t>1</w:t>
      </w:r>
      <w:r>
        <w:rPr>
          <w:rFonts w:ascii="宋体" w:hAnsi="宋体" w:cs="宋体" w:eastAsia="宋体" w:hint="default"/>
          <w:sz w:val="16"/>
          <w:szCs w:val="16"/>
        </w:rPr>
        <w:t>、本企业为依法设立并有效存续的有限合伙企业，不存在根据相关法律、法规、规范性文件及合伙协议规定需予终止的情形，具备参</w:t>
      </w:r>
      <w:r>
        <w:rPr>
          <w:rFonts w:ascii="宋体" w:hAnsi="宋体" w:cs="宋体" w:eastAsia="宋体" w:hint="default"/>
          <w:spacing w:val="-75"/>
          <w:sz w:val="16"/>
          <w:szCs w:val="16"/>
        </w:rPr>
        <w:t> </w:t>
      </w:r>
      <w:r>
        <w:rPr>
          <w:rFonts w:ascii="宋体" w:hAnsi="宋体" w:cs="宋体" w:eastAsia="宋体" w:hint="default"/>
          <w:spacing w:val="-75"/>
          <w:sz w:val="16"/>
          <w:szCs w:val="16"/>
        </w:rPr>
      </w:r>
      <w:r>
        <w:rPr>
          <w:rFonts w:ascii="宋体" w:hAnsi="宋体" w:cs="宋体" w:eastAsia="宋体" w:hint="default"/>
          <w:sz w:val="16"/>
          <w:szCs w:val="16"/>
        </w:rPr>
        <w:t>与本次重组的主体资格。</w:t>
      </w:r>
      <w:r>
        <w:rPr>
          <w:rFonts w:ascii="Times New Roman" w:hAnsi="Times New Roman" w:cs="Times New Roman" w:eastAsia="Times New Roman" w:hint="default"/>
          <w:sz w:val="16"/>
          <w:szCs w:val="16"/>
        </w:rPr>
        <w:t>2</w:t>
      </w:r>
      <w:r>
        <w:rPr>
          <w:rFonts w:ascii="宋体" w:hAnsi="宋体" w:cs="宋体" w:eastAsia="宋体" w:hint="default"/>
          <w:sz w:val="16"/>
          <w:szCs w:val="16"/>
        </w:rPr>
        <w:t>、本企业全体合伙人的认缴出资额均已实缴到位；本企业合伙人的历次财产份额变动均已履行或正在履行相</w:t>
      </w:r>
      <w:r>
        <w:rPr>
          <w:rFonts w:ascii="宋体" w:hAnsi="宋体" w:cs="宋体" w:eastAsia="宋体" w:hint="default"/>
          <w:spacing w:val="-75"/>
          <w:sz w:val="16"/>
          <w:szCs w:val="16"/>
        </w:rPr>
        <w:t> </w:t>
      </w:r>
      <w:r>
        <w:rPr>
          <w:rFonts w:ascii="宋体" w:hAnsi="宋体" w:cs="宋体" w:eastAsia="宋体" w:hint="default"/>
          <w:spacing w:val="-75"/>
          <w:sz w:val="16"/>
          <w:szCs w:val="16"/>
        </w:rPr>
      </w:r>
      <w:r>
        <w:rPr>
          <w:rFonts w:ascii="宋体" w:hAnsi="宋体" w:cs="宋体" w:eastAsia="宋体" w:hint="default"/>
          <w:spacing w:val="-3"/>
          <w:sz w:val="16"/>
          <w:szCs w:val="16"/>
        </w:rPr>
        <w:t>应的程序；本企业的现有合伙人及财产份额比例均合法有效。</w:t>
      </w:r>
      <w:r>
        <w:rPr>
          <w:rFonts w:ascii="Times New Roman" w:hAnsi="Times New Roman" w:cs="Times New Roman" w:eastAsia="Times New Roman" w:hint="default"/>
          <w:spacing w:val="-3"/>
          <w:sz w:val="16"/>
          <w:szCs w:val="16"/>
        </w:rPr>
        <w:t>3</w:t>
      </w:r>
      <w:r>
        <w:rPr>
          <w:rFonts w:ascii="宋体" w:hAnsi="宋体" w:cs="宋体" w:eastAsia="宋体" w:hint="default"/>
          <w:spacing w:val="-3"/>
          <w:sz w:val="16"/>
          <w:szCs w:val="16"/>
        </w:rPr>
        <w:t>、本企业合伙人合法持有本企业财产份额，不存在任何形式的委托持股、</w:t>
      </w:r>
      <w:r>
        <w:rPr>
          <w:rFonts w:ascii="宋体" w:hAnsi="宋体" w:cs="宋体" w:eastAsia="宋体" w:hint="default"/>
          <w:spacing w:val="21"/>
          <w:sz w:val="16"/>
          <w:szCs w:val="16"/>
        </w:rPr>
        <w:t> </w:t>
      </w:r>
      <w:r>
        <w:rPr>
          <w:rFonts w:ascii="宋体" w:hAnsi="宋体" w:cs="宋体" w:eastAsia="宋体" w:hint="default"/>
          <w:spacing w:val="21"/>
          <w:sz w:val="16"/>
          <w:szCs w:val="16"/>
        </w:rPr>
      </w:r>
      <w:r>
        <w:rPr>
          <w:rFonts w:ascii="宋体" w:hAnsi="宋体" w:cs="宋体" w:eastAsia="宋体" w:hint="default"/>
          <w:spacing w:val="-3"/>
          <w:sz w:val="16"/>
          <w:szCs w:val="16"/>
        </w:rPr>
        <w:t>信托持股、收益权安排、代持等情形，不存在出资不实、虚假出资或抽逃出资的情形；该等财产份额不存在纠纷或潜在纠纷，不存在质</w:t>
      </w:r>
      <w:r>
        <w:rPr>
          <w:rFonts w:ascii="宋体" w:hAnsi="宋体" w:cs="宋体" w:eastAsia="宋体" w:hint="default"/>
          <w:spacing w:val="20"/>
          <w:sz w:val="16"/>
          <w:szCs w:val="16"/>
        </w:rPr>
        <w:t> </w:t>
      </w:r>
      <w:r>
        <w:rPr>
          <w:rFonts w:ascii="宋体" w:hAnsi="宋体" w:cs="宋体" w:eastAsia="宋体" w:hint="default"/>
          <w:spacing w:val="20"/>
          <w:sz w:val="16"/>
          <w:szCs w:val="16"/>
        </w:rPr>
      </w:r>
      <w:r>
        <w:rPr>
          <w:rFonts w:ascii="宋体" w:hAnsi="宋体" w:cs="宋体" w:eastAsia="宋体" w:hint="default"/>
          <w:spacing w:val="-3"/>
          <w:sz w:val="16"/>
          <w:szCs w:val="16"/>
        </w:rPr>
        <w:t>押、查封、冻结及其他任何限制性权利或任何权利负担导致限制转让的情形，亦不存在与权属相关的未决或潜在的诉讼、仲裁以及任何</w:t>
      </w:r>
      <w:r>
        <w:rPr>
          <w:rFonts w:ascii="宋体" w:hAnsi="宋体" w:cs="宋体" w:eastAsia="宋体" w:hint="default"/>
          <w:spacing w:val="19"/>
          <w:sz w:val="16"/>
          <w:szCs w:val="16"/>
        </w:rPr>
        <w:t> </w:t>
      </w:r>
      <w:r>
        <w:rPr>
          <w:rFonts w:ascii="宋体" w:hAnsi="宋体" w:cs="宋体" w:eastAsia="宋体" w:hint="default"/>
          <w:spacing w:val="19"/>
          <w:sz w:val="16"/>
          <w:szCs w:val="16"/>
        </w:rPr>
      </w:r>
      <w:r>
        <w:rPr>
          <w:rFonts w:ascii="宋体" w:hAnsi="宋体" w:cs="宋体" w:eastAsia="宋体" w:hint="default"/>
          <w:sz w:val="16"/>
          <w:szCs w:val="16"/>
        </w:rPr>
        <w:t>其他行政或司法程序。</w:t>
      </w:r>
      <w:r>
        <w:rPr>
          <w:rFonts w:ascii="Times New Roman" w:hAnsi="Times New Roman" w:cs="Times New Roman" w:eastAsia="Times New Roman" w:hint="default"/>
          <w:sz w:val="16"/>
          <w:szCs w:val="16"/>
        </w:rPr>
        <w:t>4</w:t>
      </w:r>
      <w:r>
        <w:rPr>
          <w:rFonts w:ascii="宋体" w:hAnsi="宋体" w:cs="宋体" w:eastAsia="宋体" w:hint="default"/>
          <w:sz w:val="16"/>
          <w:szCs w:val="16"/>
        </w:rPr>
        <w:t>、本企业及下属企业（合并报表范围内企业，下同）自设立起至今除持有北京矽成半导体有限公司股权及上海</w:t>
      </w:r>
      <w:r>
        <w:rPr>
          <w:rFonts w:ascii="宋体" w:hAnsi="宋体" w:cs="宋体" w:eastAsia="宋体" w:hint="default"/>
          <w:spacing w:val="-74"/>
          <w:sz w:val="16"/>
          <w:szCs w:val="16"/>
        </w:rPr>
        <w:t> </w:t>
      </w:r>
      <w:r>
        <w:rPr>
          <w:rFonts w:ascii="宋体" w:hAnsi="宋体" w:cs="宋体" w:eastAsia="宋体" w:hint="default"/>
          <w:spacing w:val="-74"/>
          <w:sz w:val="16"/>
          <w:szCs w:val="16"/>
        </w:rPr>
      </w:r>
      <w:r>
        <w:rPr>
          <w:rFonts w:ascii="宋体" w:hAnsi="宋体" w:cs="宋体" w:eastAsia="宋体" w:hint="default"/>
          <w:sz w:val="16"/>
          <w:szCs w:val="16"/>
        </w:rPr>
        <w:t>闪胜创芯投资合伙企业（有限合伙）财产份额外，未开展实际经营活动，不存在违反法律、法规从事经营活动的情况。</w:t>
      </w:r>
      <w:r>
        <w:rPr>
          <w:rFonts w:ascii="Times New Roman" w:hAnsi="Times New Roman" w:cs="Times New Roman" w:eastAsia="Times New Roman" w:hint="default"/>
          <w:sz w:val="16"/>
          <w:szCs w:val="16"/>
        </w:rPr>
        <w:t>5</w:t>
      </w:r>
      <w:r>
        <w:rPr>
          <w:rFonts w:ascii="宋体" w:hAnsi="宋体" w:cs="宋体" w:eastAsia="宋体" w:hint="default"/>
          <w:sz w:val="16"/>
          <w:szCs w:val="16"/>
        </w:rPr>
        <w:t>、本企业及下</w:t>
      </w:r>
      <w:r>
        <w:rPr>
          <w:rFonts w:ascii="宋体" w:hAnsi="宋体" w:cs="宋体" w:eastAsia="宋体" w:hint="default"/>
          <w:spacing w:val="-77"/>
          <w:sz w:val="16"/>
          <w:szCs w:val="16"/>
        </w:rPr>
        <w:t> </w:t>
      </w:r>
      <w:r>
        <w:rPr>
          <w:rFonts w:ascii="宋体" w:hAnsi="宋体" w:cs="宋体" w:eastAsia="宋体" w:hint="default"/>
          <w:spacing w:val="-77"/>
          <w:sz w:val="16"/>
          <w:szCs w:val="16"/>
        </w:rPr>
      </w:r>
      <w:r>
        <w:rPr>
          <w:rFonts w:ascii="宋体" w:hAnsi="宋体" w:cs="宋体" w:eastAsia="宋体" w:hint="default"/>
          <w:spacing w:val="-1"/>
          <w:sz w:val="16"/>
          <w:szCs w:val="16"/>
        </w:rPr>
        <w:t>属企业无自有土地使用权和房屋所有权，所有办公及经营场所均通过租赁方式使用。本企业及下属企业已与出租人签署相关租赁协议，</w:t>
      </w:r>
      <w:r>
        <w:rPr>
          <w:rFonts w:ascii="宋体" w:hAnsi="宋体" w:cs="宋体" w:eastAsia="宋体" w:hint="default"/>
          <w:spacing w:val="-31"/>
          <w:sz w:val="16"/>
          <w:szCs w:val="16"/>
        </w:rPr>
        <w:t> </w:t>
      </w:r>
      <w:r>
        <w:rPr>
          <w:rFonts w:ascii="宋体" w:hAnsi="宋体" w:cs="宋体" w:eastAsia="宋体" w:hint="default"/>
          <w:spacing w:val="-31"/>
          <w:sz w:val="16"/>
          <w:szCs w:val="16"/>
        </w:rPr>
      </w:r>
      <w:r>
        <w:rPr>
          <w:rFonts w:ascii="宋体" w:hAnsi="宋体" w:cs="宋体" w:eastAsia="宋体" w:hint="default"/>
          <w:sz w:val="16"/>
          <w:szCs w:val="16"/>
        </w:rPr>
        <w:t>可以合法占有及使用该等租赁房屋，不存在任何现时或可预见的限制或障碍。</w:t>
      </w:r>
      <w:r>
        <w:rPr>
          <w:rFonts w:ascii="Times New Roman" w:hAnsi="Times New Roman" w:cs="Times New Roman" w:eastAsia="Times New Roman" w:hint="default"/>
          <w:sz w:val="16"/>
          <w:szCs w:val="16"/>
        </w:rPr>
        <w:t>6</w:t>
      </w:r>
      <w:r>
        <w:rPr>
          <w:rFonts w:ascii="宋体" w:hAnsi="宋体" w:cs="宋体" w:eastAsia="宋体" w:hint="default"/>
          <w:sz w:val="16"/>
          <w:szCs w:val="16"/>
        </w:rPr>
        <w:t>、本企业及下属企业的主要经营性资产不存在被采取查</w:t>
      </w:r>
      <w:r>
        <w:rPr>
          <w:rFonts w:ascii="宋体" w:hAnsi="宋体" w:cs="宋体" w:eastAsia="宋体" w:hint="default"/>
          <w:spacing w:val="-74"/>
          <w:sz w:val="16"/>
          <w:szCs w:val="16"/>
        </w:rPr>
        <w:t> </w:t>
      </w:r>
      <w:r>
        <w:rPr>
          <w:rFonts w:ascii="宋体" w:hAnsi="宋体" w:cs="宋体" w:eastAsia="宋体" w:hint="default"/>
          <w:spacing w:val="-74"/>
          <w:sz w:val="16"/>
          <w:szCs w:val="16"/>
        </w:rPr>
      </w:r>
      <w:r>
        <w:rPr>
          <w:rFonts w:ascii="宋体" w:hAnsi="宋体" w:cs="宋体" w:eastAsia="宋体" w:hint="default"/>
          <w:sz w:val="16"/>
          <w:szCs w:val="16"/>
        </w:rPr>
        <w:t>封、扣押等强制性措施的情形，本企业使用生产经营性资产不存在法律障碍。</w:t>
      </w:r>
      <w:r>
        <w:rPr>
          <w:rFonts w:ascii="Times New Roman" w:hAnsi="Times New Roman" w:cs="Times New Roman" w:eastAsia="Times New Roman" w:hint="default"/>
          <w:sz w:val="16"/>
          <w:szCs w:val="16"/>
        </w:rPr>
        <w:t>7</w:t>
      </w:r>
      <w:r>
        <w:rPr>
          <w:rFonts w:ascii="宋体" w:hAnsi="宋体" w:cs="宋体" w:eastAsia="宋体" w:hint="default"/>
          <w:sz w:val="16"/>
          <w:szCs w:val="16"/>
        </w:rPr>
        <w:t>、本企业及下属企业近三年不存在因环境保护、知识产</w:t>
      </w:r>
      <w:r>
        <w:rPr>
          <w:rFonts w:ascii="宋体" w:hAnsi="宋体" w:cs="宋体" w:eastAsia="宋体" w:hint="default"/>
          <w:spacing w:val="-74"/>
          <w:sz w:val="16"/>
          <w:szCs w:val="16"/>
        </w:rPr>
        <w:t> </w:t>
      </w:r>
      <w:r>
        <w:rPr>
          <w:rFonts w:ascii="宋体" w:hAnsi="宋体" w:cs="宋体" w:eastAsia="宋体" w:hint="default"/>
          <w:spacing w:val="-74"/>
          <w:sz w:val="16"/>
          <w:szCs w:val="16"/>
        </w:rPr>
      </w:r>
      <w:r>
        <w:rPr>
          <w:rFonts w:ascii="宋体" w:hAnsi="宋体" w:cs="宋体" w:eastAsia="宋体" w:hint="default"/>
          <w:sz w:val="16"/>
          <w:szCs w:val="16"/>
        </w:rPr>
        <w:t>权、产品质量、劳动安全和人身权利等原因而产生的侵权之债。</w:t>
      </w:r>
      <w:r>
        <w:rPr>
          <w:rFonts w:ascii="Times New Roman" w:hAnsi="Times New Roman" w:cs="Times New Roman" w:eastAsia="Times New Roman" w:hint="default"/>
          <w:sz w:val="16"/>
          <w:szCs w:val="16"/>
        </w:rPr>
        <w:t>8</w:t>
      </w:r>
      <w:r>
        <w:rPr>
          <w:rFonts w:ascii="宋体" w:hAnsi="宋体" w:cs="宋体" w:eastAsia="宋体" w:hint="default"/>
          <w:sz w:val="16"/>
          <w:szCs w:val="16"/>
        </w:rPr>
        <w:t>、本企业会计基础工作规范，财务报表的编制符合企业会计准则和相</w:t>
      </w:r>
      <w:r>
        <w:rPr>
          <w:rFonts w:ascii="宋体" w:hAnsi="宋体" w:cs="宋体" w:eastAsia="宋体" w:hint="default"/>
          <w:spacing w:val="-74"/>
          <w:sz w:val="16"/>
          <w:szCs w:val="16"/>
        </w:rPr>
        <w:t> </w:t>
      </w:r>
      <w:r>
        <w:rPr>
          <w:rFonts w:ascii="宋体" w:hAnsi="宋体" w:cs="宋体" w:eastAsia="宋体" w:hint="default"/>
          <w:spacing w:val="-74"/>
          <w:sz w:val="16"/>
          <w:szCs w:val="16"/>
        </w:rPr>
      </w:r>
      <w:r>
        <w:rPr>
          <w:rFonts w:ascii="宋体" w:hAnsi="宋体" w:cs="宋体" w:eastAsia="宋体" w:hint="default"/>
          <w:spacing w:val="-1"/>
          <w:sz w:val="16"/>
          <w:szCs w:val="16"/>
        </w:rPr>
        <w:t>关会计制度的规定，在所有重大方面公允地反映财务状况、经营成果和现金流量，且严格按照国家及地方适用法律法规缴纳各种税款。</w:t>
      </w:r>
      <w:r>
        <w:rPr>
          <w:rFonts w:ascii="宋体" w:hAnsi="宋体" w:cs="宋体" w:eastAsia="宋体" w:hint="default"/>
          <w:spacing w:val="-31"/>
          <w:sz w:val="16"/>
          <w:szCs w:val="16"/>
        </w:rPr>
        <w:t> </w:t>
      </w:r>
      <w:r>
        <w:rPr>
          <w:rFonts w:ascii="宋体" w:hAnsi="宋体" w:cs="宋体" w:eastAsia="宋体" w:hint="default"/>
          <w:spacing w:val="-31"/>
          <w:sz w:val="16"/>
          <w:szCs w:val="16"/>
        </w:rPr>
      </w:r>
      <w:r>
        <w:rPr>
          <w:rFonts w:ascii="Times New Roman" w:hAnsi="Times New Roman" w:cs="Times New Roman" w:eastAsia="Times New Roman" w:hint="default"/>
          <w:sz w:val="16"/>
          <w:szCs w:val="16"/>
        </w:rPr>
        <w:t>9</w:t>
      </w:r>
      <w:r>
        <w:rPr>
          <w:rFonts w:ascii="宋体" w:hAnsi="宋体" w:cs="宋体" w:eastAsia="宋体" w:hint="default"/>
          <w:sz w:val="16"/>
          <w:szCs w:val="16"/>
        </w:rPr>
        <w:t>、本企业及下属企业近三年不存在因违反工商、税务、土地、环保、社保等方面的法律法规而受到重大行政处罚的情形。</w:t>
      </w:r>
      <w:r>
        <w:rPr>
          <w:rFonts w:ascii="Times New Roman" w:hAnsi="Times New Roman" w:cs="Times New Roman" w:eastAsia="Times New Roman" w:hint="default"/>
          <w:sz w:val="16"/>
          <w:szCs w:val="16"/>
        </w:rPr>
        <w:t>10</w:t>
      </w:r>
      <w:r>
        <w:rPr>
          <w:rFonts w:ascii="宋体" w:hAnsi="宋体" w:cs="宋体" w:eastAsia="宋体" w:hint="default"/>
          <w:sz w:val="16"/>
          <w:szCs w:val="16"/>
        </w:rPr>
        <w:t>、本企业</w:t>
      </w:r>
    </w:p>
    <w:p>
      <w:pPr>
        <w:spacing w:line="179" w:lineRule="exact" w:before="12"/>
        <w:ind w:left="34" w:right="0" w:firstLine="0"/>
        <w:jc w:val="left"/>
        <w:rPr>
          <w:rFonts w:ascii="宋体" w:hAnsi="宋体" w:cs="宋体" w:eastAsia="宋体" w:hint="default"/>
          <w:sz w:val="16"/>
          <w:szCs w:val="16"/>
        </w:rPr>
      </w:pPr>
      <w:r>
        <w:rPr>
          <w:rFonts w:ascii="宋体" w:hAnsi="宋体" w:cs="宋体" w:eastAsia="宋体" w:hint="default"/>
          <w:spacing w:val="-3"/>
          <w:sz w:val="16"/>
          <w:szCs w:val="16"/>
        </w:rPr>
        <w:t>及下属企业不存在尚未了结或可预见的、足以影响企业存续及持续经营的重大诉讼、仲裁案件。</w:t>
      </w:r>
      <w:r>
        <w:rPr>
          <w:rFonts w:ascii="Times New Roman" w:hAnsi="Times New Roman" w:cs="Times New Roman" w:eastAsia="Times New Roman" w:hint="default"/>
          <w:spacing w:val="-3"/>
          <w:sz w:val="16"/>
          <w:szCs w:val="16"/>
        </w:rPr>
        <w:t>11</w:t>
      </w:r>
      <w:r>
        <w:rPr>
          <w:rFonts w:ascii="宋体" w:hAnsi="宋体" w:cs="宋体" w:eastAsia="宋体" w:hint="default"/>
          <w:spacing w:val="-3"/>
          <w:sz w:val="16"/>
          <w:szCs w:val="16"/>
        </w:rPr>
        <w:t>、本企业及下属企业不存在资金被合</w:t>
      </w:r>
    </w:p>
    <w:p>
      <w:pPr>
        <w:pStyle w:val="BodyText"/>
        <w:spacing w:line="170" w:lineRule="exact"/>
        <w:ind w:left="0" w:right="43"/>
        <w:jc w:val="righ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p>
    <w:p>
      <w:pPr>
        <w:spacing w:line="142" w:lineRule="exact" w:before="0"/>
        <w:ind w:left="34" w:right="0" w:firstLine="0"/>
        <w:jc w:val="left"/>
        <w:rPr>
          <w:rFonts w:ascii="宋体" w:hAnsi="宋体" w:cs="宋体" w:eastAsia="宋体" w:hint="default"/>
          <w:sz w:val="16"/>
          <w:szCs w:val="16"/>
        </w:rPr>
      </w:pPr>
      <w:r>
        <w:rPr>
          <w:rFonts w:ascii="宋体" w:hAnsi="宋体" w:cs="宋体" w:eastAsia="宋体" w:hint="default"/>
          <w:spacing w:val="-3"/>
          <w:sz w:val="16"/>
          <w:szCs w:val="16"/>
        </w:rPr>
        <w:t>伙人及其关联方、实际控制人及其控制的其他企业占用的情形，亦不存在对外担保或为关联方提供担保的情形。</w:t>
      </w:r>
      <w:r>
        <w:rPr>
          <w:rFonts w:ascii="Times New Roman" w:hAnsi="Times New Roman" w:cs="Times New Roman" w:eastAsia="Times New Roman" w:hint="default"/>
          <w:spacing w:val="-3"/>
          <w:sz w:val="16"/>
          <w:szCs w:val="16"/>
        </w:rPr>
        <w:t>12</w:t>
      </w:r>
      <w:r>
        <w:rPr>
          <w:rFonts w:ascii="宋体" w:hAnsi="宋体" w:cs="宋体" w:eastAsia="宋体" w:hint="default"/>
          <w:spacing w:val="-3"/>
          <w:sz w:val="16"/>
          <w:szCs w:val="16"/>
        </w:rPr>
        <w:t>、本企业有效存续并</w:t>
      </w:r>
    </w:p>
    <w:p>
      <w:pPr>
        <w:pStyle w:val="BodyText"/>
        <w:spacing w:line="170" w:lineRule="exact"/>
        <w:ind w:left="0" w:right="0"/>
        <w:jc w:val="right"/>
        <w:rPr>
          <w:rFonts w:ascii="Times New Roman" w:hAnsi="Times New Roman" w:cs="Times New Roman" w:eastAsia="Times New Roman" w:hint="default"/>
        </w:rPr>
      </w:pPr>
      <w:r>
        <w:rPr>
          <w:rFonts w:ascii="Times New Roman" w:hAnsi="Times New Roman" w:cs="Times New Roman" w:eastAsia="Times New Roman" w:hint="default"/>
        </w:rPr>
        <w:t>09 </w:t>
      </w:r>
      <w:r>
        <w:rPr/>
        <w:t>月</w:t>
      </w:r>
      <w:r>
        <w:rPr>
          <w:spacing w:val="-43"/>
        </w:rPr>
        <w:t> </w:t>
      </w:r>
      <w:r>
        <w:rPr>
          <w:rFonts w:ascii="Times New Roman" w:hAnsi="Times New Roman" w:cs="Times New Roman" w:eastAsia="Times New Roman" w:hint="default"/>
        </w:rPr>
        <w:t>10</w:t>
      </w:r>
    </w:p>
    <w:p>
      <w:pPr>
        <w:spacing w:line="136" w:lineRule="exact" w:before="0"/>
        <w:ind w:left="34" w:right="0" w:firstLine="0"/>
        <w:jc w:val="left"/>
        <w:rPr>
          <w:rFonts w:ascii="宋体" w:hAnsi="宋体" w:cs="宋体" w:eastAsia="宋体" w:hint="default"/>
          <w:sz w:val="16"/>
          <w:szCs w:val="16"/>
        </w:rPr>
      </w:pPr>
      <w:r>
        <w:rPr>
          <w:rFonts w:ascii="宋体" w:hAnsi="宋体" w:cs="宋体" w:eastAsia="宋体" w:hint="default"/>
          <w:spacing w:val="-3"/>
          <w:sz w:val="16"/>
          <w:szCs w:val="16"/>
        </w:rPr>
        <w:t>正常、持续运营，不存在任何第三方向法院或者政府主管部门申请破产、清算、解散、接管或者其他足以导致本企业终止或者丧失经营</w:t>
      </w:r>
    </w:p>
    <w:p>
      <w:pPr>
        <w:pStyle w:val="BodyText"/>
        <w:spacing w:line="169" w:lineRule="exact"/>
        <w:ind w:left="0" w:right="451"/>
        <w:jc w:val="right"/>
      </w:pPr>
      <w:r>
        <w:rPr/>
        <w:t>日</w:t>
      </w:r>
    </w:p>
    <w:p>
      <w:pPr>
        <w:spacing w:line="191" w:lineRule="exact" w:before="0"/>
        <w:ind w:left="34" w:right="0" w:firstLine="0"/>
        <w:jc w:val="left"/>
        <w:rPr>
          <w:rFonts w:ascii="宋体" w:hAnsi="宋体" w:cs="宋体" w:eastAsia="宋体" w:hint="default"/>
          <w:sz w:val="16"/>
          <w:szCs w:val="16"/>
        </w:rPr>
      </w:pPr>
      <w:r>
        <w:rPr/>
        <w:pict>
          <v:shape style="position:absolute;margin-left:671.141663pt;margin-top:6.985054pt;width:52.8pt;height:213.4pt;mso-position-horizontal-relative:page;mso-position-vertical-relative:paragraph;z-index:-1612984" type="#_x0000_t202" filled="false" stroked="false">
            <v:textbox inset="0,0,0,0">
              <w:txbxContent>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before="133"/>
                    <w:ind w:left="0" w:right="0" w:firstLine="0"/>
                    <w:jc w:val="left"/>
                    <w:rPr>
                      <w:rFonts w:ascii="宋体" w:hAnsi="宋体" w:cs="宋体" w:eastAsia="宋体" w:hint="default"/>
                      <w:sz w:val="16"/>
                      <w:szCs w:val="16"/>
                    </w:rPr>
                  </w:pPr>
                  <w:r>
                    <w:rPr>
                      <w:rFonts w:ascii="宋体" w:hAnsi="宋体" w:cs="宋体" w:eastAsia="宋体" w:hint="default"/>
                      <w:sz w:val="16"/>
                      <w:szCs w:val="16"/>
                    </w:rPr>
                    <w:t>认，</w:t>
                  </w:r>
                </w:p>
              </w:txbxContent>
            </v:textbox>
            <w10:wrap type="none"/>
          </v:shape>
        </w:pict>
      </w:r>
      <w:r>
        <w:rPr>
          <w:rFonts w:ascii="宋体" w:hAnsi="宋体" w:cs="宋体" w:eastAsia="宋体" w:hint="default"/>
          <w:spacing w:val="-3"/>
          <w:sz w:val="16"/>
          <w:szCs w:val="16"/>
        </w:rPr>
        <w:t>能力的情形。</w:t>
      </w:r>
      <w:r>
        <w:rPr>
          <w:rFonts w:ascii="Times New Roman" w:hAnsi="Times New Roman" w:cs="Times New Roman" w:eastAsia="Times New Roman" w:hint="default"/>
          <w:spacing w:val="-3"/>
          <w:sz w:val="16"/>
          <w:szCs w:val="16"/>
        </w:rPr>
        <w:t>13</w:t>
      </w:r>
      <w:r>
        <w:rPr>
          <w:rFonts w:ascii="宋体" w:hAnsi="宋体" w:cs="宋体" w:eastAsia="宋体" w:hint="default"/>
          <w:spacing w:val="-3"/>
          <w:sz w:val="16"/>
          <w:szCs w:val="16"/>
        </w:rPr>
        <w:t>、本承诺人已履行北京矽成章程规定的全部出资义务，不存在任何虚假出资、抽逃出资等违反作为股东应承担的义务及</w:t>
      </w:r>
    </w:p>
    <w:p>
      <w:pPr>
        <w:spacing w:line="345" w:lineRule="auto" w:before="90"/>
        <w:ind w:left="34" w:right="0" w:firstLine="0"/>
        <w:jc w:val="left"/>
        <w:rPr>
          <w:rFonts w:ascii="宋体" w:hAnsi="宋体" w:cs="宋体" w:eastAsia="宋体" w:hint="default"/>
          <w:sz w:val="16"/>
          <w:szCs w:val="16"/>
        </w:rPr>
      </w:pPr>
      <w:r>
        <w:rPr>
          <w:rFonts w:ascii="宋体" w:hAnsi="宋体" w:cs="宋体" w:eastAsia="宋体" w:hint="default"/>
          <w:spacing w:val="-3"/>
          <w:sz w:val="16"/>
          <w:szCs w:val="16"/>
        </w:rPr>
        <w:t>责任的行为，不存在可能影响北京矽成合法存续的情况。</w:t>
      </w:r>
      <w:r>
        <w:rPr>
          <w:rFonts w:ascii="Times New Roman" w:hAnsi="Times New Roman" w:cs="Times New Roman" w:eastAsia="Times New Roman" w:hint="default"/>
          <w:spacing w:val="-3"/>
          <w:sz w:val="16"/>
          <w:szCs w:val="16"/>
        </w:rPr>
        <w:t>14</w:t>
      </w:r>
      <w:r>
        <w:rPr>
          <w:rFonts w:ascii="宋体" w:hAnsi="宋体" w:cs="宋体" w:eastAsia="宋体" w:hint="default"/>
          <w:spacing w:val="-3"/>
          <w:sz w:val="16"/>
          <w:szCs w:val="16"/>
        </w:rPr>
        <w:t>、本承诺人依法拥有所持北京矽成相应股权的全部法律权益，包括但不限于</w:t>
      </w:r>
      <w:r>
        <w:rPr>
          <w:rFonts w:ascii="宋体" w:hAnsi="宋体" w:cs="宋体" w:eastAsia="宋体" w:hint="default"/>
          <w:spacing w:val="22"/>
          <w:sz w:val="16"/>
          <w:szCs w:val="16"/>
        </w:rPr>
        <w:t> </w:t>
      </w:r>
      <w:r>
        <w:rPr>
          <w:rFonts w:ascii="宋体" w:hAnsi="宋体" w:cs="宋体" w:eastAsia="宋体" w:hint="default"/>
          <w:spacing w:val="22"/>
          <w:sz w:val="16"/>
          <w:szCs w:val="16"/>
        </w:rPr>
      </w:r>
      <w:r>
        <w:rPr>
          <w:rFonts w:ascii="宋体" w:hAnsi="宋体" w:cs="宋体" w:eastAsia="宋体" w:hint="default"/>
          <w:spacing w:val="-3"/>
          <w:sz w:val="16"/>
          <w:szCs w:val="16"/>
        </w:rPr>
        <w:t>占有、使用、收益及处分等完整权利；本承诺人所持北京矽成相应股权权属清晰，不存在任何现时或潜在的权属纠纷或争议，不存在质</w:t>
      </w:r>
      <w:r>
        <w:rPr>
          <w:rFonts w:ascii="宋体" w:hAnsi="宋体" w:cs="宋体" w:eastAsia="宋体" w:hint="default"/>
          <w:spacing w:val="19"/>
          <w:sz w:val="16"/>
          <w:szCs w:val="16"/>
        </w:rPr>
        <w:t> </w:t>
      </w:r>
      <w:r>
        <w:rPr>
          <w:rFonts w:ascii="宋体" w:hAnsi="宋体" w:cs="宋体" w:eastAsia="宋体" w:hint="default"/>
          <w:spacing w:val="19"/>
          <w:sz w:val="16"/>
          <w:szCs w:val="16"/>
        </w:rPr>
      </w:r>
      <w:r>
        <w:rPr>
          <w:rFonts w:ascii="宋体" w:hAnsi="宋体" w:cs="宋体" w:eastAsia="宋体" w:hint="default"/>
          <w:spacing w:val="-3"/>
          <w:sz w:val="16"/>
          <w:szCs w:val="16"/>
        </w:rPr>
        <w:t>押、查封、冻结或其他任何限制或禁止转让的情形，亦不存在尚未了结或可预见的诉讼、仲裁、司法强制执行等程序或任何妨碍权属转</w:t>
      </w:r>
      <w:r>
        <w:rPr>
          <w:rFonts w:ascii="宋体" w:hAnsi="宋体" w:cs="宋体" w:eastAsia="宋体" w:hint="default"/>
          <w:spacing w:val="20"/>
          <w:sz w:val="16"/>
          <w:szCs w:val="16"/>
        </w:rPr>
        <w:t> </w:t>
      </w:r>
      <w:r>
        <w:rPr>
          <w:rFonts w:ascii="宋体" w:hAnsi="宋体" w:cs="宋体" w:eastAsia="宋体" w:hint="default"/>
          <w:spacing w:val="20"/>
          <w:sz w:val="16"/>
          <w:szCs w:val="16"/>
        </w:rPr>
      </w:r>
      <w:r>
        <w:rPr>
          <w:rFonts w:ascii="宋体" w:hAnsi="宋体" w:cs="宋体" w:eastAsia="宋体" w:hint="default"/>
          <w:spacing w:val="-3"/>
          <w:sz w:val="16"/>
          <w:szCs w:val="16"/>
        </w:rPr>
        <w:t>移的其他情形。</w:t>
      </w:r>
      <w:r>
        <w:rPr>
          <w:rFonts w:ascii="Times New Roman" w:hAnsi="Times New Roman" w:cs="Times New Roman" w:eastAsia="Times New Roman" w:hint="default"/>
          <w:spacing w:val="-3"/>
          <w:sz w:val="16"/>
          <w:szCs w:val="16"/>
        </w:rPr>
        <w:t>15</w:t>
      </w:r>
      <w:r>
        <w:rPr>
          <w:rFonts w:ascii="宋体" w:hAnsi="宋体" w:cs="宋体" w:eastAsia="宋体" w:hint="default"/>
          <w:spacing w:val="-3"/>
          <w:sz w:val="16"/>
          <w:szCs w:val="16"/>
        </w:rPr>
        <w:t>、本承诺人真实持有北京矽成相应股权，不存在通过委托持股、信托持股、收益权安排、期权安排、权益代持或其他</w:t>
      </w:r>
      <w:r>
        <w:rPr>
          <w:rFonts w:ascii="宋体" w:hAnsi="宋体" w:cs="宋体" w:eastAsia="宋体" w:hint="default"/>
          <w:spacing w:val="20"/>
          <w:sz w:val="16"/>
          <w:szCs w:val="16"/>
        </w:rPr>
        <w:t> </w:t>
      </w:r>
      <w:r>
        <w:rPr>
          <w:rFonts w:ascii="宋体" w:hAnsi="宋体" w:cs="宋体" w:eastAsia="宋体" w:hint="default"/>
          <w:spacing w:val="20"/>
          <w:sz w:val="16"/>
          <w:szCs w:val="16"/>
        </w:rPr>
      </w:r>
      <w:r>
        <w:rPr>
          <w:rFonts w:ascii="宋体" w:hAnsi="宋体" w:cs="宋体" w:eastAsia="宋体" w:hint="default"/>
          <w:spacing w:val="-4"/>
          <w:sz w:val="16"/>
          <w:szCs w:val="16"/>
        </w:rPr>
        <w:t>方式代表其他方利益的情形，亦不存在与任何第三方就所持北京矽成相应股权行使表决权的协议或类似安排。</w:t>
      </w:r>
      <w:r>
        <w:rPr>
          <w:rFonts w:ascii="Times New Roman" w:hAnsi="Times New Roman" w:cs="Times New Roman" w:eastAsia="Times New Roman" w:hint="default"/>
          <w:spacing w:val="-4"/>
          <w:sz w:val="16"/>
          <w:szCs w:val="16"/>
        </w:rPr>
        <w:t>16</w:t>
      </w:r>
      <w:r>
        <w:rPr>
          <w:rFonts w:ascii="宋体" w:hAnsi="宋体" w:cs="宋体" w:eastAsia="宋体" w:hint="default"/>
          <w:spacing w:val="-4"/>
          <w:sz w:val="16"/>
          <w:szCs w:val="16"/>
        </w:rPr>
        <w:t>、本承诺人进一步确</w:t>
      </w:r>
      <w:r>
        <w:rPr>
          <w:rFonts w:ascii="宋体" w:hAnsi="宋体" w:cs="宋体" w:eastAsia="宋体" w:hint="default"/>
          <w:spacing w:val="2"/>
          <w:sz w:val="16"/>
          <w:szCs w:val="16"/>
        </w:rPr>
        <w:t> </w:t>
      </w:r>
      <w:r>
        <w:rPr>
          <w:rFonts w:ascii="宋体" w:hAnsi="宋体" w:cs="宋体" w:eastAsia="宋体" w:hint="default"/>
          <w:spacing w:val="2"/>
          <w:sz w:val="16"/>
          <w:szCs w:val="16"/>
        </w:rPr>
      </w:r>
      <w:r>
        <w:rPr>
          <w:rFonts w:ascii="宋体" w:hAnsi="宋体" w:cs="宋体" w:eastAsia="宋体" w:hint="default"/>
          <w:spacing w:val="-3"/>
          <w:sz w:val="16"/>
          <w:szCs w:val="16"/>
        </w:rPr>
        <w:t>截至本函出具之日，不存在因本承诺人的原因导致任何第三方根据任何选择权或协议（包括转换权及优先购买权）要求发行、转换、分</w:t>
      </w:r>
      <w:r>
        <w:rPr>
          <w:rFonts w:ascii="宋体" w:hAnsi="宋体" w:cs="宋体" w:eastAsia="宋体" w:hint="default"/>
          <w:spacing w:val="17"/>
          <w:sz w:val="16"/>
          <w:szCs w:val="16"/>
        </w:rPr>
        <w:t> </w:t>
      </w:r>
      <w:r>
        <w:rPr>
          <w:rFonts w:ascii="宋体" w:hAnsi="宋体" w:cs="宋体" w:eastAsia="宋体" w:hint="default"/>
          <w:spacing w:val="17"/>
          <w:sz w:val="16"/>
          <w:szCs w:val="16"/>
        </w:rPr>
      </w:r>
      <w:r>
        <w:rPr>
          <w:rFonts w:ascii="宋体" w:hAnsi="宋体" w:cs="宋体" w:eastAsia="宋体" w:hint="default"/>
          <w:spacing w:val="-3"/>
          <w:sz w:val="16"/>
          <w:szCs w:val="16"/>
        </w:rPr>
        <w:t>配、出售或转让北京矽成相应股权，从而获取北京矽成相应股权或对应的利润分配权的情形。</w:t>
      </w:r>
      <w:r>
        <w:rPr>
          <w:rFonts w:ascii="Times New Roman" w:hAnsi="Times New Roman" w:cs="Times New Roman" w:eastAsia="Times New Roman" w:hint="default"/>
          <w:spacing w:val="-3"/>
          <w:sz w:val="16"/>
          <w:szCs w:val="16"/>
        </w:rPr>
        <w:t>17</w:t>
      </w:r>
      <w:r>
        <w:rPr>
          <w:rFonts w:ascii="宋体" w:hAnsi="宋体" w:cs="宋体" w:eastAsia="宋体" w:hint="default"/>
          <w:spacing w:val="-3"/>
          <w:sz w:val="16"/>
          <w:szCs w:val="16"/>
        </w:rPr>
        <w:t>、本承诺人用于认缴北京矽成出资的资</w:t>
      </w:r>
      <w:r>
        <w:rPr>
          <w:rFonts w:ascii="宋体" w:hAnsi="宋体" w:cs="宋体" w:eastAsia="宋体" w:hint="default"/>
          <w:spacing w:val="22"/>
          <w:sz w:val="16"/>
          <w:szCs w:val="16"/>
        </w:rPr>
        <w:t> </w:t>
      </w:r>
      <w:r>
        <w:rPr>
          <w:rFonts w:ascii="宋体" w:hAnsi="宋体" w:cs="宋体" w:eastAsia="宋体" w:hint="default"/>
          <w:spacing w:val="22"/>
          <w:sz w:val="16"/>
          <w:szCs w:val="16"/>
        </w:rPr>
      </w:r>
      <w:r>
        <w:rPr>
          <w:rFonts w:ascii="宋体" w:hAnsi="宋体" w:cs="宋体" w:eastAsia="宋体" w:hint="default"/>
          <w:spacing w:val="-3"/>
          <w:sz w:val="16"/>
          <w:szCs w:val="16"/>
        </w:rPr>
        <w:t>金来源合法，均来源于本承诺人的自有资金或自筹资金。</w:t>
      </w:r>
      <w:r>
        <w:rPr>
          <w:rFonts w:ascii="Times New Roman" w:hAnsi="Times New Roman" w:cs="Times New Roman" w:eastAsia="Times New Roman" w:hint="default"/>
          <w:spacing w:val="-3"/>
          <w:sz w:val="16"/>
          <w:szCs w:val="16"/>
        </w:rPr>
        <w:t>18</w:t>
      </w:r>
      <w:r>
        <w:rPr>
          <w:rFonts w:ascii="宋体" w:hAnsi="宋体" w:cs="宋体" w:eastAsia="宋体" w:hint="default"/>
          <w:spacing w:val="-3"/>
          <w:sz w:val="16"/>
          <w:szCs w:val="16"/>
        </w:rPr>
        <w:t>、本承诺人将尽最大努力保持北京矽成股权结构的完整性，促使北京矽成不</w:t>
      </w:r>
      <w:r>
        <w:rPr>
          <w:rFonts w:ascii="宋体" w:hAnsi="宋体" w:cs="宋体" w:eastAsia="宋体" w:hint="default"/>
          <w:spacing w:val="22"/>
          <w:sz w:val="16"/>
          <w:szCs w:val="16"/>
        </w:rPr>
        <w:t> </w:t>
      </w:r>
      <w:r>
        <w:rPr>
          <w:rFonts w:ascii="宋体" w:hAnsi="宋体" w:cs="宋体" w:eastAsia="宋体" w:hint="default"/>
          <w:spacing w:val="22"/>
          <w:sz w:val="16"/>
          <w:szCs w:val="16"/>
        </w:rPr>
      </w:r>
      <w:r>
        <w:rPr>
          <w:rFonts w:ascii="宋体" w:hAnsi="宋体" w:cs="宋体" w:eastAsia="宋体" w:hint="default"/>
          <w:spacing w:val="-3"/>
          <w:sz w:val="16"/>
          <w:szCs w:val="16"/>
        </w:rPr>
        <w:t>进行与正常生产经营无关的资产处置、对外担保、利润分配或增加重大债务之行为，使北京矽成现有相关负责人和主要员工继续为北京</w:t>
      </w:r>
      <w:r>
        <w:rPr>
          <w:rFonts w:ascii="宋体" w:hAnsi="宋体" w:cs="宋体" w:eastAsia="宋体" w:hint="default"/>
          <w:spacing w:val="20"/>
          <w:sz w:val="16"/>
          <w:szCs w:val="16"/>
        </w:rPr>
        <w:t> </w:t>
      </w:r>
      <w:r>
        <w:rPr>
          <w:rFonts w:ascii="宋体" w:hAnsi="宋体" w:cs="宋体" w:eastAsia="宋体" w:hint="default"/>
          <w:spacing w:val="20"/>
          <w:sz w:val="16"/>
          <w:szCs w:val="16"/>
        </w:rPr>
      </w:r>
      <w:r>
        <w:rPr>
          <w:rFonts w:ascii="宋体" w:hAnsi="宋体" w:cs="宋体" w:eastAsia="宋体" w:hint="default"/>
          <w:spacing w:val="-3"/>
          <w:w w:val="100"/>
          <w:sz w:val="16"/>
          <w:szCs w:val="16"/>
        </w:rPr>
        <w:t>矽成提供服务，并保持北京矽成同客户、供应商、债权人（如有）、商业伙伴和其它与其有业务联络的人的重大现有关系，确保北京矽</w:t>
      </w:r>
      <w:r>
        <w:rPr>
          <w:rFonts w:ascii="宋体" w:hAnsi="宋体" w:cs="宋体" w:eastAsia="宋体" w:hint="default"/>
          <w:spacing w:val="-26"/>
          <w:w w:val="100"/>
          <w:sz w:val="16"/>
          <w:szCs w:val="16"/>
        </w:rPr>
        <w:t> </w:t>
      </w:r>
      <w:r>
        <w:rPr>
          <w:rFonts w:ascii="宋体" w:hAnsi="宋体" w:cs="宋体" w:eastAsia="宋体" w:hint="default"/>
          <w:spacing w:val="-26"/>
          <w:w w:val="100"/>
          <w:sz w:val="16"/>
          <w:szCs w:val="16"/>
        </w:rPr>
      </w:r>
      <w:r>
        <w:rPr>
          <w:rFonts w:ascii="宋体" w:hAnsi="宋体" w:cs="宋体" w:eastAsia="宋体" w:hint="default"/>
          <w:spacing w:val="-4"/>
          <w:w w:val="100"/>
          <w:sz w:val="16"/>
          <w:szCs w:val="16"/>
        </w:rPr>
        <w:t>成的商誉和业务的连续性不会受到破坏。</w:t>
      </w:r>
      <w:r>
        <w:rPr>
          <w:rFonts w:ascii="Times New Roman" w:hAnsi="Times New Roman" w:cs="Times New Roman" w:eastAsia="Times New Roman" w:hint="default"/>
          <w:spacing w:val="-4"/>
          <w:w w:val="100"/>
          <w:sz w:val="16"/>
          <w:szCs w:val="16"/>
        </w:rPr>
        <w:t>19</w:t>
      </w:r>
      <w:r>
        <w:rPr>
          <w:rFonts w:ascii="宋体" w:hAnsi="宋体" w:cs="宋体" w:eastAsia="宋体" w:hint="default"/>
          <w:spacing w:val="-4"/>
          <w:w w:val="100"/>
          <w:sz w:val="16"/>
          <w:szCs w:val="16"/>
        </w:rPr>
        <w:t>、本承诺人未享有与北京矽成相关的股东特殊权利（如有），包括但不限于股权回购请求权、</w:t>
      </w:r>
      <w:r>
        <w:rPr>
          <w:rFonts w:ascii="宋体" w:hAnsi="宋体" w:cs="宋体" w:eastAsia="宋体" w:hint="default"/>
          <w:spacing w:val="-44"/>
          <w:w w:val="100"/>
          <w:sz w:val="16"/>
          <w:szCs w:val="16"/>
        </w:rPr>
        <w:t> </w:t>
      </w:r>
      <w:r>
        <w:rPr>
          <w:rFonts w:ascii="宋体" w:hAnsi="宋体" w:cs="宋体" w:eastAsia="宋体" w:hint="default"/>
          <w:spacing w:val="-44"/>
          <w:w w:val="100"/>
          <w:sz w:val="16"/>
          <w:szCs w:val="16"/>
        </w:rPr>
      </w:r>
      <w:r>
        <w:rPr>
          <w:rFonts w:ascii="宋体" w:hAnsi="宋体" w:cs="宋体" w:eastAsia="宋体" w:hint="default"/>
          <w:spacing w:val="-3"/>
          <w:sz w:val="16"/>
          <w:szCs w:val="16"/>
        </w:rPr>
        <w:t>优先认购权、随售权等。</w:t>
      </w:r>
      <w:r>
        <w:rPr>
          <w:rFonts w:ascii="Times New Roman" w:hAnsi="Times New Roman" w:cs="Times New Roman" w:eastAsia="Times New Roman" w:hint="default"/>
          <w:spacing w:val="-3"/>
          <w:sz w:val="16"/>
          <w:szCs w:val="16"/>
        </w:rPr>
        <w:t>20</w:t>
      </w:r>
      <w:r>
        <w:rPr>
          <w:rFonts w:ascii="宋体" w:hAnsi="宋体" w:cs="宋体" w:eastAsia="宋体" w:hint="default"/>
          <w:spacing w:val="-3"/>
          <w:sz w:val="16"/>
          <w:szCs w:val="16"/>
        </w:rPr>
        <w:t>、本承诺人不存在可能对本次重组产生影响的相关投资协议。本承诺人不存在让渡经营管理权、收益权等影</w:t>
      </w:r>
      <w:r>
        <w:rPr>
          <w:rFonts w:ascii="宋体" w:hAnsi="宋体" w:cs="宋体" w:eastAsia="宋体" w:hint="default"/>
          <w:spacing w:val="22"/>
          <w:sz w:val="16"/>
          <w:szCs w:val="16"/>
        </w:rPr>
        <w:t> </w:t>
      </w:r>
      <w:r>
        <w:rPr>
          <w:rFonts w:ascii="宋体" w:hAnsi="宋体" w:cs="宋体" w:eastAsia="宋体" w:hint="default"/>
          <w:spacing w:val="22"/>
          <w:sz w:val="16"/>
          <w:szCs w:val="16"/>
        </w:rPr>
      </w:r>
      <w:r>
        <w:rPr>
          <w:rFonts w:ascii="宋体" w:hAnsi="宋体" w:cs="宋体" w:eastAsia="宋体" w:hint="default"/>
          <w:sz w:val="16"/>
          <w:szCs w:val="16"/>
        </w:rPr>
        <w:t>响资产独立性的协议或其他安排。</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316" w:lineRule="auto" w:before="161"/>
        <w:ind w:left="120" w:right="-20"/>
        <w:jc w:val="left"/>
      </w:pPr>
      <w:r>
        <w:rPr/>
        <w:t>无承诺期 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319" w:lineRule="auto"/>
        <w:ind w:left="34" w:right="132"/>
        <w:jc w:val="left"/>
      </w:pPr>
      <w:r>
        <w:rPr/>
        <w:t>报告期 内，承诺 人遵守了 所做的承 诺。</w:t>
      </w:r>
    </w:p>
    <w:p>
      <w:pPr>
        <w:spacing w:after="0" w:line="319" w:lineRule="auto"/>
        <w:jc w:val="left"/>
        <w:sectPr>
          <w:type w:val="continuous"/>
          <w:pgSz w:w="16840" w:h="11910" w:orient="landscape"/>
          <w:pgMar w:top="1060" w:bottom="1160" w:left="660" w:right="660"/>
          <w:cols w:num="5" w:equalWidth="0">
            <w:col w:w="2557" w:space="40"/>
            <w:col w:w="957" w:space="40"/>
            <w:col w:w="10100" w:space="40"/>
            <w:col w:w="841" w:space="40"/>
            <w:col w:w="905"/>
          </w:cols>
        </w:sectPr>
      </w:pPr>
    </w:p>
    <w:p>
      <w:pPr>
        <w:spacing w:line="240" w:lineRule="auto" w:before="2"/>
        <w:rPr>
          <w:rFonts w:ascii="Times New Roman" w:hAnsi="Times New Roman" w:cs="Times New Roman" w:eastAsia="Times New Roman" w:hint="default"/>
          <w:sz w:val="3"/>
          <w:szCs w:val="3"/>
        </w:rPr>
      </w:pPr>
      <w:r>
        <w:rPr/>
        <w:pict>
          <v:group style="position:absolute;margin-left:684.700012pt;margin-top:57.236008pt;width:39.25pt;height:93.65pt;mso-position-horizontal-relative:page;mso-position-vertical-relative:page;z-index:-1612936" coordorigin="13694,1145" coordsize="785,1873">
            <v:shape style="position:absolute;left:13694;top:1145;width:785;height:1873" coordorigin="13694,1145" coordsize="785,1873" path="m13694,3017l14479,3017,14479,1145,13694,1145,13694,3017xe" filled="true" fillcolor="#ffffff" stroked="false">
              <v:path arrowok="t"/>
              <v:fill type="solid"/>
            </v:shape>
            <w10:wrap type="none"/>
          </v:group>
        </w:pict>
      </w:r>
    </w:p>
    <w:tbl>
      <w:tblPr>
        <w:tblW w:w="0" w:type="auto"/>
        <w:jc w:val="left"/>
        <w:tblInd w:w="103" w:type="dxa"/>
        <w:tblLayout w:type="fixed"/>
        <w:tblCellMar>
          <w:top w:w="0" w:type="dxa"/>
          <w:left w:w="0" w:type="dxa"/>
          <w:bottom w:w="0" w:type="dxa"/>
          <w:right w:w="0" w:type="dxa"/>
        </w:tblCellMar>
        <w:tblLook w:val="01E0"/>
      </w:tblPr>
      <w:tblGrid>
        <w:gridCol w:w="1700"/>
        <w:gridCol w:w="998"/>
        <w:gridCol w:w="794"/>
        <w:gridCol w:w="9429"/>
        <w:gridCol w:w="794"/>
        <w:gridCol w:w="795"/>
        <w:gridCol w:w="794"/>
      </w:tblGrid>
      <w:tr>
        <w:trPr>
          <w:trHeight w:val="376" w:hRule="exact"/>
        </w:trPr>
        <w:tc>
          <w:tcPr>
            <w:tcW w:w="1700" w:type="dxa"/>
            <w:vMerge w:val="restart"/>
            <w:tcBorders>
              <w:top w:val="single" w:sz="15" w:space="0" w:color="000000"/>
              <w:left w:val="single" w:sz="4" w:space="0" w:color="000000"/>
              <w:right w:val="single" w:sz="4" w:space="0" w:color="000000"/>
            </w:tcBorders>
            <w:shd w:val="clear" w:color="auto" w:fill="D2D2D2"/>
          </w:tcPr>
          <w:p>
            <w:pPr/>
          </w:p>
        </w:tc>
        <w:tc>
          <w:tcPr>
            <w:tcW w:w="998" w:type="dxa"/>
            <w:tcBorders>
              <w:top w:val="single" w:sz="15" w:space="0" w:color="000000"/>
              <w:left w:val="single" w:sz="4" w:space="0" w:color="000000"/>
              <w:bottom w:val="nil" w:sz="6" w:space="0" w:color="auto"/>
              <w:right w:val="single" w:sz="4" w:space="0" w:color="000000"/>
            </w:tcBorders>
          </w:tcPr>
          <w:p>
            <w:pPr/>
          </w:p>
        </w:tc>
        <w:tc>
          <w:tcPr>
            <w:tcW w:w="794" w:type="dxa"/>
            <w:tcBorders>
              <w:top w:val="single" w:sz="15" w:space="0" w:color="000000"/>
              <w:left w:val="single" w:sz="4" w:space="0" w:color="000000"/>
              <w:bottom w:val="nil" w:sz="6" w:space="0" w:color="auto"/>
              <w:right w:val="single" w:sz="4" w:space="0" w:color="000000"/>
            </w:tcBorders>
          </w:tcPr>
          <w:p>
            <w:pPr/>
          </w:p>
        </w:tc>
        <w:tc>
          <w:tcPr>
            <w:tcW w:w="942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、本承诺人已向上市公司及为本次重组提供审计、评估、法律及财务顾问专业服务的中介机构提供与本次重组相关的信</w:t>
            </w:r>
          </w:p>
        </w:tc>
        <w:tc>
          <w:tcPr>
            <w:tcW w:w="794" w:type="dxa"/>
            <w:tcBorders>
              <w:top w:val="single" w:sz="15" w:space="0" w:color="000000"/>
              <w:left w:val="single" w:sz="4" w:space="0" w:color="000000"/>
              <w:bottom w:val="nil" w:sz="6" w:space="0" w:color="auto"/>
              <w:right w:val="single" w:sz="4" w:space="0" w:color="000000"/>
            </w:tcBorders>
          </w:tcPr>
          <w:p>
            <w:pPr/>
          </w:p>
        </w:tc>
        <w:tc>
          <w:tcPr>
            <w:tcW w:w="795" w:type="dxa"/>
            <w:tcBorders>
              <w:top w:val="single" w:sz="15" w:space="0" w:color="000000"/>
              <w:left w:val="single" w:sz="4" w:space="0" w:color="000000"/>
              <w:bottom w:val="nil" w:sz="6" w:space="0" w:color="auto"/>
              <w:right w:val="single" w:sz="4" w:space="0" w:color="000000"/>
            </w:tcBorders>
          </w:tcPr>
          <w:p>
            <w:pPr/>
          </w:p>
        </w:tc>
        <w:tc>
          <w:tcPr>
            <w:tcW w:w="794" w:type="dxa"/>
            <w:tcBorders>
              <w:top w:val="single" w:sz="6" w:space="0" w:color="000000"/>
              <w:left w:val="single" w:sz="4" w:space="0" w:color="000000"/>
              <w:bottom w:val="nil" w:sz="6" w:space="0" w:color="auto"/>
              <w:right w:val="single" w:sz="4" w:space="0" w:color="000000"/>
            </w:tcBorders>
          </w:tcPr>
          <w:p>
            <w:pPr/>
          </w:p>
        </w:tc>
      </w:tr>
      <w:tr>
        <w:trPr>
          <w:trHeight w:val="307"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屹唐投资、</w:t>
            </w: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1" w:right="0"/>
              <w:jc w:val="left"/>
              <w:rPr>
                <w:rFonts w:ascii="宋体" w:hAnsi="宋体" w:cs="宋体" w:eastAsia="宋体" w:hint="default"/>
                <w:sz w:val="18"/>
                <w:szCs w:val="18"/>
              </w:rPr>
            </w:pPr>
            <w:r>
              <w:rPr>
                <w:rFonts w:ascii="宋体" w:hAnsi="宋体" w:cs="宋体" w:eastAsia="宋体" w:hint="default"/>
                <w:sz w:val="18"/>
                <w:szCs w:val="18"/>
              </w:rPr>
              <w:t>息和文件资</w:t>
            </w:r>
            <w:r>
              <w:rPr>
                <w:rFonts w:ascii="宋体" w:hAnsi="宋体" w:cs="宋体" w:eastAsia="宋体" w:hint="default"/>
                <w:spacing w:val="-27"/>
                <w:sz w:val="18"/>
                <w:szCs w:val="18"/>
              </w:rPr>
              <w:t>料</w:t>
            </w:r>
            <w:r>
              <w:rPr>
                <w:rFonts w:ascii="宋体" w:hAnsi="宋体" w:cs="宋体" w:eastAsia="宋体" w:hint="default"/>
                <w:sz w:val="18"/>
                <w:szCs w:val="18"/>
              </w:rPr>
              <w:t>（包括但不限于原始书面材料</w:t>
            </w:r>
            <w:r>
              <w:rPr>
                <w:rFonts w:ascii="宋体" w:hAnsi="宋体" w:cs="宋体" w:eastAsia="宋体" w:hint="default"/>
                <w:spacing w:val="-27"/>
                <w:sz w:val="18"/>
                <w:szCs w:val="18"/>
              </w:rPr>
              <w:t>、</w:t>
            </w:r>
            <w:r>
              <w:rPr>
                <w:rFonts w:ascii="宋体" w:hAnsi="宋体" w:cs="宋体" w:eastAsia="宋体" w:hint="default"/>
                <w:sz w:val="18"/>
                <w:szCs w:val="18"/>
              </w:rPr>
              <w:t>副本材料或口头信息等</w:t>
            </w:r>
            <w:r>
              <w:rPr>
                <w:rFonts w:ascii="宋体" w:hAnsi="宋体" w:cs="宋体" w:eastAsia="宋体" w:hint="default"/>
                <w:spacing w:val="-92"/>
                <w:sz w:val="18"/>
                <w:szCs w:val="18"/>
              </w:rPr>
              <w:t>）</w:t>
            </w:r>
            <w:r>
              <w:rPr>
                <w:rFonts w:ascii="宋体" w:hAnsi="宋体" w:cs="宋体" w:eastAsia="宋体" w:hint="default"/>
                <w:spacing w:val="-27"/>
                <w:sz w:val="18"/>
                <w:szCs w:val="18"/>
              </w:rPr>
              <w:t>，</w:t>
            </w:r>
            <w:r>
              <w:rPr>
                <w:rFonts w:ascii="宋体" w:hAnsi="宋体" w:cs="宋体" w:eastAsia="宋体" w:hint="default"/>
                <w:sz w:val="18"/>
                <w:szCs w:val="18"/>
              </w:rPr>
              <w:t>本承诺人保证所</w:t>
            </w:r>
            <w:r>
              <w:rPr>
                <w:rFonts w:ascii="宋体" w:hAnsi="宋体" w:cs="宋体" w:eastAsia="宋体" w:hint="default"/>
                <w:spacing w:val="2"/>
                <w:sz w:val="18"/>
                <w:szCs w:val="18"/>
              </w:rPr>
              <w:t>提</w:t>
            </w:r>
            <w:r>
              <w:rPr>
                <w:rFonts w:ascii="宋体" w:hAnsi="宋体" w:cs="宋体" w:eastAsia="宋体" w:hint="default"/>
                <w:sz w:val="18"/>
                <w:szCs w:val="18"/>
              </w:rPr>
              <w:t>供的文件资料的副本或复印件</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华创芯原、</w:t>
            </w: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1" w:right="0"/>
              <w:jc w:val="left"/>
              <w:rPr>
                <w:rFonts w:ascii="宋体" w:hAnsi="宋体" w:cs="宋体" w:eastAsia="宋体" w:hint="default"/>
                <w:sz w:val="18"/>
                <w:szCs w:val="18"/>
              </w:rPr>
            </w:pPr>
            <w:r>
              <w:rPr>
                <w:rFonts w:ascii="宋体" w:hAnsi="宋体" w:cs="宋体" w:eastAsia="宋体" w:hint="default"/>
                <w:sz w:val="18"/>
                <w:szCs w:val="18"/>
              </w:rPr>
              <w:t>与正本或原件一致，且该等文件资料的签字与印章都是真实的，该等文件的签署人已经合法授权并有效签署该文件；保</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上海瑾矽、</w:t>
            </w: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证所提供的信息和文件资料的真实性、准确性和完整性，保证不存在虚假记载、误导性陈述或者重大遗漏，并承担个别</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民和志威、</w:t>
            </w: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和连带的法律责任。</w:t>
            </w:r>
            <w:r>
              <w:rPr>
                <w:rFonts w:ascii="Times New Roman" w:hAnsi="Times New Roman" w:cs="Times New Roman" w:eastAsia="Times New Roman" w:hint="default"/>
                <w:sz w:val="18"/>
                <w:szCs w:val="18"/>
              </w:rPr>
              <w:t>2</w:t>
            </w:r>
            <w:r>
              <w:rPr>
                <w:rFonts w:ascii="宋体" w:hAnsi="宋体" w:cs="宋体" w:eastAsia="宋体" w:hint="default"/>
                <w:sz w:val="18"/>
                <w:szCs w:val="18"/>
              </w:rPr>
              <w:t>、本承诺人保证为本次重组所出具的说明及确认均为真实、准确和完整的，不存在任何虚假记载</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9" w:space="0" w:color="FFFFFF"/>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闪胜创芯、</w:t>
            </w:r>
          </w:p>
        </w:tc>
        <w:tc>
          <w:tcPr>
            <w:tcW w:w="794" w:type="dxa"/>
            <w:tcBorders>
              <w:top w:val="nil" w:sz="6" w:space="0" w:color="auto"/>
              <w:left w:val="single" w:sz="9" w:space="0" w:color="FFFFFF"/>
              <w:bottom w:val="nil" w:sz="6" w:space="0" w:color="auto"/>
              <w:right w:val="single" w:sz="4" w:space="0" w:color="000000"/>
            </w:tcBorders>
          </w:tcPr>
          <w:p>
            <w:pPr>
              <w:pStyle w:val="TableParagraph"/>
              <w:spacing w:line="240" w:lineRule="auto" w:before="8"/>
              <w:ind w:left="15" w:right="0"/>
              <w:jc w:val="left"/>
              <w:rPr>
                <w:rFonts w:ascii="宋体" w:hAnsi="宋体" w:cs="宋体" w:eastAsia="宋体" w:hint="default"/>
                <w:sz w:val="18"/>
                <w:szCs w:val="18"/>
              </w:rPr>
            </w:pPr>
            <w:r>
              <w:rPr>
                <w:rFonts w:ascii="宋体" w:hAnsi="宋体" w:cs="宋体" w:eastAsia="宋体" w:hint="default"/>
                <w:sz w:val="18"/>
                <w:szCs w:val="18"/>
              </w:rPr>
              <w:t>关于提供</w:t>
            </w: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2"/>
                <w:sz w:val="18"/>
                <w:szCs w:val="18"/>
              </w:rPr>
              <w:t>误导性陈述或者重大遗漏，并承诺承担个别和连带的法律责任。</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、在本次重组期间，本承诺人将依照相关法律法规、中</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报告期</w:t>
            </w:r>
          </w:p>
        </w:tc>
      </w:tr>
      <w:tr>
        <w:trPr>
          <w:trHeight w:val="937"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9" w:space="0" w:color="FFFFFF"/>
            </w:tcBorders>
          </w:tcPr>
          <w:p>
            <w:pPr>
              <w:pStyle w:val="TableParagraph"/>
              <w:spacing w:line="309" w:lineRule="auto" w:before="5"/>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WM</w:t>
            </w:r>
            <w:r>
              <w:rPr>
                <w:rFonts w:ascii="宋体" w:hAnsi="宋体" w:cs="宋体" w:eastAsia="宋体" w:hint="default"/>
                <w:sz w:val="18"/>
                <w:szCs w:val="18"/>
              </w:rPr>
              <w:t>、</w:t>
            </w:r>
            <w:r>
              <w:rPr>
                <w:rFonts w:ascii="Times New Roman" w:hAnsi="Times New Roman" w:cs="Times New Roman" w:eastAsia="Times New Roman" w:hint="default"/>
                <w:sz w:val="18"/>
                <w:szCs w:val="18"/>
              </w:rPr>
              <w:t>AM</w:t>
            </w:r>
            <w:r>
              <w:rPr>
                <w:rFonts w:ascii="宋体" w:hAnsi="宋体" w:cs="宋体" w:eastAsia="宋体" w:hint="default"/>
                <w:sz w:val="18"/>
                <w:szCs w:val="18"/>
              </w:rPr>
              <w:t>、 厦门芯华、 武岳峰集</w:t>
            </w:r>
          </w:p>
        </w:tc>
        <w:tc>
          <w:tcPr>
            <w:tcW w:w="794" w:type="dxa"/>
            <w:tcBorders>
              <w:top w:val="nil" w:sz="6" w:space="0" w:color="auto"/>
              <w:left w:val="single" w:sz="9" w:space="0" w:color="FFFFFF"/>
              <w:bottom w:val="nil" w:sz="6" w:space="0" w:color="auto"/>
              <w:right w:val="single" w:sz="4" w:space="0" w:color="000000"/>
            </w:tcBorders>
          </w:tcPr>
          <w:p>
            <w:pPr>
              <w:pStyle w:val="TableParagraph"/>
              <w:spacing w:line="319" w:lineRule="auto" w:before="5"/>
              <w:ind w:left="15" w:right="41"/>
              <w:jc w:val="both"/>
              <w:rPr>
                <w:rFonts w:ascii="宋体" w:hAnsi="宋体" w:cs="宋体" w:eastAsia="宋体" w:hint="default"/>
                <w:sz w:val="18"/>
                <w:szCs w:val="18"/>
              </w:rPr>
            </w:pPr>
            <w:r>
              <w:rPr>
                <w:rFonts w:ascii="宋体" w:hAnsi="宋体" w:cs="宋体" w:eastAsia="宋体" w:hint="default"/>
                <w:sz w:val="18"/>
                <w:szCs w:val="18"/>
              </w:rPr>
              <w:t>信息真实 性、准确 性和完整</w:t>
            </w: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319" w:lineRule="auto" w:before="5"/>
              <w:ind w:left="21" w:right="20"/>
              <w:jc w:val="both"/>
              <w:rPr>
                <w:rFonts w:ascii="宋体" w:hAnsi="宋体" w:cs="宋体" w:eastAsia="宋体" w:hint="default"/>
                <w:sz w:val="18"/>
                <w:szCs w:val="18"/>
              </w:rPr>
            </w:pPr>
            <w:r>
              <w:rPr>
                <w:rFonts w:ascii="宋体" w:hAnsi="宋体" w:cs="宋体" w:eastAsia="宋体" w:hint="default"/>
                <w:sz w:val="18"/>
                <w:szCs w:val="18"/>
              </w:rPr>
              <w:t>国证监会深交所的有关规定，及时向上市公司提供本次重组相关信息，保证所提供信息的真实性、准确性和完整性，保 证不存在虚假记载、误导性陈述或者重大遗漏，并承担个别和连带的法律责任；如因提供的信息存在虚假记载、误导性 </w:t>
            </w:r>
            <w:r>
              <w:rPr>
                <w:rFonts w:ascii="宋体" w:hAnsi="宋体" w:cs="宋体" w:eastAsia="宋体" w:hint="default"/>
                <w:spacing w:val="-2"/>
                <w:sz w:val="18"/>
                <w:szCs w:val="18"/>
              </w:rPr>
              <w:t>陈述或者重大遗漏，给上市公司或者投资者造成损失的，将依法承担赔偿责任。</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、本承诺人保证，如本次交易所提供或</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5"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4" w:right="39"/>
              <w:jc w:val="left"/>
              <w:rPr>
                <w:rFonts w:ascii="宋体" w:hAnsi="宋体" w:cs="宋体" w:eastAsia="宋体" w:hint="default"/>
                <w:sz w:val="18"/>
                <w:szCs w:val="18"/>
              </w:rPr>
            </w:pPr>
            <w:r>
              <w:rPr>
                <w:rFonts w:ascii="宋体" w:hAnsi="宋体" w:cs="宋体" w:eastAsia="宋体" w:hint="default"/>
                <w:sz w:val="18"/>
                <w:szCs w:val="18"/>
              </w:rPr>
              <w:t>无承诺期 限</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319" w:lineRule="auto" w:before="5"/>
              <w:ind w:left="23" w:right="38"/>
              <w:jc w:val="both"/>
              <w:rPr>
                <w:rFonts w:ascii="宋体" w:hAnsi="宋体" w:cs="宋体" w:eastAsia="宋体" w:hint="default"/>
                <w:sz w:val="18"/>
                <w:szCs w:val="18"/>
              </w:rPr>
            </w:pPr>
            <w:r>
              <w:rPr>
                <w:rFonts w:ascii="宋体" w:hAnsi="宋体" w:cs="宋体" w:eastAsia="宋体" w:hint="default"/>
                <w:sz w:val="18"/>
                <w:szCs w:val="18"/>
              </w:rPr>
              <w:t>内，承诺 人均遵守 了所做的</w:t>
            </w:r>
          </w:p>
        </w:tc>
      </w:tr>
      <w:tr>
        <w:trPr>
          <w:trHeight w:val="307"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9" w:space="0" w:color="FFFFFF"/>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电、上海集</w:t>
            </w:r>
          </w:p>
        </w:tc>
        <w:tc>
          <w:tcPr>
            <w:tcW w:w="794" w:type="dxa"/>
            <w:tcBorders>
              <w:top w:val="nil" w:sz="6" w:space="0" w:color="auto"/>
              <w:left w:val="single" w:sz="9" w:space="0" w:color="FFFFFF"/>
              <w:bottom w:val="nil" w:sz="6" w:space="0" w:color="auto"/>
              <w:right w:val="single" w:sz="4" w:space="0" w:color="000000"/>
            </w:tcBorders>
          </w:tcPr>
          <w:p>
            <w:pPr>
              <w:pStyle w:val="TableParagraph"/>
              <w:spacing w:line="240" w:lineRule="auto" w:before="5"/>
              <w:ind w:left="15" w:right="0"/>
              <w:jc w:val="left"/>
              <w:rPr>
                <w:rFonts w:ascii="宋体" w:hAnsi="宋体" w:cs="宋体" w:eastAsia="宋体" w:hint="default"/>
                <w:sz w:val="18"/>
                <w:szCs w:val="18"/>
              </w:rPr>
            </w:pPr>
            <w:r>
              <w:rPr>
                <w:rFonts w:ascii="宋体" w:hAnsi="宋体" w:cs="宋体" w:eastAsia="宋体" w:hint="default"/>
                <w:sz w:val="18"/>
                <w:szCs w:val="18"/>
              </w:rPr>
              <w:t>性承诺</w:t>
            </w: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披露的信息涉嫌虚假记载、误导性陈述或者重大遗漏，被司法机关立案侦查或者被中国证监会立案调查的，在形成调查</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承诺。</w:t>
            </w: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岑、北京青</w:t>
            </w: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结论以前，本承诺人不转让在上市公司拥有权益的股份，并于收到立案稽查通知的两个交易日内将暂停转让的书面申请</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禾、万丰投</w:t>
            </w: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和股票账户提交上市公司董事会，由上市公司董事会代本承诺人向深交所和中登公司申请锁定；未在两个交易日内提交</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资、承裕投</w:t>
            </w: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锁定申请的，本承诺人授权上市公司董事会核实后直接向深交所和中登公司报送本承诺人的身份信息和账户信息并申请</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w:t>
            </w: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锁定；上市公司董事会未向深交所和中登公司报送本承诺人的身份信息和账户信息的，本承诺人授权深交所和中登公司</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700" w:type="dxa"/>
            <w:vMerge/>
            <w:tcBorders>
              <w:left w:val="single" w:sz="4" w:space="0" w:color="000000"/>
              <w:bottom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94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直接锁定相关股份。如调查结论发现存在违法违规情节，本承诺人承诺锁定股份自愿用于相关投资者赔偿安排。</w:t>
            </w:r>
          </w:p>
        </w:tc>
        <w:tc>
          <w:tcPr>
            <w:tcW w:w="794" w:type="dxa"/>
            <w:tcBorders>
              <w:top w:val="nil" w:sz="6" w:space="0" w:color="auto"/>
              <w:left w:val="single" w:sz="4" w:space="0" w:color="000000"/>
              <w:bottom w:val="single" w:sz="4" w:space="0" w:color="000000"/>
              <w:right w:val="single" w:sz="4" w:space="0" w:color="000000"/>
            </w:tcBorders>
          </w:tcPr>
          <w:p>
            <w:pPr/>
          </w:p>
        </w:tc>
        <w:tc>
          <w:tcPr>
            <w:tcW w:w="795"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660" w:right="640"/>
        </w:sectPr>
      </w:pPr>
    </w:p>
    <w:p>
      <w:pPr>
        <w:spacing w:line="240" w:lineRule="auto" w:before="2"/>
        <w:rPr>
          <w:rFonts w:ascii="Times New Roman" w:hAnsi="Times New Roman" w:cs="Times New Roman" w:eastAsia="Times New Roman" w:hint="default"/>
          <w:sz w:val="3"/>
          <w:szCs w:val="3"/>
        </w:rPr>
      </w:pPr>
      <w:r>
        <w:rPr/>
        <w:pict>
          <v:group style="position:absolute;margin-left:684.700012pt;margin-top:57.240005pt;width:39.25pt;height:124.85pt;mso-position-horizontal-relative:page;mso-position-vertical-relative:page;z-index:-1612912" coordorigin="13694,1145" coordsize="785,2497">
            <v:shape style="position:absolute;left:13694;top:1145;width:785;height:2497" coordorigin="13694,1145" coordsize="785,2497" path="m13694,3641l14479,3641,14479,1145,13694,1145,13694,3641xe" filled="true" fillcolor="#ffffff" stroked="false">
              <v:path arrowok="t"/>
              <v:fill type="solid"/>
            </v:shape>
            <w10:wrap type="none"/>
          </v:group>
        </w:pict>
      </w:r>
    </w:p>
    <w:tbl>
      <w:tblPr>
        <w:tblW w:w="0" w:type="auto"/>
        <w:jc w:val="left"/>
        <w:tblInd w:w="103" w:type="dxa"/>
        <w:tblLayout w:type="fixed"/>
        <w:tblCellMar>
          <w:top w:w="0" w:type="dxa"/>
          <w:left w:w="0" w:type="dxa"/>
          <w:bottom w:w="0" w:type="dxa"/>
          <w:right w:w="0" w:type="dxa"/>
        </w:tblCellMar>
        <w:tblLook w:val="01E0"/>
      </w:tblPr>
      <w:tblGrid>
        <w:gridCol w:w="1700"/>
        <w:gridCol w:w="998"/>
        <w:gridCol w:w="794"/>
        <w:gridCol w:w="9429"/>
        <w:gridCol w:w="794"/>
        <w:gridCol w:w="795"/>
        <w:gridCol w:w="794"/>
      </w:tblGrid>
      <w:tr>
        <w:trPr>
          <w:trHeight w:val="376" w:hRule="exact"/>
        </w:trPr>
        <w:tc>
          <w:tcPr>
            <w:tcW w:w="1700" w:type="dxa"/>
            <w:vMerge w:val="restart"/>
            <w:tcBorders>
              <w:top w:val="single" w:sz="15" w:space="0" w:color="000000"/>
              <w:left w:val="single" w:sz="4" w:space="0" w:color="000000"/>
              <w:right w:val="single" w:sz="4" w:space="0" w:color="000000"/>
            </w:tcBorders>
            <w:shd w:val="clear" w:color="auto" w:fill="D2D2D2"/>
          </w:tcPr>
          <w:p>
            <w:pPr/>
          </w:p>
        </w:tc>
        <w:tc>
          <w:tcPr>
            <w:tcW w:w="998" w:type="dxa"/>
            <w:tcBorders>
              <w:top w:val="single" w:sz="15" w:space="0" w:color="000000"/>
              <w:left w:val="single" w:sz="4" w:space="0" w:color="000000"/>
              <w:bottom w:val="nil" w:sz="6" w:space="0" w:color="auto"/>
              <w:right w:val="single" w:sz="4" w:space="0" w:color="000000"/>
            </w:tcBorders>
          </w:tcPr>
          <w:p>
            <w:pPr/>
          </w:p>
        </w:tc>
        <w:tc>
          <w:tcPr>
            <w:tcW w:w="794" w:type="dxa"/>
            <w:tcBorders>
              <w:top w:val="single" w:sz="15" w:space="0" w:color="000000"/>
              <w:left w:val="single" w:sz="4" w:space="0" w:color="000000"/>
              <w:bottom w:val="nil" w:sz="6" w:space="0" w:color="auto"/>
              <w:right w:val="single" w:sz="4" w:space="0" w:color="000000"/>
            </w:tcBorders>
          </w:tcPr>
          <w:p>
            <w:pPr/>
          </w:p>
        </w:tc>
        <w:tc>
          <w:tcPr>
            <w:tcW w:w="942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、关于主体资格：本承诺人为依法设立并有效存续的企业，不存在根据法律、法规、规范性文件及合伙协议需予以终止</w:t>
            </w:r>
          </w:p>
        </w:tc>
        <w:tc>
          <w:tcPr>
            <w:tcW w:w="794" w:type="dxa"/>
            <w:tcBorders>
              <w:top w:val="single" w:sz="15" w:space="0" w:color="000000"/>
              <w:left w:val="single" w:sz="4" w:space="0" w:color="000000"/>
              <w:bottom w:val="nil" w:sz="6" w:space="0" w:color="auto"/>
              <w:right w:val="single" w:sz="4" w:space="0" w:color="000000"/>
            </w:tcBorders>
          </w:tcPr>
          <w:p>
            <w:pPr/>
          </w:p>
        </w:tc>
        <w:tc>
          <w:tcPr>
            <w:tcW w:w="795" w:type="dxa"/>
            <w:tcBorders>
              <w:top w:val="single" w:sz="15" w:space="0" w:color="000000"/>
              <w:left w:val="single" w:sz="4" w:space="0" w:color="000000"/>
              <w:bottom w:val="nil" w:sz="6" w:space="0" w:color="auto"/>
              <w:right w:val="single" w:sz="4" w:space="0" w:color="000000"/>
            </w:tcBorders>
          </w:tcPr>
          <w:p>
            <w:pPr/>
          </w:p>
        </w:tc>
        <w:tc>
          <w:tcPr>
            <w:tcW w:w="794" w:type="dxa"/>
            <w:tcBorders>
              <w:top w:val="single" w:sz="6" w:space="0" w:color="000000"/>
              <w:left w:val="single" w:sz="4" w:space="0" w:color="000000"/>
              <w:bottom w:val="nil" w:sz="6" w:space="0" w:color="auto"/>
              <w:right w:val="single" w:sz="4" w:space="0" w:color="000000"/>
            </w:tcBorders>
          </w:tcPr>
          <w:p>
            <w:pPr/>
          </w:p>
        </w:tc>
      </w:tr>
      <w:tr>
        <w:trPr>
          <w:trHeight w:val="311"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1" w:right="0"/>
              <w:jc w:val="left"/>
              <w:rPr>
                <w:rFonts w:ascii="宋体" w:hAnsi="宋体" w:cs="宋体" w:eastAsia="宋体" w:hint="default"/>
                <w:sz w:val="18"/>
                <w:szCs w:val="18"/>
              </w:rPr>
            </w:pPr>
            <w:r>
              <w:rPr>
                <w:rFonts w:ascii="宋体" w:hAnsi="宋体" w:cs="宋体" w:eastAsia="宋体" w:hint="default"/>
                <w:sz w:val="18"/>
                <w:szCs w:val="18"/>
              </w:rPr>
              <w:t>的情形，具备参与、实施本次重组及享有</w:t>
            </w:r>
            <w:r>
              <w:rPr>
                <w:rFonts w:ascii="Times New Roman" w:hAnsi="Times New Roman" w:cs="Times New Roman" w:eastAsia="Times New Roman" w:hint="default"/>
                <w:sz w:val="18"/>
                <w:szCs w:val="18"/>
              </w:rPr>
              <w:t>/</w:t>
            </w:r>
            <w:r>
              <w:rPr>
                <w:rFonts w:ascii="宋体" w:hAnsi="宋体" w:cs="宋体" w:eastAsia="宋体" w:hint="default"/>
                <w:sz w:val="18"/>
                <w:szCs w:val="18"/>
              </w:rPr>
              <w:t>承担与本次重组相关的权利义务的合法主体资格。</w:t>
            </w:r>
            <w:r>
              <w:rPr>
                <w:rFonts w:ascii="Times New Roman" w:hAnsi="Times New Roman" w:cs="Times New Roman" w:eastAsia="Times New Roman" w:hint="default"/>
                <w:sz w:val="18"/>
                <w:szCs w:val="18"/>
              </w:rPr>
              <w:t>2</w:t>
            </w:r>
            <w:r>
              <w:rPr>
                <w:rFonts w:ascii="宋体" w:hAnsi="宋体" w:cs="宋体" w:eastAsia="宋体" w:hint="default"/>
                <w:sz w:val="18"/>
                <w:szCs w:val="18"/>
              </w:rPr>
              <w:t>、关于标的企业出资及资</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金来源：本承诺人已履行标的企业章程规定的全部出资义务，用于认缴标的企业出资的资金来源合法，均来源于本承诺</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屹唐投资、</w:t>
            </w: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人的自有资金或自筹资金。本承诺人及上层出资人（直至最终实益持有人）均不存在委托持股、信托持股等安排，亦不</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华创芯原、</w:t>
            </w: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1" w:right="0"/>
              <w:jc w:val="left"/>
              <w:rPr>
                <w:rFonts w:ascii="宋体" w:hAnsi="宋体" w:cs="宋体" w:eastAsia="宋体" w:hint="default"/>
                <w:sz w:val="18"/>
                <w:szCs w:val="18"/>
              </w:rPr>
            </w:pPr>
            <w:r>
              <w:rPr>
                <w:rFonts w:ascii="宋体" w:hAnsi="宋体" w:cs="宋体" w:eastAsia="宋体" w:hint="default"/>
                <w:sz w:val="18"/>
                <w:szCs w:val="18"/>
              </w:rPr>
              <w:t>存在资产管理计划、信托计划、契约型基金或其他具有杠杆融资性质的结构化产品等安排。</w:t>
            </w:r>
            <w:r>
              <w:rPr>
                <w:rFonts w:ascii="Times New Roman" w:hAnsi="Times New Roman" w:cs="Times New Roman" w:eastAsia="Times New Roman" w:hint="default"/>
                <w:sz w:val="18"/>
                <w:szCs w:val="18"/>
              </w:rPr>
              <w:t>3</w:t>
            </w:r>
            <w:r>
              <w:rPr>
                <w:rFonts w:ascii="宋体" w:hAnsi="宋体" w:cs="宋体" w:eastAsia="宋体" w:hint="default"/>
                <w:sz w:val="18"/>
                <w:szCs w:val="18"/>
              </w:rPr>
              <w:t>、关于标的企业业务经营</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上海瑾矽、</w:t>
            </w: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本承诺人将尽最大努力保持标的企业股权结构的完整性，促使标的企业不进行与正常生产经营无关的资产处置、对外担</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民和志威、</w:t>
            </w: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保、利润分配或增加重大债务之行为，使标的企业现有相关负责人和主要员工继续为标的企业提供服务，并保持标的企</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1561"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9" w:space="0" w:color="FFFFFF"/>
            </w:tcBorders>
          </w:tcPr>
          <w:p>
            <w:pPr>
              <w:pStyle w:val="TableParagraph"/>
              <w:spacing w:line="314" w:lineRule="auto" w:before="10"/>
              <w:ind w:left="23" w:right="-21"/>
              <w:jc w:val="left"/>
              <w:rPr>
                <w:rFonts w:ascii="宋体" w:hAnsi="宋体" w:cs="宋体" w:eastAsia="宋体" w:hint="default"/>
                <w:sz w:val="18"/>
                <w:szCs w:val="18"/>
              </w:rPr>
            </w:pPr>
            <w:r>
              <w:rPr>
                <w:rFonts w:ascii="宋体" w:hAnsi="宋体" w:cs="宋体" w:eastAsia="宋体" w:hint="default"/>
                <w:sz w:val="18"/>
                <w:szCs w:val="18"/>
              </w:rPr>
              <w:t>闪胜创芯、 </w:t>
            </w:r>
            <w:r>
              <w:rPr>
                <w:rFonts w:ascii="Times New Roman" w:hAnsi="Times New Roman" w:cs="Times New Roman" w:eastAsia="Times New Roman" w:hint="default"/>
                <w:sz w:val="18"/>
                <w:szCs w:val="18"/>
              </w:rPr>
              <w:t>WM</w:t>
            </w:r>
            <w:r>
              <w:rPr>
                <w:rFonts w:ascii="宋体" w:hAnsi="宋体" w:cs="宋体" w:eastAsia="宋体" w:hint="default"/>
                <w:sz w:val="18"/>
                <w:szCs w:val="18"/>
              </w:rPr>
              <w:t>、</w:t>
            </w:r>
            <w:r>
              <w:rPr>
                <w:rFonts w:ascii="Times New Roman" w:hAnsi="Times New Roman" w:cs="Times New Roman" w:eastAsia="Times New Roman" w:hint="default"/>
                <w:sz w:val="18"/>
                <w:szCs w:val="18"/>
              </w:rPr>
              <w:t>AM</w:t>
            </w:r>
            <w:r>
              <w:rPr>
                <w:rFonts w:ascii="宋体" w:hAnsi="宋体" w:cs="宋体" w:eastAsia="宋体" w:hint="default"/>
                <w:sz w:val="18"/>
                <w:szCs w:val="18"/>
              </w:rPr>
              <w:t>、 厦门芯华、 武岳峰集 电、上海集</w:t>
            </w:r>
          </w:p>
        </w:tc>
        <w:tc>
          <w:tcPr>
            <w:tcW w:w="794" w:type="dxa"/>
            <w:tcBorders>
              <w:top w:val="nil" w:sz="6" w:space="0" w:color="auto"/>
              <w:left w:val="single" w:sz="9" w:space="0" w:color="FFFFFF"/>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15" w:right="41"/>
              <w:jc w:val="both"/>
              <w:rPr>
                <w:rFonts w:ascii="宋体" w:hAnsi="宋体" w:cs="宋体" w:eastAsia="宋体" w:hint="default"/>
                <w:sz w:val="18"/>
                <w:szCs w:val="18"/>
              </w:rPr>
            </w:pPr>
            <w:r>
              <w:rPr>
                <w:rFonts w:ascii="宋体" w:hAnsi="宋体" w:cs="宋体" w:eastAsia="宋体" w:hint="default"/>
                <w:sz w:val="18"/>
                <w:szCs w:val="18"/>
              </w:rPr>
              <w:t>关于本次 重组有关 事项的声 明及承诺</w:t>
            </w: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1" w:right="19"/>
              <w:jc w:val="both"/>
              <w:rPr>
                <w:rFonts w:ascii="宋体" w:hAnsi="宋体" w:cs="宋体" w:eastAsia="宋体" w:hint="default"/>
                <w:sz w:val="18"/>
                <w:szCs w:val="18"/>
              </w:rPr>
            </w:pPr>
            <w:r>
              <w:rPr>
                <w:rFonts w:ascii="宋体" w:hAnsi="宋体" w:cs="宋体" w:eastAsia="宋体" w:hint="default"/>
                <w:spacing w:val="-4"/>
                <w:sz w:val="18"/>
                <w:szCs w:val="18"/>
              </w:rPr>
              <w:t>业同客户、供应商、债权人（如有）、商业伙伴和其它与其有业务联络的人的重大现有关系，确保标的企业的商誉和业务</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的连续性不会受到破坏。</w:t>
            </w:r>
            <w:r>
              <w:rPr>
                <w:rFonts w:ascii="Times New Roman" w:hAnsi="Times New Roman" w:cs="Times New Roman" w:eastAsia="Times New Roman" w:hint="default"/>
                <w:sz w:val="18"/>
                <w:szCs w:val="18"/>
              </w:rPr>
              <w:t>4</w:t>
            </w:r>
            <w:r>
              <w:rPr>
                <w:rFonts w:ascii="宋体" w:hAnsi="宋体" w:cs="宋体" w:eastAsia="宋体" w:hint="default"/>
                <w:sz w:val="18"/>
                <w:szCs w:val="18"/>
              </w:rPr>
              <w:t>、关于关联关系情况：截至本函出具日，本承诺人与上市公司及其控股股东、持股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 东之间不存在任何直接或间接的股权或其他权益关系；本承诺人没有向上市公司推荐董事、监事或者高级管理人员；本 承诺人亦不存在其他可能被证券监管部门基于实质重于形式的原则认定的与上市公司存在特殊关系的其他关联关系。截 至本函出具日，本承诺人与本次重组的独立财务顾问、评估机构、会计师事务所、律师事务所无关联关系，亦不存在现</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4" w:lineRule="auto"/>
              <w:ind w:left="24" w:right="39"/>
              <w:jc w:val="left"/>
              <w:rPr>
                <w:rFonts w:ascii="宋体" w:hAnsi="宋体" w:cs="宋体" w:eastAsia="宋体" w:hint="default"/>
                <w:sz w:val="18"/>
                <w:szCs w:val="18"/>
              </w:rPr>
            </w:pPr>
            <w:r>
              <w:rPr>
                <w:rFonts w:ascii="宋体" w:hAnsi="宋体" w:cs="宋体" w:eastAsia="宋体" w:hint="default"/>
                <w:sz w:val="18"/>
                <w:szCs w:val="18"/>
              </w:rPr>
              <w:t>无承诺期 限</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3"/>
              <w:ind w:left="23" w:right="38"/>
              <w:jc w:val="left"/>
              <w:rPr>
                <w:rFonts w:ascii="宋体" w:hAnsi="宋体" w:cs="宋体" w:eastAsia="宋体" w:hint="default"/>
                <w:sz w:val="18"/>
                <w:szCs w:val="18"/>
              </w:rPr>
            </w:pPr>
            <w:r>
              <w:rPr>
                <w:rFonts w:ascii="宋体" w:hAnsi="宋体" w:cs="宋体" w:eastAsia="宋体" w:hint="default"/>
                <w:sz w:val="18"/>
                <w:szCs w:val="18"/>
              </w:rPr>
              <w:t>报告期 内，承诺 人均遵守 了所做的 承诺。</w:t>
            </w:r>
          </w:p>
        </w:tc>
      </w:tr>
      <w:tr>
        <w:trPr>
          <w:trHeight w:val="317"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岑、北京青</w:t>
            </w: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2"/>
                <w:sz w:val="18"/>
                <w:szCs w:val="18"/>
              </w:rPr>
              <w:t>实的及预期的利益或冲突，相关中介机构具有独立性。</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、关于合法合规情况：截至本函出具日，本承诺人及本承诺人高</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禾、万丰投</w:t>
            </w: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级管理人</w:t>
            </w:r>
            <w:r>
              <w:rPr>
                <w:rFonts w:ascii="宋体" w:hAnsi="宋体" w:cs="宋体" w:eastAsia="宋体" w:hint="default"/>
                <w:spacing w:val="-20"/>
                <w:sz w:val="18"/>
                <w:szCs w:val="18"/>
              </w:rPr>
              <w:t>员</w:t>
            </w:r>
            <w:r>
              <w:rPr>
                <w:rFonts w:ascii="宋体" w:hAnsi="宋体" w:cs="宋体" w:eastAsia="宋体" w:hint="default"/>
                <w:sz w:val="18"/>
                <w:szCs w:val="18"/>
              </w:rPr>
              <w:t>（如有</w:t>
            </w:r>
            <w:r>
              <w:rPr>
                <w:rFonts w:ascii="宋体" w:hAnsi="宋体" w:cs="宋体" w:eastAsia="宋体" w:hint="default"/>
                <w:spacing w:val="-20"/>
                <w:sz w:val="18"/>
                <w:szCs w:val="18"/>
              </w:rPr>
              <w:t>）</w:t>
            </w: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内未受到过行政处</w:t>
            </w:r>
            <w:r>
              <w:rPr>
                <w:rFonts w:ascii="宋体" w:hAnsi="宋体" w:cs="宋体" w:eastAsia="宋体" w:hint="default"/>
                <w:spacing w:val="-20"/>
                <w:sz w:val="18"/>
                <w:szCs w:val="18"/>
              </w:rPr>
              <w:t>罚</w:t>
            </w:r>
            <w:r>
              <w:rPr>
                <w:rFonts w:ascii="宋体" w:hAnsi="宋体" w:cs="宋体" w:eastAsia="宋体" w:hint="default"/>
                <w:sz w:val="18"/>
                <w:szCs w:val="18"/>
              </w:rPr>
              <w:t>（与证券市场明显无关的除外</w:t>
            </w:r>
            <w:r>
              <w:rPr>
                <w:rFonts w:ascii="宋体" w:hAnsi="宋体" w:cs="宋体" w:eastAsia="宋体" w:hint="default"/>
                <w:spacing w:val="-92"/>
                <w:sz w:val="18"/>
                <w:szCs w:val="18"/>
              </w:rPr>
              <w:t>）</w:t>
            </w:r>
            <w:r>
              <w:rPr>
                <w:rFonts w:ascii="宋体" w:hAnsi="宋体" w:cs="宋体" w:eastAsia="宋体" w:hint="default"/>
                <w:spacing w:val="-20"/>
                <w:sz w:val="18"/>
                <w:szCs w:val="18"/>
              </w:rPr>
              <w:t>、</w:t>
            </w:r>
            <w:r>
              <w:rPr>
                <w:rFonts w:ascii="宋体" w:hAnsi="宋体" w:cs="宋体" w:eastAsia="宋体" w:hint="default"/>
                <w:sz w:val="18"/>
                <w:szCs w:val="18"/>
              </w:rPr>
              <w:t>刑事处罚或者涉及与经济纠纷有关的</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资、承裕投</w:t>
            </w: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重大民事诉讼或者仲裁的情形。截至本函出具日，本承诺人及本承诺人高级管理人员（如有）最近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年内不存在损害投</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资</w:t>
            </w: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2"/>
                <w:sz w:val="18"/>
                <w:szCs w:val="18"/>
              </w:rPr>
              <w:t>资者合法权益和社会公共利益的重大违法行为或其他不诚信行为。</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、关于内幕交易情况：本次重组期间，本承诺人及本</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2"/>
                <w:sz w:val="18"/>
                <w:szCs w:val="18"/>
              </w:rPr>
              <w:t>承诺人相关人员不存在泄露本次重组内幕信息以及利用本次重组信息进行内幕交易的情形。</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、关于股东特殊权利：本承</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诺人享有的与标的企业相关的股东特殊权</w:t>
            </w:r>
            <w:r>
              <w:rPr>
                <w:rFonts w:ascii="宋体" w:hAnsi="宋体" w:cs="宋体" w:eastAsia="宋体" w:hint="default"/>
                <w:spacing w:val="-17"/>
                <w:sz w:val="18"/>
                <w:szCs w:val="18"/>
              </w:rPr>
              <w:t>利</w:t>
            </w:r>
            <w:r>
              <w:rPr>
                <w:rFonts w:ascii="宋体" w:hAnsi="宋体" w:cs="宋体" w:eastAsia="宋体" w:hint="default"/>
                <w:sz w:val="18"/>
                <w:szCs w:val="18"/>
              </w:rPr>
              <w:t>（如有</w:t>
            </w:r>
            <w:r>
              <w:rPr>
                <w:rFonts w:ascii="宋体" w:hAnsi="宋体" w:cs="宋体" w:eastAsia="宋体" w:hint="default"/>
                <w:spacing w:val="-89"/>
                <w:sz w:val="18"/>
                <w:szCs w:val="18"/>
              </w:rPr>
              <w:t>）</w:t>
            </w:r>
            <w:r>
              <w:rPr>
                <w:rFonts w:ascii="宋体" w:hAnsi="宋体" w:cs="宋体" w:eastAsia="宋体" w:hint="default"/>
                <w:spacing w:val="-17"/>
                <w:sz w:val="18"/>
                <w:szCs w:val="18"/>
              </w:rPr>
              <w:t>，</w:t>
            </w:r>
            <w:r>
              <w:rPr>
                <w:rFonts w:ascii="宋体" w:hAnsi="宋体" w:cs="宋体" w:eastAsia="宋体" w:hint="default"/>
                <w:sz w:val="18"/>
                <w:szCs w:val="18"/>
              </w:rPr>
              <w:t>包括</w:t>
            </w:r>
            <w:r>
              <w:rPr>
                <w:rFonts w:ascii="宋体" w:hAnsi="宋体" w:cs="宋体" w:eastAsia="宋体" w:hint="default"/>
                <w:spacing w:val="2"/>
                <w:sz w:val="18"/>
                <w:szCs w:val="18"/>
              </w:rPr>
              <w:t>但</w:t>
            </w:r>
            <w:r>
              <w:rPr>
                <w:rFonts w:ascii="宋体" w:hAnsi="宋体" w:cs="宋体" w:eastAsia="宋体" w:hint="default"/>
                <w:sz w:val="18"/>
                <w:szCs w:val="18"/>
              </w:rPr>
              <w:t>不限于股权回购请求权</w:t>
            </w:r>
            <w:r>
              <w:rPr>
                <w:rFonts w:ascii="宋体" w:hAnsi="宋体" w:cs="宋体" w:eastAsia="宋体" w:hint="default"/>
                <w:spacing w:val="-17"/>
                <w:sz w:val="18"/>
                <w:szCs w:val="18"/>
              </w:rPr>
              <w:t>、</w:t>
            </w:r>
            <w:r>
              <w:rPr>
                <w:rFonts w:ascii="宋体" w:hAnsi="宋体" w:cs="宋体" w:eastAsia="宋体" w:hint="default"/>
                <w:sz w:val="18"/>
                <w:szCs w:val="18"/>
              </w:rPr>
              <w:t>优</w:t>
            </w:r>
            <w:r>
              <w:rPr>
                <w:rFonts w:ascii="宋体" w:hAnsi="宋体" w:cs="宋体" w:eastAsia="宋体" w:hint="default"/>
                <w:spacing w:val="2"/>
                <w:sz w:val="18"/>
                <w:szCs w:val="18"/>
              </w:rPr>
              <w:t>先</w:t>
            </w:r>
            <w:r>
              <w:rPr>
                <w:rFonts w:ascii="宋体" w:hAnsi="宋体" w:cs="宋体" w:eastAsia="宋体" w:hint="default"/>
                <w:sz w:val="18"/>
                <w:szCs w:val="18"/>
              </w:rPr>
              <w:t>认购权</w:t>
            </w:r>
            <w:r>
              <w:rPr>
                <w:rFonts w:ascii="宋体" w:hAnsi="宋体" w:cs="宋体" w:eastAsia="宋体" w:hint="default"/>
                <w:spacing w:val="-17"/>
                <w:sz w:val="18"/>
                <w:szCs w:val="18"/>
              </w:rPr>
              <w:t>、</w:t>
            </w:r>
            <w:r>
              <w:rPr>
                <w:rFonts w:ascii="宋体" w:hAnsi="宋体" w:cs="宋体" w:eastAsia="宋体" w:hint="default"/>
                <w:sz w:val="18"/>
                <w:szCs w:val="18"/>
              </w:rPr>
              <w:t>随售权等</w:t>
            </w:r>
            <w:r>
              <w:rPr>
                <w:rFonts w:ascii="宋体" w:hAnsi="宋体" w:cs="宋体" w:eastAsia="宋体" w:hint="default"/>
                <w:spacing w:val="-15"/>
                <w:sz w:val="18"/>
                <w:szCs w:val="18"/>
              </w:rPr>
              <w:t>，</w:t>
            </w:r>
            <w:r>
              <w:rPr>
                <w:rFonts w:ascii="宋体" w:hAnsi="宋体" w:cs="宋体" w:eastAsia="宋体" w:hint="default"/>
                <w:sz w:val="18"/>
                <w:szCs w:val="18"/>
              </w:rPr>
              <w:t>自上市公</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700" w:type="dxa"/>
            <w:vMerge/>
            <w:tcBorders>
              <w:left w:val="single" w:sz="4" w:space="0" w:color="000000"/>
              <w:bottom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94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司首次披露本次重组预案</w:t>
            </w:r>
            <w:r>
              <w:rPr>
                <w:rFonts w:ascii="Times New Roman" w:hAnsi="Times New Roman" w:cs="Times New Roman" w:eastAsia="Times New Roman" w:hint="default"/>
                <w:sz w:val="18"/>
                <w:szCs w:val="18"/>
              </w:rPr>
              <w:t>/</w:t>
            </w:r>
            <w:r>
              <w:rPr>
                <w:rFonts w:ascii="宋体" w:hAnsi="宋体" w:cs="宋体" w:eastAsia="宋体" w:hint="default"/>
                <w:sz w:val="18"/>
                <w:szCs w:val="18"/>
              </w:rPr>
              <w:t>草案之前自动终止。</w:t>
            </w:r>
          </w:p>
        </w:tc>
        <w:tc>
          <w:tcPr>
            <w:tcW w:w="794" w:type="dxa"/>
            <w:tcBorders>
              <w:top w:val="nil" w:sz="6" w:space="0" w:color="auto"/>
              <w:left w:val="single" w:sz="4" w:space="0" w:color="000000"/>
              <w:bottom w:val="single" w:sz="4" w:space="0" w:color="000000"/>
              <w:right w:val="single" w:sz="4" w:space="0" w:color="000000"/>
            </w:tcBorders>
          </w:tcPr>
          <w:p>
            <w:pPr/>
          </w:p>
        </w:tc>
        <w:tc>
          <w:tcPr>
            <w:tcW w:w="795"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660" w:right="640"/>
        </w:sectPr>
      </w:pPr>
    </w:p>
    <w:p>
      <w:pPr>
        <w:spacing w:line="240" w:lineRule="auto" w:before="2"/>
        <w:rPr>
          <w:rFonts w:ascii="Times New Roman" w:hAnsi="Times New Roman" w:cs="Times New Roman" w:eastAsia="Times New Roman" w:hint="default"/>
          <w:sz w:val="3"/>
          <w:szCs w:val="3"/>
        </w:rPr>
      </w:pPr>
      <w:r>
        <w:rPr/>
        <w:pict>
          <v:shape style="position:absolute;margin-left:516.488037pt;margin-top:57.236008pt;width:207.5pt;height:78.05pt;mso-position-horizontal-relative:page;mso-position-vertical-relative:page;z-index:-16128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04"/>
                    <w:ind w:left="0" w:right="0"/>
                    <w:jc w:val="left"/>
                  </w:pPr>
                  <w:r>
                    <w:rPr/>
                    <w:t>不存在任何现时或潜在的权属纠纷或争议，</w:t>
                  </w:r>
                </w:p>
              </w:txbxContent>
            </v:textbox>
            <w10:wrap type="none"/>
          </v:shape>
        </w:pict>
      </w:r>
      <w:r>
        <w:rPr/>
        <w:pict>
          <v:group style="position:absolute;margin-left:684.700012pt;margin-top:57.236008pt;width:39.25pt;height:78.05pt;mso-position-horizontal-relative:page;mso-position-vertical-relative:page;z-index:-1612864" coordorigin="13694,1145" coordsize="785,1561">
            <v:shape style="position:absolute;left:13694;top:1145;width:785;height:1561" coordorigin="13694,1145" coordsize="785,1561" path="m13694,2705l14479,2705,14479,1145,13694,1145,13694,2705xe" filled="true" fillcolor="#ffffff" stroked="false">
              <v:path arrowok="t"/>
              <v:fill type="solid"/>
            </v:shape>
            <w10:wrap type="none"/>
          </v:group>
        </w:pict>
      </w:r>
    </w:p>
    <w:tbl>
      <w:tblPr>
        <w:tblW w:w="0" w:type="auto"/>
        <w:jc w:val="left"/>
        <w:tblInd w:w="103" w:type="dxa"/>
        <w:tblLayout w:type="fixed"/>
        <w:tblCellMar>
          <w:top w:w="0" w:type="dxa"/>
          <w:left w:w="0" w:type="dxa"/>
          <w:bottom w:w="0" w:type="dxa"/>
          <w:right w:w="0" w:type="dxa"/>
        </w:tblCellMar>
        <w:tblLook w:val="01E0"/>
      </w:tblPr>
      <w:tblGrid>
        <w:gridCol w:w="1700"/>
        <w:gridCol w:w="998"/>
        <w:gridCol w:w="794"/>
        <w:gridCol w:w="9429"/>
        <w:gridCol w:w="794"/>
        <w:gridCol w:w="795"/>
        <w:gridCol w:w="794"/>
      </w:tblGrid>
      <w:tr>
        <w:trPr>
          <w:trHeight w:val="371" w:hRule="exact"/>
        </w:trPr>
        <w:tc>
          <w:tcPr>
            <w:tcW w:w="1700" w:type="dxa"/>
            <w:vMerge w:val="restart"/>
            <w:tcBorders>
              <w:top w:val="single" w:sz="15" w:space="0" w:color="000000"/>
              <w:left w:val="single" w:sz="4" w:space="0" w:color="000000"/>
              <w:right w:val="single" w:sz="4" w:space="0" w:color="000000"/>
            </w:tcBorders>
            <w:shd w:val="clear" w:color="auto" w:fill="D2D2D2"/>
          </w:tcPr>
          <w:p>
            <w:pPr/>
          </w:p>
        </w:tc>
        <w:tc>
          <w:tcPr>
            <w:tcW w:w="998"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屹唐投资、</w:t>
            </w:r>
          </w:p>
        </w:tc>
        <w:tc>
          <w:tcPr>
            <w:tcW w:w="794" w:type="dxa"/>
            <w:tcBorders>
              <w:top w:val="single" w:sz="15" w:space="0" w:color="000000"/>
              <w:left w:val="single" w:sz="4" w:space="0" w:color="000000"/>
              <w:bottom w:val="nil" w:sz="6" w:space="0" w:color="auto"/>
              <w:right w:val="single" w:sz="4" w:space="0" w:color="000000"/>
            </w:tcBorders>
          </w:tcPr>
          <w:p>
            <w:pPr/>
          </w:p>
        </w:tc>
        <w:tc>
          <w:tcPr>
            <w:tcW w:w="9429" w:type="dxa"/>
            <w:tcBorders>
              <w:top w:val="single" w:sz="15" w:space="0" w:color="000000"/>
              <w:left w:val="single" w:sz="4" w:space="0" w:color="000000"/>
              <w:bottom w:val="nil" w:sz="6" w:space="0" w:color="auto"/>
              <w:right w:val="single" w:sz="4" w:space="0" w:color="000000"/>
            </w:tcBorders>
          </w:tcPr>
          <w:p>
            <w:pPr/>
          </w:p>
        </w:tc>
        <w:tc>
          <w:tcPr>
            <w:tcW w:w="794" w:type="dxa"/>
            <w:tcBorders>
              <w:top w:val="single" w:sz="15" w:space="0" w:color="000000"/>
              <w:left w:val="single" w:sz="4" w:space="0" w:color="000000"/>
              <w:bottom w:val="nil" w:sz="6" w:space="0" w:color="auto"/>
              <w:right w:val="single" w:sz="4" w:space="0" w:color="000000"/>
            </w:tcBorders>
          </w:tcPr>
          <w:p>
            <w:pPr/>
          </w:p>
        </w:tc>
        <w:tc>
          <w:tcPr>
            <w:tcW w:w="795" w:type="dxa"/>
            <w:tcBorders>
              <w:top w:val="single" w:sz="15" w:space="0" w:color="000000"/>
              <w:left w:val="single" w:sz="4" w:space="0" w:color="000000"/>
              <w:bottom w:val="nil" w:sz="6" w:space="0" w:color="auto"/>
              <w:right w:val="single" w:sz="4" w:space="0" w:color="000000"/>
            </w:tcBorders>
          </w:tcPr>
          <w:p>
            <w:pPr/>
          </w:p>
        </w:tc>
        <w:tc>
          <w:tcPr>
            <w:tcW w:w="794" w:type="dxa"/>
            <w:tcBorders>
              <w:top w:val="single" w:sz="6" w:space="0" w:color="000000"/>
              <w:left w:val="single" w:sz="4" w:space="0" w:color="000000"/>
              <w:bottom w:val="nil" w:sz="6" w:space="0" w:color="auto"/>
              <w:right w:val="single" w:sz="4" w:space="0" w:color="000000"/>
            </w:tcBorders>
          </w:tcPr>
          <w:p>
            <w:pPr/>
          </w:p>
        </w:tc>
      </w:tr>
      <w:tr>
        <w:trPr>
          <w:trHeight w:val="3431"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9" w:space="0" w:color="FFFFFF"/>
            </w:tcBorders>
          </w:tcPr>
          <w:p>
            <w:pPr>
              <w:pStyle w:val="TableParagraph"/>
              <w:spacing w:line="316" w:lineRule="auto" w:before="9"/>
              <w:ind w:left="23" w:right="-21"/>
              <w:jc w:val="left"/>
              <w:rPr>
                <w:rFonts w:ascii="宋体" w:hAnsi="宋体" w:cs="宋体" w:eastAsia="宋体" w:hint="default"/>
                <w:sz w:val="18"/>
                <w:szCs w:val="18"/>
              </w:rPr>
            </w:pPr>
            <w:r>
              <w:rPr>
                <w:rFonts w:ascii="宋体" w:hAnsi="宋体" w:cs="宋体" w:eastAsia="宋体" w:hint="default"/>
                <w:sz w:val="18"/>
                <w:szCs w:val="18"/>
              </w:rPr>
              <w:t>华创芯原、 上海瑾矽、 民和志威、 闪胜创芯、 </w:t>
            </w:r>
            <w:r>
              <w:rPr>
                <w:rFonts w:ascii="Times New Roman" w:hAnsi="Times New Roman" w:cs="Times New Roman" w:eastAsia="Times New Roman" w:hint="default"/>
                <w:sz w:val="18"/>
                <w:szCs w:val="18"/>
              </w:rPr>
              <w:t>WM</w:t>
            </w:r>
            <w:r>
              <w:rPr>
                <w:rFonts w:ascii="宋体" w:hAnsi="宋体" w:cs="宋体" w:eastAsia="宋体" w:hint="default"/>
                <w:sz w:val="18"/>
                <w:szCs w:val="18"/>
              </w:rPr>
              <w:t>、</w:t>
            </w:r>
            <w:r>
              <w:rPr>
                <w:rFonts w:ascii="Times New Roman" w:hAnsi="Times New Roman" w:cs="Times New Roman" w:eastAsia="Times New Roman" w:hint="default"/>
                <w:sz w:val="18"/>
                <w:szCs w:val="18"/>
              </w:rPr>
              <w:t>AM</w:t>
            </w:r>
            <w:r>
              <w:rPr>
                <w:rFonts w:ascii="宋体" w:hAnsi="宋体" w:cs="宋体" w:eastAsia="宋体" w:hint="default"/>
                <w:sz w:val="18"/>
                <w:szCs w:val="18"/>
              </w:rPr>
              <w:t>、 厦门芯华、 武岳峰集 电、上海集 岑、北京青 禾、万丰投 资、承裕投</w:t>
            </w:r>
          </w:p>
        </w:tc>
        <w:tc>
          <w:tcPr>
            <w:tcW w:w="794" w:type="dxa"/>
            <w:tcBorders>
              <w:top w:val="nil" w:sz="6" w:space="0" w:color="auto"/>
              <w:left w:val="single" w:sz="9"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16" w:lineRule="auto"/>
              <w:ind w:left="15" w:right="41"/>
              <w:jc w:val="both"/>
              <w:rPr>
                <w:rFonts w:ascii="宋体" w:hAnsi="宋体" w:cs="宋体" w:eastAsia="宋体" w:hint="default"/>
                <w:sz w:val="18"/>
                <w:szCs w:val="18"/>
              </w:rPr>
            </w:pPr>
            <w:r>
              <w:rPr>
                <w:rFonts w:ascii="宋体" w:hAnsi="宋体" w:cs="宋体" w:eastAsia="宋体" w:hint="default"/>
                <w:sz w:val="18"/>
                <w:szCs w:val="18"/>
              </w:rPr>
              <w:t>关于标的 资产完整 权利的承 诺</w:t>
            </w: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07" w:lineRule="auto"/>
              <w:ind w:left="21" w:right="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、本承诺人已履行标的企业章程规定的全部出资义务，不存在任何虚假出资、抽逃出资等违反作为股东应承担的义务及</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责任的行为，不存在可能影响标的企业合法存续的情况。</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、本承诺人依法拥有所持标的资产的全部法律权益，包括但不</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限于占有、使用、收益及处分等完整权利；本承诺人所持标的资产权属清晰，</w:t>
            </w:r>
            <w:r>
              <w:rPr>
                <w:rFonts w:ascii="宋体" w:hAnsi="宋体" w:cs="宋体" w:eastAsia="宋体" w:hint="default"/>
                <w:sz w:val="18"/>
                <w:szCs w:val="18"/>
              </w:rPr>
              <w:t> 不存在质押、查封、冻结或其他任何限制或禁止转让的情形，亦不存在尚未了结或可预见的诉讼、仲裁、司法强制执行 </w:t>
            </w:r>
            <w:r>
              <w:rPr>
                <w:rFonts w:ascii="宋体" w:hAnsi="宋体" w:cs="宋体" w:eastAsia="宋体" w:hint="default"/>
                <w:spacing w:val="-2"/>
                <w:sz w:val="18"/>
                <w:szCs w:val="18"/>
              </w:rPr>
              <w:t>等程序或任何妨碍权属转移的其他情形。</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、本承诺人真实持有相应的标的资产，不存在通过委托持股、信托持股、收益</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权安排、期权安排、权益代持或其他方式代表其他方利益的情形，亦不存在与任何第三方就所持标的资产行使表决权的 </w:t>
            </w:r>
            <w:r>
              <w:rPr>
                <w:rFonts w:ascii="宋体" w:hAnsi="宋体" w:cs="宋体" w:eastAsia="宋体" w:hint="default"/>
                <w:spacing w:val="-2"/>
                <w:sz w:val="18"/>
                <w:szCs w:val="18"/>
              </w:rPr>
              <w:t>协议或类似安排。</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、本承诺人进一步确认，截至本函出具之日，不存在因本承诺人的原因导致任何第三方根据任何选择</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权或协议（包括转换权及优先购买权）要求发行、转换、分配、出售或转让标的资产，从而获取标的资产或对应的利润 </w:t>
            </w:r>
            <w:r>
              <w:rPr>
                <w:rFonts w:ascii="宋体" w:hAnsi="宋体" w:cs="宋体" w:eastAsia="宋体" w:hint="default"/>
                <w:spacing w:val="-2"/>
                <w:sz w:val="18"/>
                <w:szCs w:val="18"/>
              </w:rPr>
              <w:t>分配权的情形。</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、本承诺人向上市公司转让标的资产符合相关法律法规及标的企业章程规定，并已获得必要的许可、授</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权及批准，不存在实质障碍。</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4" w:lineRule="auto"/>
              <w:ind w:left="24" w:right="39"/>
              <w:jc w:val="left"/>
              <w:rPr>
                <w:rFonts w:ascii="宋体" w:hAnsi="宋体" w:cs="宋体" w:eastAsia="宋体" w:hint="default"/>
                <w:sz w:val="18"/>
                <w:szCs w:val="18"/>
              </w:rPr>
            </w:pPr>
            <w:r>
              <w:rPr>
                <w:rFonts w:ascii="宋体" w:hAnsi="宋体" w:cs="宋体" w:eastAsia="宋体" w:hint="default"/>
                <w:sz w:val="18"/>
                <w:szCs w:val="18"/>
              </w:rPr>
              <w:t>无承诺期 限</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9"/>
              <w:ind w:left="23" w:right="38"/>
              <w:jc w:val="left"/>
              <w:rPr>
                <w:rFonts w:ascii="宋体" w:hAnsi="宋体" w:cs="宋体" w:eastAsia="宋体" w:hint="default"/>
                <w:sz w:val="18"/>
                <w:szCs w:val="18"/>
              </w:rPr>
            </w:pPr>
            <w:r>
              <w:rPr>
                <w:rFonts w:ascii="宋体" w:hAnsi="宋体" w:cs="宋体" w:eastAsia="宋体" w:hint="default"/>
                <w:sz w:val="18"/>
                <w:szCs w:val="18"/>
              </w:rPr>
              <w:t>报告期 内，承诺 人均遵守 了所做的 承诺。</w:t>
            </w:r>
          </w:p>
        </w:tc>
      </w:tr>
      <w:tr>
        <w:trPr>
          <w:trHeight w:val="360"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w:t>
            </w:r>
          </w:p>
        </w:tc>
        <w:tc>
          <w:tcPr>
            <w:tcW w:w="794" w:type="dxa"/>
            <w:tcBorders>
              <w:top w:val="nil" w:sz="6" w:space="0" w:color="auto"/>
              <w:left w:val="single" w:sz="4" w:space="0" w:color="000000"/>
              <w:bottom w:val="single" w:sz="4" w:space="0" w:color="000000"/>
              <w:right w:val="single" w:sz="4" w:space="0" w:color="000000"/>
            </w:tcBorders>
          </w:tcPr>
          <w:p>
            <w:pPr/>
          </w:p>
        </w:tc>
        <w:tc>
          <w:tcPr>
            <w:tcW w:w="9429"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795"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r>
      <w:tr>
        <w:trPr>
          <w:trHeight w:val="4148" w:hRule="exact"/>
        </w:trPr>
        <w:tc>
          <w:tcPr>
            <w:tcW w:w="1700" w:type="dxa"/>
            <w:vMerge/>
            <w:tcBorders>
              <w:left w:val="single" w:sz="4" w:space="0" w:color="000000"/>
              <w:bottom w:val="single" w:sz="4" w:space="0" w:color="000000"/>
              <w:right w:val="single" w:sz="4" w:space="0" w:color="000000"/>
            </w:tcBorders>
            <w:shd w:val="clear" w:color="auto" w:fill="D2D2D2"/>
          </w:tcPr>
          <w:p>
            <w:pPr/>
          </w:p>
        </w:tc>
        <w:tc>
          <w:tcPr>
            <w:tcW w:w="998"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屹唐投资、 华创芯原、 上海瑾矽、 民和志威、 闪胜创芯、 </w:t>
            </w:r>
            <w:r>
              <w:rPr>
                <w:rFonts w:ascii="Times New Roman" w:hAnsi="Times New Roman" w:cs="Times New Roman" w:eastAsia="Times New Roman" w:hint="default"/>
                <w:sz w:val="18"/>
                <w:szCs w:val="18"/>
              </w:rPr>
              <w:t>WM</w:t>
            </w:r>
            <w:r>
              <w:rPr>
                <w:rFonts w:ascii="宋体" w:hAnsi="宋体" w:cs="宋体" w:eastAsia="宋体" w:hint="default"/>
                <w:sz w:val="18"/>
                <w:szCs w:val="18"/>
              </w:rPr>
              <w:t>、</w:t>
            </w:r>
            <w:r>
              <w:rPr>
                <w:rFonts w:ascii="Times New Roman" w:hAnsi="Times New Roman" w:cs="Times New Roman" w:eastAsia="Times New Roman" w:hint="default"/>
                <w:sz w:val="18"/>
                <w:szCs w:val="18"/>
              </w:rPr>
              <w:t>AM</w:t>
            </w:r>
            <w:r>
              <w:rPr>
                <w:rFonts w:ascii="宋体" w:hAnsi="宋体" w:cs="宋体" w:eastAsia="宋体" w:hint="default"/>
                <w:sz w:val="18"/>
                <w:szCs w:val="18"/>
              </w:rPr>
              <w:t>、 厦门芯华、 武岳峰集 电、上海集 岑、北京青 禾、万丰投 资、承裕投 资</w:t>
            </w:r>
          </w:p>
        </w:tc>
        <w:tc>
          <w:tcPr>
            <w:tcW w:w="79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不存在</w:t>
            </w:r>
          </w:p>
          <w:p>
            <w:pPr>
              <w:pStyle w:val="TableParagraph"/>
              <w:spacing w:line="316" w:lineRule="auto" w:before="76"/>
              <w:ind w:left="15" w:right="41"/>
              <w:jc w:val="left"/>
              <w:rPr>
                <w:rFonts w:ascii="宋体" w:hAnsi="宋体" w:cs="宋体" w:eastAsia="宋体" w:hint="default"/>
                <w:sz w:val="18"/>
                <w:szCs w:val="18"/>
              </w:rPr>
            </w:pPr>
            <w:r>
              <w:rPr>
                <w:rFonts w:ascii="宋体" w:hAnsi="宋体" w:cs="宋体" w:eastAsia="宋体" w:hint="default"/>
                <w:sz w:val="18"/>
                <w:szCs w:val="18"/>
              </w:rPr>
              <w:t>《关于加 强与上市 公司重大 资产重组 相关股票 异常交易 监管的暂 行规定》 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条 情形之承 诺</w:t>
            </w:r>
          </w:p>
        </w:tc>
        <w:tc>
          <w:tcPr>
            <w:tcW w:w="9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2" w:lineRule="auto"/>
              <w:ind w:left="21" w:right="22"/>
              <w:jc w:val="both"/>
              <w:rPr>
                <w:rFonts w:ascii="宋体" w:hAnsi="宋体" w:cs="宋体" w:eastAsia="宋体" w:hint="default"/>
                <w:sz w:val="18"/>
                <w:szCs w:val="18"/>
              </w:rPr>
            </w:pPr>
            <w:r>
              <w:rPr>
                <w:rFonts w:ascii="宋体" w:hAnsi="宋体" w:cs="宋体" w:eastAsia="宋体" w:hint="default"/>
                <w:spacing w:val="-4"/>
                <w:sz w:val="18"/>
                <w:szCs w:val="18"/>
              </w:rPr>
              <w:t>本承诺人及本承诺人高级管理人员（如有），本承诺人实际控制人及其控制的企业均不存在因涉嫌与本次重组相关的内幕</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5"/>
                <w:sz w:val="18"/>
                <w:szCs w:val="18"/>
              </w:rPr>
              <w:t>交易被立案调查或者立案侦查的情形，最近</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0"/>
                <w:sz w:val="18"/>
                <w:szCs w:val="18"/>
              </w:rPr>
              <w:t> </w:t>
            </w:r>
            <w:r>
              <w:rPr>
                <w:rFonts w:ascii="宋体" w:hAnsi="宋体" w:cs="宋体" w:eastAsia="宋体" w:hint="default"/>
                <w:spacing w:val="-1"/>
                <w:sz w:val="18"/>
                <w:szCs w:val="18"/>
              </w:rPr>
              <w:t>个月内不存在因与重大资产重组相关的内幕交易被中国证监会作出行政处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罚或者司法机关依法追究刑事责任的情形。前述各相关主体不存在依据《关于加强与上市公司重大资产重组相关股票异 常交易监管的暂行规定》第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条不得参与上市公司重大资产重组的情形。</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4" w:right="39"/>
              <w:jc w:val="left"/>
              <w:rPr>
                <w:rFonts w:ascii="宋体" w:hAnsi="宋体" w:cs="宋体" w:eastAsia="宋体" w:hint="default"/>
                <w:sz w:val="18"/>
                <w:szCs w:val="18"/>
              </w:rPr>
            </w:pPr>
            <w:r>
              <w:rPr>
                <w:rFonts w:ascii="宋体" w:hAnsi="宋体" w:cs="宋体" w:eastAsia="宋体" w:hint="default"/>
                <w:sz w:val="18"/>
                <w:szCs w:val="18"/>
              </w:rPr>
              <w:t>无承诺期 限</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38"/>
              <w:jc w:val="left"/>
              <w:rPr>
                <w:rFonts w:ascii="宋体" w:hAnsi="宋体" w:cs="宋体" w:eastAsia="宋体" w:hint="default"/>
                <w:sz w:val="18"/>
                <w:szCs w:val="18"/>
              </w:rPr>
            </w:pPr>
            <w:r>
              <w:rPr>
                <w:rFonts w:ascii="宋体" w:hAnsi="宋体" w:cs="宋体" w:eastAsia="宋体" w:hint="default"/>
                <w:sz w:val="18"/>
                <w:szCs w:val="18"/>
              </w:rPr>
              <w:t>报告期 内，承诺 人均遵守 了所做的 承诺。</w:t>
            </w:r>
          </w:p>
        </w:tc>
      </w:tr>
    </w:tbl>
    <w:p>
      <w:pPr>
        <w:spacing w:after="0" w:line="316" w:lineRule="auto"/>
        <w:jc w:val="left"/>
        <w:rPr>
          <w:rFonts w:ascii="宋体" w:hAnsi="宋体" w:cs="宋体" w:eastAsia="宋体" w:hint="default"/>
          <w:sz w:val="18"/>
          <w:szCs w:val="18"/>
        </w:rPr>
        <w:sectPr>
          <w:pgSz w:w="16840" w:h="11910" w:orient="landscape"/>
          <w:pgMar w:header="867" w:footer="980" w:top="1060" w:bottom="1160" w:left="660" w:right="640"/>
        </w:sectPr>
      </w:pPr>
    </w:p>
    <w:p>
      <w:pPr>
        <w:spacing w:line="240" w:lineRule="auto" w:before="2"/>
        <w:rPr>
          <w:rFonts w:ascii="Times New Roman" w:hAnsi="Times New Roman" w:cs="Times New Roman" w:eastAsia="Times New Roman" w:hint="default"/>
          <w:sz w:val="3"/>
          <w:szCs w:val="3"/>
        </w:rPr>
      </w:pPr>
      <w:r>
        <w:rPr/>
        <w:pict>
          <v:shape style="position:absolute;margin-left:678.700012pt;margin-top:240.650009pt;width:45.25pt;height:132.65pt;mso-position-horizontal-relative:page;mso-position-vertical-relative:page;z-index:-16128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6"/>
                    <w:ind w:left="0" w:right="0"/>
                    <w:jc w:val="left"/>
                  </w:pPr>
                  <w:r>
                    <w:rPr/>
                    <w:t>。</w:t>
                  </w:r>
                </w:p>
              </w:txbxContent>
            </v:textbox>
            <w10:wrap type="none"/>
          </v:shape>
        </w:pict>
      </w:r>
      <w:r>
        <w:rPr/>
        <w:pict>
          <v:group style="position:absolute;margin-left:684.700012pt;margin-top:240.650009pt;width:39.25pt;height:132.65pt;mso-position-horizontal-relative:page;mso-position-vertical-relative:page;z-index:-1612816" coordorigin="13694,4813" coordsize="785,2653">
            <v:shape style="position:absolute;left:13694;top:4813;width:785;height:2653" coordorigin="13694,4813" coordsize="785,2653" path="m13694,7465l14479,7465,14479,4813,13694,4813,13694,7465xe" filled="true" fillcolor="#ffffff" stroked="false">
              <v:path arrowok="t"/>
              <v:fill type="solid"/>
            </v:shape>
            <w10:wrap type="none"/>
          </v:group>
        </w:pict>
      </w:r>
    </w:p>
    <w:tbl>
      <w:tblPr>
        <w:tblW w:w="0" w:type="auto"/>
        <w:jc w:val="left"/>
        <w:tblInd w:w="103" w:type="dxa"/>
        <w:tblLayout w:type="fixed"/>
        <w:tblCellMar>
          <w:top w:w="0" w:type="dxa"/>
          <w:left w:w="0" w:type="dxa"/>
          <w:bottom w:w="0" w:type="dxa"/>
          <w:right w:w="0" w:type="dxa"/>
        </w:tblCellMar>
        <w:tblLook w:val="01E0"/>
      </w:tblPr>
      <w:tblGrid>
        <w:gridCol w:w="1700"/>
        <w:gridCol w:w="998"/>
        <w:gridCol w:w="794"/>
        <w:gridCol w:w="9429"/>
        <w:gridCol w:w="794"/>
        <w:gridCol w:w="795"/>
        <w:gridCol w:w="794"/>
      </w:tblGrid>
      <w:tr>
        <w:trPr>
          <w:trHeight w:val="376" w:hRule="exact"/>
        </w:trPr>
        <w:tc>
          <w:tcPr>
            <w:tcW w:w="1700" w:type="dxa"/>
            <w:vMerge w:val="restart"/>
            <w:tcBorders>
              <w:top w:val="single" w:sz="15" w:space="0" w:color="000000"/>
              <w:left w:val="single" w:sz="4" w:space="0" w:color="000000"/>
              <w:right w:val="single" w:sz="4" w:space="0" w:color="000000"/>
            </w:tcBorders>
            <w:shd w:val="clear" w:color="auto" w:fill="D2D2D2"/>
          </w:tcPr>
          <w:p>
            <w:pPr/>
          </w:p>
        </w:tc>
        <w:tc>
          <w:tcPr>
            <w:tcW w:w="998" w:type="dxa"/>
            <w:tcBorders>
              <w:top w:val="single" w:sz="15" w:space="0" w:color="000000"/>
              <w:left w:val="single" w:sz="4" w:space="0" w:color="000000"/>
              <w:bottom w:val="nil" w:sz="6" w:space="0" w:color="auto"/>
              <w:right w:val="single" w:sz="4" w:space="0" w:color="000000"/>
            </w:tcBorders>
          </w:tcPr>
          <w:p>
            <w:pPr/>
          </w:p>
        </w:tc>
        <w:tc>
          <w:tcPr>
            <w:tcW w:w="794" w:type="dxa"/>
            <w:tcBorders>
              <w:top w:val="single" w:sz="15" w:space="0" w:color="000000"/>
              <w:left w:val="single" w:sz="4" w:space="0" w:color="000000"/>
              <w:bottom w:val="nil" w:sz="6" w:space="0" w:color="auto"/>
              <w:right w:val="single" w:sz="4" w:space="0" w:color="000000"/>
            </w:tcBorders>
          </w:tcPr>
          <w:p>
            <w:pPr/>
          </w:p>
        </w:tc>
        <w:tc>
          <w:tcPr>
            <w:tcW w:w="942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、作为业绩承诺方，本承诺人在本次购买资产项下取得的上市公司新增股份（即对价股份）自本次发行完成之日起</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tc>
        <w:tc>
          <w:tcPr>
            <w:tcW w:w="794" w:type="dxa"/>
            <w:tcBorders>
              <w:top w:val="single" w:sz="15" w:space="0" w:color="000000"/>
              <w:left w:val="single" w:sz="4" w:space="0" w:color="000000"/>
              <w:bottom w:val="nil" w:sz="6" w:space="0" w:color="auto"/>
              <w:right w:val="single" w:sz="4" w:space="0" w:color="000000"/>
            </w:tcBorders>
          </w:tcPr>
          <w:p>
            <w:pPr/>
          </w:p>
        </w:tc>
        <w:tc>
          <w:tcPr>
            <w:tcW w:w="795" w:type="dxa"/>
            <w:tcBorders>
              <w:top w:val="single" w:sz="15" w:space="0" w:color="000000"/>
              <w:left w:val="single" w:sz="4" w:space="0" w:color="000000"/>
              <w:bottom w:val="nil" w:sz="6" w:space="0" w:color="auto"/>
              <w:right w:val="single" w:sz="4" w:space="0" w:color="000000"/>
            </w:tcBorders>
          </w:tcPr>
          <w:p>
            <w:pPr/>
          </w:p>
        </w:tc>
        <w:tc>
          <w:tcPr>
            <w:tcW w:w="794" w:type="dxa"/>
            <w:tcBorders>
              <w:top w:val="single" w:sz="6" w:space="0" w:color="000000"/>
              <w:left w:val="single" w:sz="4" w:space="0" w:color="000000"/>
              <w:bottom w:val="nil" w:sz="6" w:space="0" w:color="auto"/>
              <w:right w:val="single" w:sz="4" w:space="0" w:color="000000"/>
            </w:tcBorders>
          </w:tcPr>
          <w:p>
            <w:pPr/>
          </w:p>
        </w:tc>
      </w:tr>
      <w:tr>
        <w:trPr>
          <w:trHeight w:val="311"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1" w:right="0"/>
              <w:jc w:val="left"/>
              <w:rPr>
                <w:rFonts w:ascii="宋体" w:hAnsi="宋体" w:cs="宋体" w:eastAsia="宋体" w:hint="default"/>
                <w:sz w:val="18"/>
                <w:szCs w:val="18"/>
              </w:rPr>
            </w:pPr>
            <w:r>
              <w:rPr>
                <w:rFonts w:ascii="宋体" w:hAnsi="宋体" w:cs="宋体" w:eastAsia="宋体" w:hint="default"/>
                <w:spacing w:val="-1"/>
                <w:sz w:val="18"/>
                <w:szCs w:val="18"/>
              </w:rPr>
              <w:t>个月内不得交易或转让。</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18"/>
                <w:sz w:val="18"/>
                <w:szCs w:val="18"/>
              </w:rPr>
              <w:t> </w:t>
            </w:r>
            <w:r>
              <w:rPr>
                <w:rFonts w:ascii="宋体" w:hAnsi="宋体" w:cs="宋体" w:eastAsia="宋体" w:hint="default"/>
                <w:spacing w:val="-1"/>
                <w:sz w:val="18"/>
                <w:szCs w:val="18"/>
              </w:rPr>
              <w:t>个月届满后，本承诺人根据业绩承诺的完成情况，可以分期及按比例解锁，具体方式及安排</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如下</w:t>
            </w:r>
            <w:r>
              <w:rPr>
                <w:rFonts w:ascii="宋体" w:hAnsi="宋体" w:cs="宋体" w:eastAsia="宋体" w:hint="default"/>
                <w:spacing w:val="-13"/>
                <w:sz w:val="18"/>
                <w:szCs w:val="18"/>
              </w:rPr>
              <w:t>：</w:t>
            </w:r>
            <w:r>
              <w:rPr>
                <w:rFonts w:ascii="宋体" w:hAnsi="宋体" w:cs="宋体" w:eastAsia="宋体" w:hint="default"/>
                <w:sz w:val="18"/>
                <w:szCs w:val="18"/>
              </w:rPr>
              <w:t>第一期</w:t>
            </w:r>
            <w:r>
              <w:rPr>
                <w:rFonts w:ascii="宋体" w:hAnsi="宋体" w:cs="宋体" w:eastAsia="宋体" w:hint="default"/>
                <w:spacing w:val="-13"/>
                <w:sz w:val="18"/>
                <w:szCs w:val="18"/>
              </w:rPr>
              <w:t>，</w:t>
            </w:r>
            <w:r>
              <w:rPr>
                <w:rFonts w:ascii="宋体" w:hAnsi="宋体" w:cs="宋体" w:eastAsia="宋体" w:hint="default"/>
                <w:sz w:val="18"/>
                <w:szCs w:val="18"/>
              </w:rPr>
              <w:t>本次发行完</w:t>
            </w:r>
            <w:r>
              <w:rPr>
                <w:rFonts w:ascii="宋体" w:hAnsi="宋体" w:cs="宋体" w:eastAsia="宋体" w:hint="default"/>
                <w:spacing w:val="2"/>
                <w:sz w:val="18"/>
                <w:szCs w:val="18"/>
              </w:rPr>
              <w:t>成</w:t>
            </w:r>
            <w:r>
              <w:rPr>
                <w:rFonts w:ascii="宋体" w:hAnsi="宋体" w:cs="宋体" w:eastAsia="宋体" w:hint="default"/>
                <w:sz w:val="18"/>
                <w:szCs w:val="18"/>
              </w:rPr>
              <w:t>之日起</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个月届</w:t>
            </w:r>
            <w:r>
              <w:rPr>
                <w:rFonts w:ascii="宋体" w:hAnsi="宋体" w:cs="宋体" w:eastAsia="宋体" w:hint="default"/>
                <w:spacing w:val="-3"/>
                <w:sz w:val="18"/>
                <w:szCs w:val="18"/>
              </w:rPr>
              <w:t>满</w:t>
            </w:r>
            <w:r>
              <w:rPr>
                <w:rFonts w:ascii="宋体" w:hAnsi="宋体" w:cs="宋体" w:eastAsia="宋体" w:hint="default"/>
                <w:sz w:val="18"/>
                <w:szCs w:val="18"/>
              </w:rPr>
              <w:t>且</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pacing w:val="-15"/>
                <w:sz w:val="18"/>
                <w:szCs w:val="18"/>
              </w:rPr>
              <w:t>年</w:t>
            </w:r>
            <w:r>
              <w:rPr>
                <w:rFonts w:ascii="宋体" w:hAnsi="宋体" w:cs="宋体" w:eastAsia="宋体" w:hint="default"/>
                <w:sz w:val="18"/>
                <w:szCs w:val="18"/>
              </w:rPr>
              <w:t>《专项审核报告</w:t>
            </w:r>
            <w:r>
              <w:rPr>
                <w:rFonts w:ascii="宋体" w:hAnsi="宋体" w:cs="宋体" w:eastAsia="宋体" w:hint="default"/>
                <w:spacing w:val="-13"/>
                <w:sz w:val="18"/>
                <w:szCs w:val="18"/>
              </w:rPr>
              <w:t>》</w:t>
            </w:r>
            <w:r>
              <w:rPr>
                <w:rFonts w:ascii="宋体" w:hAnsi="宋体" w:cs="宋体" w:eastAsia="宋体" w:hint="default"/>
                <w:sz w:val="18"/>
                <w:szCs w:val="18"/>
              </w:rPr>
              <w:t>出具后</w:t>
            </w:r>
            <w:r>
              <w:rPr>
                <w:rFonts w:ascii="宋体" w:hAnsi="宋体" w:cs="宋体" w:eastAsia="宋体" w:hint="default"/>
                <w:spacing w:val="-13"/>
                <w:sz w:val="18"/>
                <w:szCs w:val="18"/>
              </w:rPr>
              <w:t>，</w:t>
            </w:r>
            <w:r>
              <w:rPr>
                <w:rFonts w:ascii="宋体" w:hAnsi="宋体" w:cs="宋体" w:eastAsia="宋体" w:hint="default"/>
                <w:spacing w:val="2"/>
                <w:sz w:val="18"/>
                <w:szCs w:val="18"/>
              </w:rPr>
              <w:t>如</w:t>
            </w:r>
            <w:r>
              <w:rPr>
                <w:rFonts w:ascii="宋体" w:hAnsi="宋体" w:cs="宋体" w:eastAsia="宋体" w:hint="default"/>
                <w:sz w:val="18"/>
                <w:szCs w:val="18"/>
              </w:rPr>
              <w:t>根</w:t>
            </w:r>
            <w:r>
              <w:rPr>
                <w:rFonts w:ascii="宋体" w:hAnsi="宋体" w:cs="宋体" w:eastAsia="宋体" w:hint="default"/>
                <w:spacing w:val="-13"/>
                <w:sz w:val="18"/>
                <w:szCs w:val="18"/>
              </w:rPr>
              <w:t>据</w:t>
            </w:r>
            <w:r>
              <w:rPr>
                <w:rFonts w:ascii="宋体" w:hAnsi="宋体" w:cs="宋体" w:eastAsia="宋体" w:hint="default"/>
                <w:sz w:val="18"/>
                <w:szCs w:val="18"/>
              </w:rPr>
              <w:t>《盈利补偿协议</w:t>
            </w:r>
            <w:r>
              <w:rPr>
                <w:rFonts w:ascii="宋体" w:hAnsi="宋体" w:cs="宋体" w:eastAsia="宋体" w:hint="default"/>
                <w:spacing w:val="-92"/>
                <w:sz w:val="18"/>
                <w:szCs w:val="18"/>
              </w:rPr>
              <w:t>》</w:t>
            </w:r>
            <w:r>
              <w:rPr>
                <w:rFonts w:ascii="宋体" w:hAnsi="宋体" w:cs="宋体" w:eastAsia="宋体" w:hint="default"/>
                <w:spacing w:val="-13"/>
                <w:sz w:val="18"/>
                <w:szCs w:val="18"/>
              </w:rPr>
              <w:t>，</w:t>
            </w:r>
            <w:r>
              <w:rPr>
                <w:rFonts w:ascii="宋体" w:hAnsi="宋体" w:cs="宋体" w:eastAsia="宋体" w:hint="default"/>
                <w:sz w:val="18"/>
                <w:szCs w:val="18"/>
              </w:rPr>
              <w:t>北京矽</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成</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年实际净利润数未达到承诺净利润数的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85%</w:t>
            </w:r>
            <w:r>
              <w:rPr>
                <w:rFonts w:ascii="宋体" w:hAnsi="宋体" w:cs="宋体" w:eastAsia="宋体" w:hint="default"/>
                <w:sz w:val="18"/>
                <w:szCs w:val="18"/>
              </w:rPr>
              <w:t>，则可解锁的股份数为零；如北京矽成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年实际净利润数达到承</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诺净利润数的</w:t>
            </w:r>
            <w:r>
              <w:rPr>
                <w:rFonts w:ascii="宋体" w:hAnsi="宋体" w:cs="宋体" w:eastAsia="宋体" w:hint="default"/>
                <w:spacing w:val="-37"/>
                <w:sz w:val="18"/>
                <w:szCs w:val="18"/>
              </w:rPr>
              <w:t> </w:t>
            </w:r>
            <w:r>
              <w:rPr>
                <w:rFonts w:ascii="Times New Roman" w:hAnsi="Times New Roman" w:cs="Times New Roman" w:eastAsia="Times New Roman" w:hint="default"/>
                <w:spacing w:val="-2"/>
                <w:sz w:val="18"/>
                <w:szCs w:val="18"/>
              </w:rPr>
              <w:t>85%</w:t>
            </w:r>
            <w:r>
              <w:rPr>
                <w:rFonts w:ascii="宋体" w:hAnsi="宋体" w:cs="宋体" w:eastAsia="宋体" w:hint="default"/>
                <w:spacing w:val="-2"/>
                <w:sz w:val="18"/>
                <w:szCs w:val="18"/>
              </w:rPr>
              <w:t>或以上，本承诺人可解锁的股份数按如下公式计算：本承诺人可解锁的股份数</w:t>
            </w:r>
            <w:r>
              <w:rPr>
                <w:rFonts w:ascii="Times New Roman" w:hAnsi="Times New Roman" w:cs="Times New Roman" w:eastAsia="Times New Roman" w:hint="default"/>
                <w:spacing w:val="-2"/>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年承诺净利润数</w:t>
            </w:r>
            <w:r>
              <w:rPr>
                <w:rFonts w:ascii="Times New Roman" w:hAnsi="Times New Roman" w:cs="Times New Roman" w:eastAsia="Times New Roman" w:hint="default"/>
                <w:sz w:val="18"/>
                <w:szCs w:val="18"/>
              </w:rPr>
              <w:t>÷</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业绩承诺期内承诺净利润累计数</w:t>
            </w:r>
            <w:r>
              <w:rPr>
                <w:rFonts w:ascii="Times New Roman" w:hAnsi="Times New Roman" w:cs="Times New Roman" w:eastAsia="Times New Roman" w:hint="default"/>
                <w:sz w:val="18"/>
                <w:szCs w:val="18"/>
              </w:rPr>
              <w:t>×</w:t>
            </w:r>
            <w:r>
              <w:rPr>
                <w:rFonts w:ascii="宋体" w:hAnsi="宋体" w:cs="宋体" w:eastAsia="宋体" w:hint="default"/>
                <w:sz w:val="18"/>
                <w:szCs w:val="18"/>
              </w:rPr>
              <w:t>本承诺人获得的对价股份数量。第二期，于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年《专项审核报告》出具后，如根据</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《盈利补偿协议</w:t>
            </w:r>
            <w:r>
              <w:rPr>
                <w:rFonts w:ascii="宋体" w:hAnsi="宋体" w:cs="宋体" w:eastAsia="宋体" w:hint="default"/>
                <w:spacing w:val="-92"/>
                <w:sz w:val="18"/>
                <w:szCs w:val="18"/>
              </w:rPr>
              <w:t>》</w:t>
            </w:r>
            <w:r>
              <w:rPr>
                <w:rFonts w:ascii="宋体" w:hAnsi="宋体" w:cs="宋体" w:eastAsia="宋体" w:hint="default"/>
                <w:sz w:val="18"/>
                <w:szCs w:val="18"/>
              </w:rPr>
              <w:t>，北京矽成</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年和</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年实际净利润</w:t>
            </w:r>
            <w:r>
              <w:rPr>
                <w:rFonts w:ascii="宋体" w:hAnsi="宋体" w:cs="宋体" w:eastAsia="宋体" w:hint="default"/>
                <w:spacing w:val="-3"/>
                <w:sz w:val="18"/>
                <w:szCs w:val="18"/>
              </w:rPr>
              <w:t>累</w:t>
            </w:r>
            <w:r>
              <w:rPr>
                <w:rFonts w:ascii="宋体" w:hAnsi="宋体" w:cs="宋体" w:eastAsia="宋体" w:hint="default"/>
                <w:sz w:val="18"/>
                <w:szCs w:val="18"/>
              </w:rPr>
              <w:t>计数未达到承诺净利润累计数的</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85</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，则可解锁的股份数</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1873"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23" w:right="62"/>
              <w:jc w:val="both"/>
              <w:rPr>
                <w:rFonts w:ascii="宋体" w:hAnsi="宋体" w:cs="宋体" w:eastAsia="宋体" w:hint="default"/>
                <w:sz w:val="18"/>
                <w:szCs w:val="18"/>
              </w:rPr>
            </w:pPr>
            <w:r>
              <w:rPr>
                <w:rFonts w:ascii="宋体" w:hAnsi="宋体" w:cs="宋体" w:eastAsia="宋体" w:hint="default"/>
                <w:sz w:val="18"/>
                <w:szCs w:val="18"/>
              </w:rPr>
              <w:t>屹唐投资、 华创芯原、 武岳峰集电</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21" w:right="41"/>
              <w:jc w:val="both"/>
              <w:rPr>
                <w:rFonts w:ascii="宋体" w:hAnsi="宋体" w:cs="宋体" w:eastAsia="宋体" w:hint="default"/>
                <w:sz w:val="18"/>
                <w:szCs w:val="18"/>
              </w:rPr>
            </w:pPr>
            <w:r>
              <w:rPr>
                <w:rFonts w:ascii="宋体" w:hAnsi="宋体" w:cs="宋体" w:eastAsia="宋体" w:hint="default"/>
                <w:sz w:val="18"/>
                <w:szCs w:val="18"/>
              </w:rPr>
              <w:t>关于股份 锁定的承 诺</w:t>
            </w: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1" w:right="24"/>
              <w:jc w:val="both"/>
              <w:rPr>
                <w:rFonts w:ascii="宋体" w:hAnsi="宋体" w:cs="宋体" w:eastAsia="宋体" w:hint="default"/>
                <w:sz w:val="18"/>
                <w:szCs w:val="18"/>
              </w:rPr>
            </w:pPr>
            <w:r>
              <w:rPr>
                <w:rFonts w:ascii="宋体" w:hAnsi="宋体" w:cs="宋体" w:eastAsia="宋体" w:hint="default"/>
                <w:sz w:val="18"/>
                <w:szCs w:val="18"/>
              </w:rPr>
              <w:t>为零；如北京矽成</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年和</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年实际净利润累计数达到承诺净利润累计数的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85%</w:t>
            </w:r>
            <w:r>
              <w:rPr>
                <w:rFonts w:ascii="宋体" w:hAnsi="宋体" w:cs="宋体" w:eastAsia="宋体" w:hint="default"/>
                <w:sz w:val="18"/>
                <w:szCs w:val="18"/>
              </w:rPr>
              <w:t>或以上，本承诺人可解锁的股份数 按如下公式计算：本承诺人可解锁的股份数</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年承诺净利润数</w:t>
            </w:r>
            <w:r>
              <w:rPr>
                <w:rFonts w:ascii="Times New Roman" w:hAnsi="Times New Roman" w:cs="Times New Roman" w:eastAsia="Times New Roman" w:hint="default"/>
                <w:sz w:val="18"/>
                <w:szCs w:val="18"/>
              </w:rPr>
              <w:t>÷</w:t>
            </w:r>
            <w:r>
              <w:rPr>
                <w:rFonts w:ascii="宋体" w:hAnsi="宋体" w:cs="宋体" w:eastAsia="宋体" w:hint="default"/>
                <w:sz w:val="18"/>
                <w:szCs w:val="18"/>
              </w:rPr>
              <w:t>业绩承诺期内承诺净利润累计数</w:t>
            </w:r>
            <w:r>
              <w:rPr>
                <w:rFonts w:ascii="Times New Roman" w:hAnsi="Times New Roman" w:cs="Times New Roman" w:eastAsia="Times New Roman" w:hint="default"/>
                <w:sz w:val="18"/>
                <w:szCs w:val="18"/>
              </w:rPr>
              <w:t>×</w:t>
            </w:r>
            <w:r>
              <w:rPr>
                <w:rFonts w:ascii="宋体" w:hAnsi="宋体" w:cs="宋体" w:eastAsia="宋体" w:hint="default"/>
                <w:sz w:val="18"/>
                <w:szCs w:val="18"/>
              </w:rPr>
              <w:t>本承诺人获得的对 价股份数量。第二期，于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年《专项审核报告》出具后，如根据《盈利补偿协议》，北京矽成</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pacing w:val="-2"/>
                <w:sz w:val="18"/>
                <w:szCs w:val="18"/>
              </w:rPr>
              <w:t>年和</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年实际</w:t>
            </w:r>
          </w:p>
          <w:p>
            <w:pPr>
              <w:pStyle w:val="TableParagraph"/>
              <w:spacing w:line="300" w:lineRule="auto" w:before="13"/>
              <w:ind w:left="21" w:right="17"/>
              <w:jc w:val="both"/>
              <w:rPr>
                <w:rFonts w:ascii="宋体" w:hAnsi="宋体" w:cs="宋体" w:eastAsia="宋体" w:hint="default"/>
                <w:sz w:val="18"/>
                <w:szCs w:val="18"/>
              </w:rPr>
            </w:pPr>
            <w:r>
              <w:rPr>
                <w:rFonts w:ascii="宋体" w:hAnsi="宋体" w:cs="宋体" w:eastAsia="宋体" w:hint="default"/>
                <w:sz w:val="18"/>
                <w:szCs w:val="18"/>
              </w:rPr>
              <w:t>净利润累计数未达到承诺净利润累计数的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w:t>
            </w:r>
            <w:r>
              <w:rPr>
                <w:rFonts w:ascii="宋体" w:hAnsi="宋体" w:cs="宋体" w:eastAsia="宋体" w:hint="default"/>
                <w:sz w:val="18"/>
                <w:szCs w:val="18"/>
              </w:rPr>
              <w:t>，则可解锁的股份数为零；如北京矽成</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年实际净利润累计 数达到承诺净利润累计数的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85%</w:t>
            </w:r>
            <w:r>
              <w:rPr>
                <w:rFonts w:ascii="宋体" w:hAnsi="宋体" w:cs="宋体" w:eastAsia="宋体" w:hint="default"/>
                <w:sz w:val="18"/>
                <w:szCs w:val="18"/>
              </w:rPr>
              <w:t>或以上，本承诺人可解锁的股份数按如下公式计算：本承诺人可解锁的股份数</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年承诺净利润累计数</w:t>
            </w:r>
            <w:r>
              <w:rPr>
                <w:rFonts w:ascii="Times New Roman" w:hAnsi="Times New Roman" w:cs="Times New Roman" w:eastAsia="Times New Roman" w:hint="default"/>
                <w:sz w:val="18"/>
                <w:szCs w:val="18"/>
              </w:rPr>
              <w:t>÷</w:t>
            </w:r>
            <w:r>
              <w:rPr>
                <w:rFonts w:ascii="宋体" w:hAnsi="宋体" w:cs="宋体" w:eastAsia="宋体" w:hint="default"/>
                <w:sz w:val="18"/>
                <w:szCs w:val="18"/>
              </w:rPr>
              <w:t>业绩承诺期内承诺净利润累计数</w:t>
            </w:r>
            <w:r>
              <w:rPr>
                <w:rFonts w:ascii="Times New Roman" w:hAnsi="Times New Roman" w:cs="Times New Roman" w:eastAsia="Times New Roman" w:hint="default"/>
                <w:sz w:val="18"/>
                <w:szCs w:val="18"/>
              </w:rPr>
              <w:t>×</w:t>
            </w:r>
            <w:r>
              <w:rPr>
                <w:rFonts w:ascii="宋体" w:hAnsi="宋体" w:cs="宋体" w:eastAsia="宋体" w:hint="default"/>
                <w:sz w:val="18"/>
                <w:szCs w:val="18"/>
              </w:rPr>
              <w:t>本承诺人获得的对价股份数量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第一期解锁股份数。第三</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6" w:lineRule="auto" w:before="60"/>
              <w:ind w:left="24" w:right="39"/>
              <w:jc w:val="both"/>
              <w:rPr>
                <w:rFonts w:ascii="宋体" w:hAnsi="宋体" w:cs="宋体" w:eastAsia="宋体" w:hint="default"/>
                <w:sz w:val="18"/>
                <w:szCs w:val="18"/>
              </w:rPr>
            </w:pPr>
            <w:r>
              <w:rPr>
                <w:rFonts w:ascii="宋体" w:hAnsi="宋体" w:cs="宋体" w:eastAsia="宋体" w:hint="default"/>
                <w:sz w:val="18"/>
                <w:szCs w:val="18"/>
              </w:rPr>
              <w:t>《专项审 核报告》 出具后</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3" w:right="38"/>
              <w:jc w:val="left"/>
              <w:rPr>
                <w:rFonts w:ascii="宋体" w:hAnsi="宋体" w:cs="宋体" w:eastAsia="宋体" w:hint="default"/>
                <w:sz w:val="18"/>
                <w:szCs w:val="18"/>
              </w:rPr>
            </w:pPr>
            <w:r>
              <w:rPr>
                <w:rFonts w:ascii="宋体" w:hAnsi="宋体" w:cs="宋体" w:eastAsia="宋体" w:hint="default"/>
                <w:sz w:val="18"/>
                <w:szCs w:val="18"/>
              </w:rPr>
              <w:t>报告期 内，承诺 人均遵守 了所做的 承诺。</w:t>
            </w: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期，于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年《专项审核报告》出具后，本承诺人于《盈利补偿协议》项下业绩补偿及减值补偿义务</w:t>
            </w:r>
            <w:r>
              <w:rPr>
                <w:rFonts w:ascii="Times New Roman" w:hAnsi="Times New Roman" w:cs="Times New Roman" w:eastAsia="Times New Roman" w:hint="default"/>
                <w:sz w:val="18"/>
                <w:szCs w:val="18"/>
              </w:rPr>
              <w:t>(</w:t>
            </w:r>
            <w:r>
              <w:rPr>
                <w:rFonts w:ascii="宋体" w:hAnsi="宋体" w:cs="宋体" w:eastAsia="宋体" w:hint="default"/>
                <w:sz w:val="18"/>
                <w:szCs w:val="18"/>
              </w:rPr>
              <w:t>如有</w:t>
            </w:r>
            <w:r>
              <w:rPr>
                <w:rFonts w:ascii="Times New Roman" w:hAnsi="Times New Roman" w:cs="Times New Roman" w:eastAsia="Times New Roman" w:hint="default"/>
                <w:sz w:val="18"/>
                <w:szCs w:val="18"/>
              </w:rPr>
              <w:t>)</w:t>
            </w:r>
            <w:r>
              <w:rPr>
                <w:rFonts w:ascii="宋体" w:hAnsi="宋体" w:cs="宋体" w:eastAsia="宋体" w:hint="default"/>
                <w:sz w:val="18"/>
                <w:szCs w:val="18"/>
              </w:rPr>
              <w:t>履行完毕后</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所持剩余股份可全部解锁</w:t>
            </w:r>
            <w:r>
              <w:rPr>
                <w:rFonts w:ascii="宋体" w:hAnsi="宋体" w:cs="宋体" w:eastAsia="宋体" w:hint="default"/>
                <w:spacing w:val="-111"/>
                <w:sz w:val="18"/>
                <w:szCs w:val="18"/>
              </w:rPr>
              <w:t>。</w:t>
            </w:r>
            <w:r>
              <w:rPr>
                <w:rFonts w:ascii="宋体" w:hAnsi="宋体" w:cs="宋体" w:eastAsia="宋体" w:hint="default"/>
                <w:sz w:val="18"/>
                <w:szCs w:val="18"/>
              </w:rPr>
              <w:t>《专项审核报告</w:t>
            </w:r>
            <w:r>
              <w:rPr>
                <w:rFonts w:ascii="宋体" w:hAnsi="宋体" w:cs="宋体" w:eastAsia="宋体" w:hint="default"/>
                <w:spacing w:val="-20"/>
                <w:sz w:val="18"/>
                <w:szCs w:val="18"/>
              </w:rPr>
              <w:t>》</w:t>
            </w:r>
            <w:r>
              <w:rPr>
                <w:rFonts w:ascii="宋体" w:hAnsi="宋体" w:cs="宋体" w:eastAsia="宋体" w:hint="default"/>
                <w:sz w:val="18"/>
                <w:szCs w:val="18"/>
              </w:rPr>
              <w:t>应于上市公司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20"/>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2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r>
              <w:rPr>
                <w:rFonts w:ascii="宋体" w:hAnsi="宋体" w:cs="宋体" w:eastAsia="宋体" w:hint="default"/>
                <w:spacing w:val="-3"/>
                <w:sz w:val="18"/>
                <w:szCs w:val="18"/>
              </w:rPr>
              <w:t>报</w:t>
            </w:r>
            <w:r>
              <w:rPr>
                <w:rFonts w:ascii="宋体" w:hAnsi="宋体" w:cs="宋体" w:eastAsia="宋体" w:hint="default"/>
                <w:sz w:val="18"/>
                <w:szCs w:val="18"/>
              </w:rPr>
              <w:t>告披露之日起</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日内出具</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如《专项审核报告》届时未能出具且未经上市公司与本承诺人同意并确认延期的，则视为本承诺人已满足上述相应阶段</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的解锁条件，可自上市公司相应年度报告披露届满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日后按上述安排解锁相应数量的股份。</w:t>
            </w:r>
            <w:r>
              <w:rPr>
                <w:rFonts w:ascii="Times New Roman" w:hAnsi="Times New Roman" w:cs="Times New Roman" w:eastAsia="Times New Roman" w:hint="default"/>
                <w:sz w:val="18"/>
                <w:szCs w:val="18"/>
              </w:rPr>
              <w:t>2</w:t>
            </w:r>
            <w:r>
              <w:rPr>
                <w:rFonts w:ascii="宋体" w:hAnsi="宋体" w:cs="宋体" w:eastAsia="宋体" w:hint="default"/>
                <w:sz w:val="18"/>
                <w:szCs w:val="18"/>
              </w:rPr>
              <w:t>、本次交易完成后，本承</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诺人因上市公司分配股票股利、转增股本等情形所增持的股份亦应遵守前述股份限售安排。锁定期届满后，本承诺人转</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让和交易依照届时有效的法律法规和深圳证券交易所的规则办理。若中国证监会等监管机构对本承诺人本次购买资产项</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94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下取得上市公司新增股份的锁定期另有要求，本承诺人将根据相关监管机构的监管意见及要求进行相应调整。</w:t>
            </w:r>
          </w:p>
        </w:tc>
        <w:tc>
          <w:tcPr>
            <w:tcW w:w="794" w:type="dxa"/>
            <w:tcBorders>
              <w:top w:val="nil" w:sz="6" w:space="0" w:color="auto"/>
              <w:left w:val="single" w:sz="4" w:space="0" w:color="000000"/>
              <w:bottom w:val="single" w:sz="4" w:space="0" w:color="000000"/>
              <w:right w:val="single" w:sz="4" w:space="0" w:color="000000"/>
            </w:tcBorders>
          </w:tcPr>
          <w:p>
            <w:pPr/>
          </w:p>
        </w:tc>
        <w:tc>
          <w:tcPr>
            <w:tcW w:w="795"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700" w:type="dxa"/>
            <w:vMerge/>
            <w:tcBorders>
              <w:left w:val="single" w:sz="4" w:space="0" w:color="000000"/>
              <w:right w:val="single" w:sz="4" w:space="0" w:color="000000"/>
            </w:tcBorders>
            <w:shd w:val="clear" w:color="auto" w:fill="D2D2D2"/>
          </w:tcPr>
          <w:p>
            <w:pPr/>
          </w:p>
        </w:tc>
        <w:tc>
          <w:tcPr>
            <w:tcW w:w="9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上海瑾矽、</w:t>
            </w:r>
          </w:p>
        </w:tc>
        <w:tc>
          <w:tcPr>
            <w:tcW w:w="794" w:type="dxa"/>
            <w:tcBorders>
              <w:top w:val="single" w:sz="4" w:space="0" w:color="000000"/>
              <w:left w:val="single" w:sz="4" w:space="0" w:color="000000"/>
              <w:bottom w:val="nil" w:sz="6" w:space="0" w:color="auto"/>
              <w:right w:val="single" w:sz="4" w:space="0" w:color="000000"/>
            </w:tcBorders>
          </w:tcPr>
          <w:p>
            <w:pPr/>
          </w:p>
        </w:tc>
        <w:tc>
          <w:tcPr>
            <w:tcW w:w="94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、本承诺人取得新增股份时</w:t>
            </w:r>
            <w:r>
              <w:rPr>
                <w:rFonts w:ascii="Times New Roman" w:hAnsi="Times New Roman" w:cs="Times New Roman" w:eastAsia="Times New Roman" w:hint="default"/>
                <w:sz w:val="18"/>
                <w:szCs w:val="18"/>
              </w:rPr>
              <w:t>(</w:t>
            </w:r>
            <w:r>
              <w:rPr>
                <w:rFonts w:ascii="宋体" w:hAnsi="宋体" w:cs="宋体" w:eastAsia="宋体" w:hint="default"/>
                <w:sz w:val="18"/>
                <w:szCs w:val="18"/>
              </w:rPr>
              <w:t>以在证券登记结算公司完成登记手续之日为准，下同</w:t>
            </w:r>
            <w:r>
              <w:rPr>
                <w:rFonts w:ascii="Times New Roman" w:hAnsi="Times New Roman" w:cs="Times New Roman" w:eastAsia="Times New Roman" w:hint="default"/>
                <w:sz w:val="18"/>
                <w:szCs w:val="18"/>
              </w:rPr>
              <w:t>)</w:t>
            </w:r>
            <w:r>
              <w:rPr>
                <w:rFonts w:ascii="宋体" w:hAnsi="宋体" w:cs="宋体" w:eastAsia="宋体" w:hint="default"/>
                <w:sz w:val="18"/>
                <w:szCs w:val="18"/>
              </w:rPr>
              <w:t>，如对用于认购股份的标的资产持续</w:t>
            </w:r>
          </w:p>
        </w:tc>
        <w:tc>
          <w:tcPr>
            <w:tcW w:w="794" w:type="dxa"/>
            <w:tcBorders>
              <w:top w:val="single" w:sz="4" w:space="0" w:color="000000"/>
              <w:left w:val="single" w:sz="4" w:space="0" w:color="000000"/>
              <w:bottom w:val="nil" w:sz="6" w:space="0" w:color="auto"/>
              <w:right w:val="single" w:sz="4" w:space="0" w:color="000000"/>
            </w:tcBorders>
          </w:tcPr>
          <w:p>
            <w:pPr/>
          </w:p>
        </w:tc>
        <w:tc>
          <w:tcPr>
            <w:tcW w:w="795" w:type="dxa"/>
            <w:tcBorders>
              <w:top w:val="single" w:sz="4" w:space="0" w:color="000000"/>
              <w:left w:val="single" w:sz="4" w:space="0" w:color="000000"/>
              <w:bottom w:val="nil" w:sz="6" w:space="0" w:color="auto"/>
              <w:right w:val="single" w:sz="4" w:space="0" w:color="000000"/>
            </w:tcBorders>
          </w:tcPr>
          <w:p>
            <w:pPr/>
          </w:p>
        </w:tc>
        <w:tc>
          <w:tcPr>
            <w:tcW w:w="794" w:type="dxa"/>
            <w:tcBorders>
              <w:top w:val="single" w:sz="4" w:space="0" w:color="000000"/>
              <w:left w:val="single" w:sz="4" w:space="0" w:color="000000"/>
              <w:bottom w:val="nil" w:sz="6" w:space="0" w:color="auto"/>
              <w:right w:val="single" w:sz="4" w:space="0" w:color="000000"/>
            </w:tcBorders>
          </w:tcPr>
          <w:p>
            <w:pPr/>
          </w:p>
        </w:tc>
      </w:tr>
      <w:tr>
        <w:trPr>
          <w:trHeight w:val="1556"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9" w:space="0" w:color="FFFFFF"/>
            </w:tcBorders>
          </w:tcPr>
          <w:p>
            <w:pPr>
              <w:pStyle w:val="TableParagraph"/>
              <w:spacing w:line="314" w:lineRule="auto" w:before="5"/>
              <w:ind w:left="23" w:right="-21"/>
              <w:jc w:val="left"/>
              <w:rPr>
                <w:rFonts w:ascii="宋体" w:hAnsi="宋体" w:cs="宋体" w:eastAsia="宋体" w:hint="default"/>
                <w:sz w:val="18"/>
                <w:szCs w:val="18"/>
              </w:rPr>
            </w:pPr>
            <w:r>
              <w:rPr>
                <w:rFonts w:ascii="宋体" w:hAnsi="宋体" w:cs="宋体" w:eastAsia="宋体" w:hint="default"/>
                <w:sz w:val="18"/>
                <w:szCs w:val="18"/>
              </w:rPr>
              <w:t>民和志威、 闪胜创芯、 </w:t>
            </w:r>
            <w:r>
              <w:rPr>
                <w:rFonts w:ascii="Times New Roman" w:hAnsi="Times New Roman" w:cs="Times New Roman" w:eastAsia="Times New Roman" w:hint="default"/>
                <w:sz w:val="18"/>
                <w:szCs w:val="18"/>
              </w:rPr>
              <w:t>WM</w:t>
            </w:r>
            <w:r>
              <w:rPr>
                <w:rFonts w:ascii="宋体" w:hAnsi="宋体" w:cs="宋体" w:eastAsia="宋体" w:hint="default"/>
                <w:sz w:val="18"/>
                <w:szCs w:val="18"/>
              </w:rPr>
              <w:t>、</w:t>
            </w:r>
            <w:r>
              <w:rPr>
                <w:rFonts w:ascii="Times New Roman" w:hAnsi="Times New Roman" w:cs="Times New Roman" w:eastAsia="Times New Roman" w:hint="default"/>
                <w:sz w:val="18"/>
                <w:szCs w:val="18"/>
              </w:rPr>
              <w:t>AM</w:t>
            </w:r>
            <w:r>
              <w:rPr>
                <w:rFonts w:ascii="宋体" w:hAnsi="宋体" w:cs="宋体" w:eastAsia="宋体" w:hint="default"/>
                <w:sz w:val="18"/>
                <w:szCs w:val="18"/>
              </w:rPr>
              <w:t>、 厦门芯华、 上海集岑、</w:t>
            </w:r>
          </w:p>
        </w:tc>
        <w:tc>
          <w:tcPr>
            <w:tcW w:w="794" w:type="dxa"/>
            <w:tcBorders>
              <w:top w:val="nil" w:sz="6" w:space="0" w:color="auto"/>
              <w:left w:val="single" w:sz="9"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15" w:right="41"/>
              <w:jc w:val="both"/>
              <w:rPr>
                <w:rFonts w:ascii="宋体" w:hAnsi="宋体" w:cs="宋体" w:eastAsia="宋体" w:hint="default"/>
                <w:sz w:val="18"/>
                <w:szCs w:val="18"/>
              </w:rPr>
            </w:pPr>
            <w:r>
              <w:rPr>
                <w:rFonts w:ascii="宋体" w:hAnsi="宋体" w:cs="宋体" w:eastAsia="宋体" w:hint="default"/>
                <w:sz w:val="18"/>
                <w:szCs w:val="18"/>
              </w:rPr>
              <w:t>关于股份 锁定的承 诺</w:t>
            </w: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both"/>
              <w:rPr>
                <w:rFonts w:ascii="宋体" w:hAnsi="宋体" w:cs="宋体" w:eastAsia="宋体" w:hint="default"/>
                <w:sz w:val="18"/>
                <w:szCs w:val="18"/>
              </w:rPr>
            </w:pPr>
            <w:r>
              <w:rPr>
                <w:rFonts w:ascii="宋体" w:hAnsi="宋体" w:cs="宋体" w:eastAsia="宋体" w:hint="default"/>
                <w:sz w:val="18"/>
                <w:szCs w:val="18"/>
              </w:rPr>
              <w:t>拥有权益的时间</w:t>
            </w:r>
            <w:r>
              <w:rPr>
                <w:rFonts w:ascii="Times New Roman" w:hAnsi="Times New Roman" w:cs="Times New Roman" w:eastAsia="Times New Roman" w:hint="default"/>
                <w:sz w:val="18"/>
                <w:szCs w:val="18"/>
              </w:rPr>
              <w:t>(</w:t>
            </w:r>
            <w:r>
              <w:rPr>
                <w:rFonts w:ascii="宋体" w:hAnsi="宋体" w:cs="宋体" w:eastAsia="宋体" w:hint="default"/>
                <w:sz w:val="18"/>
                <w:szCs w:val="18"/>
              </w:rPr>
              <w:t>以工商变更登记完成之日起算，下同</w:t>
            </w:r>
            <w:r>
              <w:rPr>
                <w:rFonts w:ascii="Times New Roman" w:hAnsi="Times New Roman" w:cs="Times New Roman" w:eastAsia="Times New Roman" w:hint="default"/>
                <w:sz w:val="18"/>
                <w:szCs w:val="18"/>
              </w:rPr>
              <w:t>)</w:t>
            </w:r>
            <w:r>
              <w:rPr>
                <w:rFonts w:ascii="宋体" w:hAnsi="宋体" w:cs="宋体" w:eastAsia="宋体" w:hint="default"/>
                <w:sz w:val="18"/>
                <w:szCs w:val="18"/>
              </w:rPr>
              <w:t>已超过</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个月，则其在本次购买资产项下取得的上市公司新增股</w:t>
            </w:r>
          </w:p>
          <w:p>
            <w:pPr>
              <w:pStyle w:val="TableParagraph"/>
              <w:spacing w:line="240" w:lineRule="auto" w:before="63"/>
              <w:ind w:left="21" w:right="0"/>
              <w:jc w:val="both"/>
              <w:rPr>
                <w:rFonts w:ascii="宋体" w:hAnsi="宋体" w:cs="宋体" w:eastAsia="宋体" w:hint="default"/>
                <w:sz w:val="18"/>
                <w:szCs w:val="18"/>
              </w:rPr>
            </w:pPr>
            <w:r>
              <w:rPr>
                <w:rFonts w:ascii="宋体" w:hAnsi="宋体" w:cs="宋体" w:eastAsia="宋体" w:hint="default"/>
                <w:sz w:val="18"/>
                <w:szCs w:val="18"/>
              </w:rPr>
              <w:t>份</w:t>
            </w:r>
            <w:r>
              <w:rPr>
                <w:rFonts w:ascii="Times New Roman" w:hAnsi="Times New Roman" w:cs="Times New Roman" w:eastAsia="Times New Roman" w:hint="default"/>
                <w:sz w:val="18"/>
                <w:szCs w:val="18"/>
              </w:rPr>
              <w:t>(</w:t>
            </w:r>
            <w:r>
              <w:rPr>
                <w:rFonts w:ascii="宋体" w:hAnsi="宋体" w:cs="宋体" w:eastAsia="宋体" w:hint="default"/>
                <w:sz w:val="18"/>
                <w:szCs w:val="18"/>
              </w:rPr>
              <w:t>即对价股份</w:t>
            </w:r>
            <w:r>
              <w:rPr>
                <w:rFonts w:ascii="Times New Roman" w:hAnsi="Times New Roman" w:cs="Times New Roman" w:eastAsia="Times New Roman" w:hint="default"/>
                <w:sz w:val="18"/>
                <w:szCs w:val="18"/>
              </w:rPr>
              <w:t>)</w:t>
            </w:r>
            <w:r>
              <w:rPr>
                <w:rFonts w:ascii="宋体" w:hAnsi="宋体" w:cs="宋体" w:eastAsia="宋体" w:hint="default"/>
                <w:sz w:val="18"/>
                <w:szCs w:val="18"/>
              </w:rPr>
              <w:t>自本次发行完成之日起</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个月内不得交易或转让；如对用于认购股份的标的资产持续拥有权益的时间不</w:t>
            </w:r>
          </w:p>
          <w:p>
            <w:pPr>
              <w:pStyle w:val="TableParagraph"/>
              <w:spacing w:line="309" w:lineRule="auto" w:before="63"/>
              <w:ind w:left="21" w:right="19"/>
              <w:jc w:val="both"/>
              <w:rPr>
                <w:rFonts w:ascii="宋体" w:hAnsi="宋体" w:cs="宋体" w:eastAsia="宋体" w:hint="default"/>
                <w:sz w:val="18"/>
                <w:szCs w:val="18"/>
              </w:rPr>
            </w:pPr>
            <w:r>
              <w:rPr>
                <w:rFonts w:ascii="宋体" w:hAnsi="宋体" w:cs="宋体" w:eastAsia="宋体" w:hint="default"/>
                <w:sz w:val="18"/>
                <w:szCs w:val="18"/>
              </w:rPr>
              <w:t>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个月，则其取得的上市公司新增股份自本次发行完成之日起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个月届满之日前不得转让。</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、本次交易完成后，本</w:t>
            </w:r>
            <w:r>
              <w:rPr>
                <w:rFonts w:ascii="宋体" w:hAnsi="宋体" w:cs="宋体" w:eastAsia="宋体" w:hint="default"/>
                <w:sz w:val="18"/>
                <w:szCs w:val="18"/>
              </w:rPr>
              <w:t> 承诺人因上市公司分配股票股利、转增股本等情形所增持的股份亦应遵守前述股份限售安排。锁定期届满后，本承诺人 转让和交易依照届时有效的法律法规和深交所的规则办理。若中国证监会等监管机构对本承诺人本次购买资产项下取得</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5" w:type="dxa"/>
            <w:tcBorders>
              <w:top w:val="nil" w:sz="6" w:space="0" w:color="auto"/>
              <w:left w:val="single" w:sz="4" w:space="0" w:color="000000"/>
              <w:bottom w:val="nil" w:sz="6" w:space="0" w:color="auto"/>
              <w:right w:val="single" w:sz="4" w:space="0" w:color="000000"/>
            </w:tcBorders>
          </w:tcPr>
          <w:p>
            <w:pPr>
              <w:pStyle w:val="TableParagraph"/>
              <w:spacing w:line="307" w:lineRule="auto" w:before="161"/>
              <w:ind w:left="24" w:right="39"/>
              <w:jc w:val="left"/>
              <w:rPr>
                <w:rFonts w:ascii="宋体" w:hAnsi="宋体" w:cs="宋体" w:eastAsia="宋体" w:hint="default"/>
                <w:sz w:val="18"/>
                <w:szCs w:val="18"/>
              </w:rPr>
            </w:pPr>
            <w:r>
              <w:rPr>
                <w:rFonts w:ascii="宋体" w:hAnsi="宋体" w:cs="宋体" w:eastAsia="宋体" w:hint="default"/>
                <w:sz w:val="18"/>
                <w:szCs w:val="18"/>
              </w:rPr>
              <w:t>取得新增 股份</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个月后</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319" w:lineRule="auto" w:before="5"/>
              <w:ind w:left="23" w:right="38"/>
              <w:jc w:val="left"/>
              <w:rPr>
                <w:rFonts w:ascii="宋体" w:hAnsi="宋体" w:cs="宋体" w:eastAsia="宋体" w:hint="default"/>
                <w:sz w:val="18"/>
                <w:szCs w:val="18"/>
              </w:rPr>
            </w:pPr>
            <w:r>
              <w:rPr>
                <w:rFonts w:ascii="宋体" w:hAnsi="宋体" w:cs="宋体" w:eastAsia="宋体" w:hint="default"/>
                <w:sz w:val="18"/>
                <w:szCs w:val="18"/>
              </w:rPr>
              <w:t>报告期 内，承诺 人均遵守 了所做的 承诺。</w:t>
            </w:r>
          </w:p>
        </w:tc>
      </w:tr>
      <w:tr>
        <w:trPr>
          <w:trHeight w:val="360" w:hRule="exact"/>
        </w:trPr>
        <w:tc>
          <w:tcPr>
            <w:tcW w:w="1700" w:type="dxa"/>
            <w:vMerge/>
            <w:tcBorders>
              <w:left w:val="single" w:sz="4" w:space="0" w:color="000000"/>
              <w:bottom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万丰投资</w:t>
            </w:r>
          </w:p>
        </w:tc>
        <w:tc>
          <w:tcPr>
            <w:tcW w:w="794" w:type="dxa"/>
            <w:tcBorders>
              <w:top w:val="nil" w:sz="6" w:space="0" w:color="auto"/>
              <w:left w:val="single" w:sz="4" w:space="0" w:color="000000"/>
              <w:bottom w:val="single" w:sz="4" w:space="0" w:color="000000"/>
              <w:right w:val="single" w:sz="4" w:space="0" w:color="000000"/>
            </w:tcBorders>
          </w:tcPr>
          <w:p>
            <w:pPr/>
          </w:p>
        </w:tc>
        <w:tc>
          <w:tcPr>
            <w:tcW w:w="94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上市公司新增股份的锁定期另有要求，本承诺人将根据相关监管机构的监管意见及要求进行相应调整。</w:t>
            </w:r>
          </w:p>
        </w:tc>
        <w:tc>
          <w:tcPr>
            <w:tcW w:w="794" w:type="dxa"/>
            <w:tcBorders>
              <w:top w:val="nil" w:sz="6" w:space="0" w:color="auto"/>
              <w:left w:val="single" w:sz="4" w:space="0" w:color="000000"/>
              <w:bottom w:val="single" w:sz="4" w:space="0" w:color="000000"/>
              <w:right w:val="single" w:sz="4" w:space="0" w:color="000000"/>
            </w:tcBorders>
          </w:tcPr>
          <w:p>
            <w:pPr/>
          </w:p>
        </w:tc>
        <w:tc>
          <w:tcPr>
            <w:tcW w:w="795"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660" w:right="640"/>
        </w:sectPr>
      </w:pPr>
    </w:p>
    <w:p>
      <w:pPr>
        <w:spacing w:line="240" w:lineRule="auto" w:before="2"/>
        <w:rPr>
          <w:rFonts w:ascii="Times New Roman" w:hAnsi="Times New Roman" w:cs="Times New Roman" w:eastAsia="Times New Roman" w:hint="default"/>
          <w:sz w:val="3"/>
          <w:szCs w:val="3"/>
        </w:rPr>
      </w:pPr>
      <w:r>
        <w:rPr/>
        <w:pict>
          <v:shape style="position:absolute;margin-left:471.549988pt;margin-top:315.309998pt;width:252.4pt;height:78pt;mso-position-horizontal-relative:page;mso-position-vertical-relative:page;z-index:-16127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0"/>
                      <w:szCs w:val="20"/>
                    </w:rPr>
                  </w:pPr>
                </w:p>
                <w:p>
                  <w:pPr>
                    <w:pStyle w:val="BodyText"/>
                    <w:spacing w:line="240" w:lineRule="auto"/>
                    <w:ind w:left="0" w:right="0"/>
                    <w:jc w:val="left"/>
                  </w:pPr>
                  <w:r>
                    <w:rPr/>
                    <w:t>不以任何方式单独或联合第三方谋求上市公司控制权。</w:t>
                  </w:r>
                </w:p>
              </w:txbxContent>
            </v:textbox>
            <w10:wrap type="none"/>
          </v:shape>
        </w:pict>
      </w:r>
      <w:r>
        <w:rPr/>
        <w:pict>
          <v:group style="position:absolute;margin-left:684.700012pt;margin-top:315.309998pt;width:39.25pt;height:78pt;mso-position-horizontal-relative:page;mso-position-vertical-relative:page;z-index:-1612768" coordorigin="13694,6306" coordsize="785,1560">
            <v:shape style="position:absolute;left:13694;top:6306;width:785;height:1560" coordorigin="13694,6306" coordsize="785,1560" path="m13694,7866l14479,7866,14479,6306,13694,6306,13694,7866xe" filled="true" fillcolor="#ffffff" stroked="false">
              <v:path arrowok="t"/>
              <v:fill type="solid"/>
            </v:shape>
            <w10:wrap type="none"/>
          </v:group>
        </w:pict>
      </w:r>
    </w:p>
    <w:tbl>
      <w:tblPr>
        <w:tblW w:w="0" w:type="auto"/>
        <w:jc w:val="left"/>
        <w:tblInd w:w="103" w:type="dxa"/>
        <w:tblLayout w:type="fixed"/>
        <w:tblCellMar>
          <w:top w:w="0" w:type="dxa"/>
          <w:left w:w="0" w:type="dxa"/>
          <w:bottom w:w="0" w:type="dxa"/>
          <w:right w:w="0" w:type="dxa"/>
        </w:tblCellMar>
        <w:tblLook w:val="01E0"/>
      </w:tblPr>
      <w:tblGrid>
        <w:gridCol w:w="1700"/>
        <w:gridCol w:w="998"/>
        <w:gridCol w:w="794"/>
        <w:gridCol w:w="9429"/>
        <w:gridCol w:w="794"/>
        <w:gridCol w:w="795"/>
        <w:gridCol w:w="794"/>
      </w:tblGrid>
      <w:tr>
        <w:trPr>
          <w:trHeight w:val="376" w:hRule="exact"/>
        </w:trPr>
        <w:tc>
          <w:tcPr>
            <w:tcW w:w="1700" w:type="dxa"/>
            <w:vMerge w:val="restart"/>
            <w:tcBorders>
              <w:top w:val="single" w:sz="15" w:space="0" w:color="000000"/>
              <w:left w:val="single" w:sz="4" w:space="0" w:color="000000"/>
              <w:right w:val="single" w:sz="4" w:space="0" w:color="000000"/>
            </w:tcBorders>
            <w:shd w:val="clear" w:color="auto" w:fill="D2D2D2"/>
          </w:tcPr>
          <w:p>
            <w:pPr/>
          </w:p>
        </w:tc>
        <w:tc>
          <w:tcPr>
            <w:tcW w:w="998" w:type="dxa"/>
            <w:tcBorders>
              <w:top w:val="single" w:sz="15" w:space="0" w:color="000000"/>
              <w:left w:val="single" w:sz="4" w:space="0" w:color="000000"/>
              <w:bottom w:val="nil" w:sz="6" w:space="0" w:color="auto"/>
              <w:right w:val="single" w:sz="4" w:space="0" w:color="000000"/>
            </w:tcBorders>
          </w:tcPr>
          <w:p>
            <w:pPr/>
          </w:p>
        </w:tc>
        <w:tc>
          <w:tcPr>
            <w:tcW w:w="794" w:type="dxa"/>
            <w:tcBorders>
              <w:top w:val="single" w:sz="15" w:space="0" w:color="000000"/>
              <w:left w:val="single" w:sz="4" w:space="0" w:color="000000"/>
              <w:bottom w:val="nil" w:sz="6" w:space="0" w:color="auto"/>
              <w:right w:val="single" w:sz="4" w:space="0" w:color="000000"/>
            </w:tcBorders>
          </w:tcPr>
          <w:p>
            <w:pPr/>
          </w:p>
        </w:tc>
        <w:tc>
          <w:tcPr>
            <w:tcW w:w="942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作为本次重组的交易对方，本次重组完成后，本承诺人将持有北京君正</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以上股份，现就本次重组完成后减少及避免</w:t>
            </w:r>
          </w:p>
        </w:tc>
        <w:tc>
          <w:tcPr>
            <w:tcW w:w="794" w:type="dxa"/>
            <w:tcBorders>
              <w:top w:val="single" w:sz="15" w:space="0" w:color="000000"/>
              <w:left w:val="single" w:sz="4" w:space="0" w:color="000000"/>
              <w:bottom w:val="nil" w:sz="6" w:space="0" w:color="auto"/>
              <w:right w:val="single" w:sz="4" w:space="0" w:color="000000"/>
            </w:tcBorders>
          </w:tcPr>
          <w:p>
            <w:pPr/>
          </w:p>
        </w:tc>
        <w:tc>
          <w:tcPr>
            <w:tcW w:w="795" w:type="dxa"/>
            <w:tcBorders>
              <w:top w:val="single" w:sz="15" w:space="0" w:color="000000"/>
              <w:left w:val="single" w:sz="4" w:space="0" w:color="000000"/>
              <w:bottom w:val="nil" w:sz="6" w:space="0" w:color="auto"/>
              <w:right w:val="single" w:sz="4" w:space="0" w:color="000000"/>
            </w:tcBorders>
          </w:tcPr>
          <w:p>
            <w:pPr/>
          </w:p>
        </w:tc>
        <w:tc>
          <w:tcPr>
            <w:tcW w:w="794" w:type="dxa"/>
            <w:tcBorders>
              <w:top w:val="single" w:sz="6" w:space="0" w:color="000000"/>
              <w:left w:val="single" w:sz="4" w:space="0" w:color="000000"/>
              <w:bottom w:val="nil" w:sz="6" w:space="0" w:color="auto"/>
              <w:right w:val="single" w:sz="4" w:space="0" w:color="000000"/>
            </w:tcBorders>
          </w:tcPr>
          <w:p>
            <w:pPr/>
          </w:p>
        </w:tc>
      </w:tr>
      <w:tr>
        <w:trPr>
          <w:trHeight w:val="1871"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62"/>
              <w:jc w:val="left"/>
              <w:rPr>
                <w:rFonts w:ascii="宋体" w:hAnsi="宋体" w:cs="宋体" w:eastAsia="宋体" w:hint="default"/>
                <w:sz w:val="18"/>
                <w:szCs w:val="18"/>
              </w:rPr>
            </w:pPr>
            <w:r>
              <w:rPr>
                <w:rFonts w:ascii="宋体" w:hAnsi="宋体" w:cs="宋体" w:eastAsia="宋体" w:hint="default"/>
                <w:sz w:val="18"/>
                <w:szCs w:val="18"/>
              </w:rPr>
              <w:t>屹唐投资、 华创芯原、 武岳峰集 电、上海集 岑</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1" w:right="41"/>
              <w:jc w:val="both"/>
              <w:rPr>
                <w:rFonts w:ascii="宋体" w:hAnsi="宋体" w:cs="宋体" w:eastAsia="宋体" w:hint="default"/>
                <w:sz w:val="18"/>
                <w:szCs w:val="18"/>
              </w:rPr>
            </w:pPr>
            <w:r>
              <w:rPr>
                <w:rFonts w:ascii="宋体" w:hAnsi="宋体" w:cs="宋体" w:eastAsia="宋体" w:hint="default"/>
                <w:sz w:val="18"/>
                <w:szCs w:val="18"/>
              </w:rPr>
              <w:t>关于避免 同业竞争 的承诺</w:t>
            </w: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307" w:lineRule="auto" w:before="4"/>
              <w:ind w:left="21" w:right="20"/>
              <w:jc w:val="both"/>
              <w:rPr>
                <w:rFonts w:ascii="宋体" w:hAnsi="宋体" w:cs="宋体" w:eastAsia="宋体" w:hint="default"/>
                <w:sz w:val="18"/>
                <w:szCs w:val="18"/>
              </w:rPr>
            </w:pPr>
            <w:r>
              <w:rPr>
                <w:rFonts w:ascii="宋体" w:hAnsi="宋体" w:cs="宋体" w:eastAsia="宋体" w:hint="default"/>
                <w:spacing w:val="-2"/>
                <w:sz w:val="18"/>
                <w:szCs w:val="18"/>
              </w:rPr>
              <w:t>与上市公司同业竞争事项作出声明、确认及承诺如下：</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、在本次重组业绩承诺期内，本承诺人不以任何方式直接或间接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控制从事与上市公司（含其下属企业，下同）的主营业务相同业务活动的任何实体。若发生此种行为，则本承诺人应在 因此种行为所获利金额的限额内按照上市公司实际损失向上市公司支付赔偿。</w:t>
            </w:r>
            <w:r>
              <w:rPr>
                <w:rFonts w:ascii="Times New Roman" w:hAnsi="Times New Roman" w:cs="Times New Roman" w:eastAsia="Times New Roman" w:hint="default"/>
                <w:sz w:val="18"/>
                <w:szCs w:val="18"/>
              </w:rPr>
              <w:t>"</w:t>
            </w:r>
            <w:r>
              <w:rPr>
                <w:rFonts w:ascii="宋体" w:hAnsi="宋体" w:cs="宋体" w:eastAsia="宋体" w:hint="default"/>
                <w:sz w:val="18"/>
                <w:szCs w:val="18"/>
              </w:rPr>
              <w:t>控制</w:t>
            </w:r>
            <w:r>
              <w:rPr>
                <w:rFonts w:ascii="Times New Roman" w:hAnsi="Times New Roman" w:cs="Times New Roman" w:eastAsia="Times New Roman" w:hint="default"/>
                <w:sz w:val="18"/>
                <w:szCs w:val="18"/>
              </w:rPr>
              <w:t>"</w:t>
            </w:r>
            <w:r>
              <w:rPr>
                <w:rFonts w:ascii="宋体" w:hAnsi="宋体" w:cs="宋体" w:eastAsia="宋体" w:hint="default"/>
                <w:sz w:val="18"/>
                <w:szCs w:val="18"/>
              </w:rPr>
              <w:t>是指对于一家公司或实体拥有超过 </w:t>
            </w:r>
            <w:r>
              <w:rPr>
                <w:rFonts w:ascii="宋体" w:hAnsi="宋体" w:cs="宋体" w:eastAsia="宋体" w:hint="default"/>
                <w:spacing w:val="-1"/>
                <w:sz w:val="18"/>
                <w:szCs w:val="18"/>
              </w:rPr>
              <w:t>百分之五十（</w:t>
            </w:r>
            <w:r>
              <w:rPr>
                <w:rFonts w:ascii="Times New Roman" w:hAnsi="Times New Roman" w:cs="Times New Roman" w:eastAsia="Times New Roman" w:hint="default"/>
                <w:spacing w:val="-1"/>
                <w:sz w:val="18"/>
                <w:szCs w:val="18"/>
              </w:rPr>
              <w:t>50%</w:t>
            </w:r>
            <w:r>
              <w:rPr>
                <w:rFonts w:ascii="宋体" w:hAnsi="宋体" w:cs="宋体" w:eastAsia="宋体" w:hint="default"/>
                <w:spacing w:val="-1"/>
                <w:sz w:val="18"/>
                <w:szCs w:val="18"/>
              </w:rPr>
              <w:t>）的有表决权股份，或拥有任命或选举其过半数董事的权力。</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、本承诺人于本次重组生效前已经完成</w:t>
            </w:r>
          </w:p>
          <w:p>
            <w:pPr>
              <w:pStyle w:val="TableParagraph"/>
              <w:spacing w:line="300" w:lineRule="auto" w:before="7"/>
              <w:ind w:left="21" w:right="19"/>
              <w:jc w:val="both"/>
              <w:rPr>
                <w:rFonts w:ascii="宋体" w:hAnsi="宋体" w:cs="宋体" w:eastAsia="宋体" w:hint="default"/>
                <w:sz w:val="18"/>
                <w:szCs w:val="18"/>
              </w:rPr>
            </w:pPr>
            <w:r>
              <w:rPr>
                <w:rFonts w:ascii="宋体" w:hAnsi="宋体" w:cs="宋体" w:eastAsia="宋体" w:hint="default"/>
                <w:spacing w:val="-2"/>
                <w:sz w:val="18"/>
                <w:szCs w:val="18"/>
              </w:rPr>
              <w:t>（以完成相应工商变更登记为准）的投资事项及以财务投资为目的进行的投资事项，不受前述承诺限制。</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、本承诺函至</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6"/>
                <w:sz w:val="18"/>
                <w:szCs w:val="18"/>
              </w:rPr>
              <w:t>发生以下情形时终止（以较早为准）：（</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）本次交易终止；（</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）本承诺人对北京君正持股比例首次低于</w:t>
            </w:r>
            <w:r>
              <w:rPr>
                <w:rFonts w:ascii="宋体" w:hAnsi="宋体" w:cs="宋体" w:eastAsia="宋体" w:hint="default"/>
                <w:spacing w:val="-29"/>
                <w:sz w:val="18"/>
                <w:szCs w:val="18"/>
              </w:rPr>
              <w:t> </w:t>
            </w:r>
            <w:r>
              <w:rPr>
                <w:rFonts w:ascii="Times New Roman" w:hAnsi="Times New Roman" w:cs="Times New Roman" w:eastAsia="Times New Roman" w:hint="default"/>
                <w:spacing w:val="-11"/>
                <w:sz w:val="18"/>
                <w:szCs w:val="18"/>
              </w:rPr>
              <w:t>5%</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3</w:t>
            </w:r>
            <w:r>
              <w:rPr>
                <w:rFonts w:ascii="宋体" w:hAnsi="宋体" w:cs="宋体" w:eastAsia="宋体" w:hint="default"/>
                <w:spacing w:val="-11"/>
                <w:sz w:val="18"/>
                <w:szCs w:val="18"/>
              </w:rPr>
              <w:t>）北京君</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38"/>
              <w:jc w:val="left"/>
              <w:rPr>
                <w:rFonts w:ascii="宋体" w:hAnsi="宋体" w:cs="宋体" w:eastAsia="宋体" w:hint="default"/>
                <w:sz w:val="18"/>
                <w:szCs w:val="18"/>
              </w:rPr>
            </w:pPr>
            <w:r>
              <w:rPr>
                <w:rFonts w:ascii="宋体" w:hAnsi="宋体" w:cs="宋体" w:eastAsia="宋体" w:hint="default"/>
                <w:sz w:val="18"/>
                <w:szCs w:val="18"/>
              </w:rPr>
              <w:t>报告期 内，承诺 人均遵守 了所做的 承诺。</w:t>
            </w:r>
          </w:p>
        </w:tc>
      </w:tr>
      <w:tr>
        <w:trPr>
          <w:trHeight w:val="355"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94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正股票终止在深交所上市。</w:t>
            </w:r>
          </w:p>
        </w:tc>
        <w:tc>
          <w:tcPr>
            <w:tcW w:w="794" w:type="dxa"/>
            <w:tcBorders>
              <w:top w:val="nil" w:sz="6" w:space="0" w:color="auto"/>
              <w:left w:val="single" w:sz="4" w:space="0" w:color="000000"/>
              <w:bottom w:val="single" w:sz="4" w:space="0" w:color="000000"/>
              <w:right w:val="single" w:sz="4" w:space="0" w:color="000000"/>
            </w:tcBorders>
          </w:tcPr>
          <w:p>
            <w:pPr/>
          </w:p>
        </w:tc>
        <w:tc>
          <w:tcPr>
            <w:tcW w:w="795"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r>
      <w:tr>
        <w:trPr>
          <w:trHeight w:val="4148" w:hRule="exact"/>
        </w:trPr>
        <w:tc>
          <w:tcPr>
            <w:tcW w:w="1700" w:type="dxa"/>
            <w:vMerge/>
            <w:tcBorders>
              <w:left w:val="single" w:sz="4" w:space="0" w:color="000000"/>
              <w:bottom w:val="single" w:sz="4" w:space="0" w:color="000000"/>
              <w:right w:val="single" w:sz="4" w:space="0" w:color="000000"/>
            </w:tcBorders>
            <w:shd w:val="clear" w:color="auto" w:fill="D2D2D2"/>
          </w:tcPr>
          <w:p>
            <w:pPr/>
          </w:p>
        </w:tc>
        <w:tc>
          <w:tcPr>
            <w:tcW w:w="998"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屹唐投资、 华创芯原、 上海瑾矽、 民和志威、 闪胜创芯、 </w:t>
            </w:r>
            <w:r>
              <w:rPr>
                <w:rFonts w:ascii="Times New Roman" w:hAnsi="Times New Roman" w:cs="Times New Roman" w:eastAsia="Times New Roman" w:hint="default"/>
                <w:sz w:val="18"/>
                <w:szCs w:val="18"/>
              </w:rPr>
              <w:t>WM</w:t>
            </w:r>
            <w:r>
              <w:rPr>
                <w:rFonts w:ascii="宋体" w:hAnsi="宋体" w:cs="宋体" w:eastAsia="宋体" w:hint="default"/>
                <w:sz w:val="18"/>
                <w:szCs w:val="18"/>
              </w:rPr>
              <w:t>、</w:t>
            </w:r>
            <w:r>
              <w:rPr>
                <w:rFonts w:ascii="Times New Roman" w:hAnsi="Times New Roman" w:cs="Times New Roman" w:eastAsia="Times New Roman" w:hint="default"/>
                <w:sz w:val="18"/>
                <w:szCs w:val="18"/>
              </w:rPr>
              <w:t>AM</w:t>
            </w:r>
            <w:r>
              <w:rPr>
                <w:rFonts w:ascii="宋体" w:hAnsi="宋体" w:cs="宋体" w:eastAsia="宋体" w:hint="default"/>
                <w:sz w:val="18"/>
                <w:szCs w:val="18"/>
              </w:rPr>
              <w:t>、 厦门芯华、 武岳峰集 电、上海集 岑、北京青 禾、万丰投 资、承裕投 资</w:t>
            </w:r>
          </w:p>
        </w:tc>
        <w:tc>
          <w:tcPr>
            <w:tcW w:w="79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9" w:lineRule="auto"/>
              <w:ind w:left="15" w:right="41"/>
              <w:jc w:val="both"/>
              <w:rPr>
                <w:rFonts w:ascii="宋体" w:hAnsi="宋体" w:cs="宋体" w:eastAsia="宋体" w:hint="default"/>
                <w:sz w:val="18"/>
                <w:szCs w:val="18"/>
              </w:rPr>
            </w:pPr>
            <w:r>
              <w:rPr>
                <w:rFonts w:ascii="宋体" w:hAnsi="宋体" w:cs="宋体" w:eastAsia="宋体" w:hint="default"/>
                <w:sz w:val="18"/>
                <w:szCs w:val="18"/>
              </w:rPr>
              <w:t>关于不谋 求上市公 司控制权 的声明及 承诺</w:t>
            </w:r>
          </w:p>
        </w:tc>
        <w:tc>
          <w:tcPr>
            <w:tcW w:w="9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9" w:lineRule="auto"/>
              <w:ind w:left="21" w:right="2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、截至本函出具日，交易对方之间未就本次交易完成后共同扩大所能支配的上市公司股份表决权数量、经营决策、董事</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人选推荐等签署或达成任何协议或其他安排；本次交易完成后，交易对方亦不会签署或达成任何与此相关的协议或其他 </w:t>
            </w:r>
            <w:r>
              <w:rPr>
                <w:rFonts w:ascii="宋体" w:hAnsi="宋体" w:cs="宋体" w:eastAsia="宋体" w:hint="default"/>
                <w:spacing w:val="-2"/>
                <w:sz w:val="18"/>
                <w:szCs w:val="18"/>
              </w:rPr>
              <w:t>安排。</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、本次交易完成后，在上市公司的日常运作中，交易对方将各自及单独委派股东代表出席会议并独立行使股东表</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决权，承诺并确保不会相互间委托股东表决权，不会就上市公司审议事项相互商议一致后再进行表决，即交易对方之间 </w:t>
            </w:r>
            <w:r>
              <w:rPr>
                <w:rFonts w:ascii="宋体" w:hAnsi="宋体" w:cs="宋体" w:eastAsia="宋体" w:hint="default"/>
                <w:spacing w:val="-2"/>
                <w:sz w:val="18"/>
                <w:szCs w:val="18"/>
              </w:rPr>
              <w:t>不会形成一致行动的默契或安排，但为维护上市公司现有控制权之目的除外。</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、本次交易完成后，交易对方将不会联合</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向上市公司提出以下议案：提名董事、监事候选人；罢免上市公司在任董事、监事；改组上市公司董事会、监事会；新 增上市公司董事会、监事会成员等改变上市公司董事会、监事会现有人员组成结构或对董事会、监事会人员组成结构产 生实质性影响。交易对方进一步确认，本次交易完成后，上市公司董事会成员由六名调整至九名，全体交易对方向上市 </w:t>
            </w:r>
            <w:r>
              <w:rPr>
                <w:rFonts w:ascii="宋体" w:hAnsi="宋体" w:cs="宋体" w:eastAsia="宋体" w:hint="default"/>
                <w:spacing w:val="-2"/>
                <w:sz w:val="18"/>
                <w:szCs w:val="18"/>
              </w:rPr>
              <w:t>公司提名的董事人数合计不超过上市公司届时董事总数的四分之一，但不低于两名。</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、交易对方均尊重刘强先生和李杰</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4"/>
                <w:sz w:val="18"/>
                <w:szCs w:val="18"/>
              </w:rPr>
              <w:t>先生于上市公司的实际控制人地位，在本次交易完成后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个月内，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、如违反上述承诺，上市公司有权要求承诺人根据上述承诺予以改正，承诺人拒绝改正的，上市公司有权拒绝承诺人的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相应要求。</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4" w:right="39"/>
              <w:jc w:val="left"/>
              <w:rPr>
                <w:rFonts w:ascii="宋体" w:hAnsi="宋体" w:cs="宋体" w:eastAsia="宋体" w:hint="default"/>
                <w:sz w:val="18"/>
                <w:szCs w:val="18"/>
              </w:rPr>
            </w:pPr>
            <w:r>
              <w:rPr>
                <w:rFonts w:ascii="宋体" w:hAnsi="宋体" w:cs="宋体" w:eastAsia="宋体" w:hint="default"/>
                <w:sz w:val="18"/>
                <w:szCs w:val="18"/>
              </w:rPr>
              <w:t>本次交易 完成后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9" w:lineRule="auto"/>
              <w:ind w:left="23" w:right="38"/>
              <w:jc w:val="left"/>
              <w:rPr>
                <w:rFonts w:ascii="宋体" w:hAnsi="宋体" w:cs="宋体" w:eastAsia="宋体" w:hint="default"/>
                <w:sz w:val="18"/>
                <w:szCs w:val="18"/>
              </w:rPr>
            </w:pPr>
            <w:r>
              <w:rPr>
                <w:rFonts w:ascii="宋体" w:hAnsi="宋体" w:cs="宋体" w:eastAsia="宋体" w:hint="default"/>
                <w:sz w:val="18"/>
                <w:szCs w:val="18"/>
              </w:rPr>
              <w:t>报告期 内，承诺 人均遵守 了所做的 承诺。</w:t>
            </w:r>
          </w:p>
        </w:tc>
      </w:tr>
    </w:tbl>
    <w:p>
      <w:pPr>
        <w:spacing w:after="0" w:line="319" w:lineRule="auto"/>
        <w:jc w:val="left"/>
        <w:rPr>
          <w:rFonts w:ascii="宋体" w:hAnsi="宋体" w:cs="宋体" w:eastAsia="宋体" w:hint="default"/>
          <w:sz w:val="18"/>
          <w:szCs w:val="18"/>
        </w:rPr>
        <w:sectPr>
          <w:pgSz w:w="16840" w:h="11910" w:orient="landscape"/>
          <w:pgMar w:header="867" w:footer="980" w:top="1060" w:bottom="1160" w:left="660" w:right="640"/>
        </w:sectPr>
      </w:pPr>
    </w:p>
    <w:p>
      <w:pPr>
        <w:spacing w:line="240" w:lineRule="auto" w:before="2"/>
        <w:rPr>
          <w:rFonts w:ascii="Times New Roman" w:hAnsi="Times New Roman" w:cs="Times New Roman" w:eastAsia="Times New Roman" w:hint="default"/>
          <w:sz w:val="3"/>
          <w:szCs w:val="3"/>
        </w:rPr>
      </w:pPr>
      <w:r>
        <w:rPr/>
        <w:pict>
          <v:shape style="position:absolute;margin-left:453.527008pt;margin-top:57.236008pt;width:270.45pt;height:78.05pt;mso-position-horizontal-relative:page;mso-position-vertical-relative:page;z-index:-16127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2"/>
                    <w:ind w:left="0" w:right="0"/>
                    <w:jc w:val="left"/>
                  </w:pPr>
                  <w:r>
                    <w:rPr/>
                    <w:t>本承诺人及本承诺人控制的其他企业将严格遵循相关法律、</w:t>
                  </w:r>
                </w:p>
              </w:txbxContent>
            </v:textbox>
            <w10:wrap type="none"/>
          </v:shape>
        </w:pict>
      </w:r>
      <w:r>
        <w:rPr/>
        <w:pict>
          <v:group style="position:absolute;margin-left:684.700012pt;margin-top:57.236008pt;width:39.25pt;height:78.05pt;mso-position-horizontal-relative:page;mso-position-vertical-relative:page;z-index:-1612720" coordorigin="13694,1145" coordsize="785,1561">
            <v:shape style="position:absolute;left:13694;top:1145;width:785;height:1561" coordorigin="13694,1145" coordsize="785,1561" path="m13694,2705l14479,2705,14479,1145,13694,1145,13694,2705xe" filled="true" fillcolor="#ffffff" stroked="false">
              <v:path arrowok="t"/>
              <v:fill type="solid"/>
            </v:shape>
            <w10:wrap type="none"/>
          </v:group>
        </w:pict>
      </w:r>
      <w:r>
        <w:rPr/>
        <w:pict>
          <v:group style="position:absolute;margin-left:685.900024pt;margin-top:152.780014pt;width:36.85pt;height:17.650pt;mso-position-horizontal-relative:page;mso-position-vertical-relative:page;z-index:-1612696" coordorigin="13718,3056" coordsize="737,353">
            <v:shape style="position:absolute;left:13718;top:3056;width:737;height:353" coordorigin="13718,3056" coordsize="737,353" path="m13718,3408l14455,3408,14455,3056,13718,3056,13718,3408xe" filled="true" fillcolor="#ffffff" stroked="false">
              <v:path arrowok="t"/>
              <v:fill type="solid"/>
            </v:shape>
            <w10:wrap type="none"/>
          </v:group>
        </w:pict>
      </w:r>
    </w:p>
    <w:tbl>
      <w:tblPr>
        <w:tblW w:w="0" w:type="auto"/>
        <w:jc w:val="left"/>
        <w:tblInd w:w="103" w:type="dxa"/>
        <w:tblLayout w:type="fixed"/>
        <w:tblCellMar>
          <w:top w:w="0" w:type="dxa"/>
          <w:left w:w="0" w:type="dxa"/>
          <w:bottom w:w="0" w:type="dxa"/>
          <w:right w:w="0" w:type="dxa"/>
        </w:tblCellMar>
        <w:tblLook w:val="01E0"/>
      </w:tblPr>
      <w:tblGrid>
        <w:gridCol w:w="1700"/>
        <w:gridCol w:w="998"/>
        <w:gridCol w:w="794"/>
        <w:gridCol w:w="9429"/>
        <w:gridCol w:w="794"/>
        <w:gridCol w:w="795"/>
        <w:gridCol w:w="794"/>
      </w:tblGrid>
      <w:tr>
        <w:trPr>
          <w:trHeight w:val="376" w:hRule="exact"/>
        </w:trPr>
        <w:tc>
          <w:tcPr>
            <w:tcW w:w="1700" w:type="dxa"/>
            <w:vMerge w:val="restart"/>
            <w:tcBorders>
              <w:top w:val="single" w:sz="15" w:space="0" w:color="000000"/>
              <w:left w:val="single" w:sz="4" w:space="0" w:color="000000"/>
              <w:right w:val="single" w:sz="4" w:space="0" w:color="000000"/>
            </w:tcBorders>
            <w:shd w:val="clear" w:color="auto" w:fill="D2D2D2"/>
          </w:tcPr>
          <w:p>
            <w:pPr/>
          </w:p>
        </w:tc>
        <w:tc>
          <w:tcPr>
            <w:tcW w:w="998" w:type="dxa"/>
            <w:tcBorders>
              <w:top w:val="single" w:sz="15" w:space="0" w:color="000000"/>
              <w:left w:val="single" w:sz="4" w:space="0" w:color="000000"/>
              <w:bottom w:val="nil" w:sz="6" w:space="0" w:color="auto"/>
              <w:right w:val="single" w:sz="4" w:space="0" w:color="000000"/>
            </w:tcBorders>
          </w:tcPr>
          <w:p>
            <w:pPr/>
          </w:p>
        </w:tc>
        <w:tc>
          <w:tcPr>
            <w:tcW w:w="794" w:type="dxa"/>
            <w:tcBorders>
              <w:top w:val="single" w:sz="15" w:space="0" w:color="000000"/>
              <w:left w:val="single" w:sz="4" w:space="0" w:color="000000"/>
              <w:bottom w:val="nil" w:sz="6" w:space="0" w:color="auto"/>
              <w:right w:val="single" w:sz="4" w:space="0" w:color="000000"/>
            </w:tcBorders>
          </w:tcPr>
          <w:p>
            <w:pPr/>
          </w:p>
        </w:tc>
        <w:tc>
          <w:tcPr>
            <w:tcW w:w="942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作为本次重组的交易对方，本承诺人将持有上市公司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以上股份，就减少及规范与上市公司关联交易事宜，本承诺人</w:t>
            </w:r>
          </w:p>
        </w:tc>
        <w:tc>
          <w:tcPr>
            <w:tcW w:w="794" w:type="dxa"/>
            <w:tcBorders>
              <w:top w:val="single" w:sz="15" w:space="0" w:color="000000"/>
              <w:left w:val="single" w:sz="4" w:space="0" w:color="000000"/>
              <w:bottom w:val="nil" w:sz="6" w:space="0" w:color="auto"/>
              <w:right w:val="single" w:sz="4" w:space="0" w:color="000000"/>
            </w:tcBorders>
          </w:tcPr>
          <w:p>
            <w:pPr/>
          </w:p>
        </w:tc>
        <w:tc>
          <w:tcPr>
            <w:tcW w:w="795" w:type="dxa"/>
            <w:tcBorders>
              <w:top w:val="single" w:sz="15" w:space="0" w:color="000000"/>
              <w:left w:val="single" w:sz="4" w:space="0" w:color="000000"/>
              <w:bottom w:val="nil" w:sz="6" w:space="0" w:color="auto"/>
              <w:right w:val="single" w:sz="4" w:space="0" w:color="000000"/>
            </w:tcBorders>
          </w:tcPr>
          <w:p>
            <w:pPr/>
          </w:p>
        </w:tc>
        <w:tc>
          <w:tcPr>
            <w:tcW w:w="794" w:type="dxa"/>
            <w:tcBorders>
              <w:top w:val="single" w:sz="6" w:space="0" w:color="000000"/>
              <w:left w:val="single" w:sz="4" w:space="0" w:color="000000"/>
              <w:bottom w:val="nil" w:sz="6" w:space="0" w:color="auto"/>
              <w:right w:val="single" w:sz="4" w:space="0" w:color="000000"/>
            </w:tcBorders>
          </w:tcPr>
          <w:p>
            <w:pPr/>
          </w:p>
        </w:tc>
      </w:tr>
      <w:tr>
        <w:trPr>
          <w:trHeight w:val="311"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1" w:right="0"/>
              <w:jc w:val="left"/>
              <w:rPr>
                <w:rFonts w:ascii="宋体" w:hAnsi="宋体" w:cs="宋体" w:eastAsia="宋体" w:hint="default"/>
                <w:sz w:val="18"/>
                <w:szCs w:val="18"/>
              </w:rPr>
            </w:pPr>
            <w:r>
              <w:rPr>
                <w:rFonts w:ascii="宋体" w:hAnsi="宋体" w:cs="宋体" w:eastAsia="宋体" w:hint="default"/>
                <w:spacing w:val="-5"/>
                <w:sz w:val="18"/>
                <w:szCs w:val="18"/>
              </w:rPr>
              <w:t>现作出声明、确认及承诺如下：</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、在持有上市公司股份期间，</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法规</w:t>
            </w:r>
            <w:r>
              <w:rPr>
                <w:rFonts w:ascii="宋体" w:hAnsi="宋体" w:cs="宋体" w:eastAsia="宋体" w:hint="default"/>
                <w:spacing w:val="-20"/>
                <w:sz w:val="18"/>
                <w:szCs w:val="18"/>
              </w:rPr>
              <w:t>、</w:t>
            </w:r>
            <w:r>
              <w:rPr>
                <w:rFonts w:ascii="宋体" w:hAnsi="宋体" w:cs="宋体" w:eastAsia="宋体" w:hint="default"/>
                <w:sz w:val="18"/>
                <w:szCs w:val="18"/>
              </w:rPr>
              <w:t>规章及规范性文件</w:t>
            </w:r>
            <w:r>
              <w:rPr>
                <w:rFonts w:ascii="宋体" w:hAnsi="宋体" w:cs="宋体" w:eastAsia="宋体" w:hint="default"/>
                <w:spacing w:val="-111"/>
                <w:sz w:val="18"/>
                <w:szCs w:val="18"/>
              </w:rPr>
              <w:t>、</w:t>
            </w:r>
            <w:r>
              <w:rPr>
                <w:rFonts w:ascii="宋体" w:hAnsi="宋体" w:cs="宋体" w:eastAsia="宋体" w:hint="default"/>
                <w:sz w:val="18"/>
                <w:szCs w:val="18"/>
              </w:rPr>
              <w:t>《公司章程</w:t>
            </w:r>
            <w:r>
              <w:rPr>
                <w:rFonts w:ascii="宋体" w:hAnsi="宋体" w:cs="宋体" w:eastAsia="宋体" w:hint="default"/>
                <w:spacing w:val="-19"/>
                <w:sz w:val="18"/>
                <w:szCs w:val="18"/>
              </w:rPr>
              <w:t>》</w:t>
            </w:r>
            <w:r>
              <w:rPr>
                <w:rFonts w:ascii="宋体" w:hAnsi="宋体" w:cs="宋体" w:eastAsia="宋体" w:hint="default"/>
                <w:sz w:val="18"/>
                <w:szCs w:val="18"/>
              </w:rPr>
              <w:t>及上市公司其他内部规章制度等有关规定行使股东权利</w:t>
            </w:r>
            <w:r>
              <w:rPr>
                <w:rFonts w:ascii="宋体" w:hAnsi="宋体" w:cs="宋体" w:eastAsia="宋体" w:hint="default"/>
                <w:spacing w:val="-20"/>
                <w:sz w:val="18"/>
                <w:szCs w:val="18"/>
              </w:rPr>
              <w:t>；</w:t>
            </w:r>
            <w:r>
              <w:rPr>
                <w:rFonts w:ascii="宋体" w:hAnsi="宋体" w:cs="宋体" w:eastAsia="宋体" w:hint="default"/>
                <w:sz w:val="18"/>
                <w:szCs w:val="18"/>
              </w:rPr>
              <w:t>在上市公司股东大会对</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1878"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3" w:right="62"/>
              <w:jc w:val="left"/>
              <w:rPr>
                <w:rFonts w:ascii="宋体" w:hAnsi="宋体" w:cs="宋体" w:eastAsia="宋体" w:hint="default"/>
                <w:sz w:val="18"/>
                <w:szCs w:val="18"/>
              </w:rPr>
            </w:pPr>
            <w:r>
              <w:rPr>
                <w:rFonts w:ascii="宋体" w:hAnsi="宋体" w:cs="宋体" w:eastAsia="宋体" w:hint="default"/>
                <w:sz w:val="18"/>
                <w:szCs w:val="18"/>
              </w:rPr>
              <w:t>屹唐投资、 华创芯原、 武岳峰集 电、上海集 岑</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1" w:right="41"/>
              <w:jc w:val="both"/>
              <w:rPr>
                <w:rFonts w:ascii="宋体" w:hAnsi="宋体" w:cs="宋体" w:eastAsia="宋体" w:hint="default"/>
                <w:sz w:val="18"/>
                <w:szCs w:val="18"/>
              </w:rPr>
            </w:pPr>
            <w:r>
              <w:rPr>
                <w:rFonts w:ascii="宋体" w:hAnsi="宋体" w:cs="宋体" w:eastAsia="宋体" w:hint="default"/>
                <w:sz w:val="18"/>
                <w:szCs w:val="18"/>
              </w:rPr>
              <w:t>关于减少 及规范关 联交易的 承诺</w:t>
            </w:r>
          </w:p>
        </w:tc>
        <w:tc>
          <w:tcPr>
            <w:tcW w:w="9429" w:type="dxa"/>
            <w:tcBorders>
              <w:top w:val="nil" w:sz="6" w:space="0" w:color="auto"/>
              <w:left w:val="single" w:sz="4" w:space="0" w:color="000000"/>
              <w:bottom w:val="nil" w:sz="6" w:space="0" w:color="auto"/>
              <w:right w:val="single" w:sz="13" w:space="0" w:color="FFFFFF"/>
            </w:tcBorders>
          </w:tcPr>
          <w:p>
            <w:pPr>
              <w:pStyle w:val="TableParagraph"/>
              <w:spacing w:line="312" w:lineRule="auto" w:before="10"/>
              <w:ind w:left="21" w:right="10"/>
              <w:jc w:val="left"/>
              <w:rPr>
                <w:rFonts w:ascii="宋体" w:hAnsi="宋体" w:cs="宋体" w:eastAsia="宋体" w:hint="default"/>
                <w:sz w:val="18"/>
                <w:szCs w:val="18"/>
              </w:rPr>
            </w:pPr>
            <w:r>
              <w:rPr>
                <w:rFonts w:ascii="宋体" w:hAnsi="宋体" w:cs="宋体" w:eastAsia="宋体" w:hint="default"/>
                <w:spacing w:val="-2"/>
                <w:sz w:val="18"/>
                <w:szCs w:val="18"/>
              </w:rPr>
              <w:t>涉及本承诺人及本承诺人控制的其他企业的关联交易进行表决时，履行关联交易决策、回避表决等公允决策程序。</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w:t>
            </w:r>
            <w:r>
              <w:rPr>
                <w:rFonts w:ascii="宋体" w:hAnsi="宋体" w:cs="宋体" w:eastAsia="宋体" w:hint="default"/>
                <w:spacing w:val="-81"/>
                <w:sz w:val="18"/>
                <w:szCs w:val="18"/>
              </w:rPr>
              <w:t> </w:t>
            </w:r>
            <w:r>
              <w:rPr>
                <w:rFonts w:ascii="宋体" w:hAnsi="宋体" w:cs="宋体" w:eastAsia="宋体" w:hint="default"/>
                <w:sz w:val="18"/>
                <w:szCs w:val="18"/>
              </w:rPr>
              <w:t>持有上市公司股份期间，本承诺人及本承诺人控制的其他企业将尽可能避免或减少与北京君正及其控制企业之间发生关</w:t>
            </w:r>
            <w:r>
              <w:rPr>
                <w:rFonts w:ascii="宋体" w:hAnsi="宋体" w:cs="宋体" w:eastAsia="宋体" w:hint="default"/>
                <w:sz w:val="18"/>
                <w:szCs w:val="18"/>
              </w:rPr>
              <w:t> 联交易；对无法避免或者有合理原因发生的关联交易，将遵循市场公正、公平、公开的原则，按照公允、合理的市场价 </w:t>
            </w:r>
            <w:r>
              <w:rPr>
                <w:rFonts w:ascii="宋体" w:hAnsi="宋体" w:cs="宋体" w:eastAsia="宋体" w:hint="default"/>
                <w:spacing w:val="-2"/>
                <w:sz w:val="18"/>
                <w:szCs w:val="18"/>
              </w:rPr>
              <w:t>格进行交易，并按相关法律、法规、规章及规范性文件、《公司章程》的规定等履行关联交易决策程序及信息披露义务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保证不通过与北京君正及其控制企业的关联交易损害北京君正及其他股东的合法权益。</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、在持有上市公司股份期间，不</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利用持股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以上股东地位影响或谋求北京君正及其控制企业在业务合作等方面给予优于市场第三方的权利；不利用股</w:t>
            </w:r>
          </w:p>
        </w:tc>
        <w:tc>
          <w:tcPr>
            <w:tcW w:w="794" w:type="dxa"/>
            <w:tcBorders>
              <w:top w:val="nil" w:sz="6" w:space="0" w:color="auto"/>
              <w:left w:val="single" w:sz="13"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240" w:lineRule="auto" w:before="60"/>
              <w:ind w:left="-149" w:right="0"/>
              <w:jc w:val="left"/>
              <w:rPr>
                <w:rFonts w:ascii="宋体" w:hAnsi="宋体" w:cs="宋体" w:eastAsia="宋体" w:hint="default"/>
                <w:sz w:val="18"/>
                <w:szCs w:val="18"/>
              </w:rPr>
            </w:pPr>
            <w:r>
              <w:rPr>
                <w:rFonts w:ascii="宋体" w:hAnsi="宋体" w:cs="宋体" w:eastAsia="宋体" w:hint="default"/>
                <w:spacing w:val="-10"/>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16" w:lineRule="auto"/>
              <w:ind w:left="24" w:right="39"/>
              <w:jc w:val="both"/>
              <w:rPr>
                <w:rFonts w:ascii="宋体" w:hAnsi="宋体" w:cs="宋体" w:eastAsia="宋体" w:hint="default"/>
                <w:sz w:val="18"/>
                <w:szCs w:val="18"/>
              </w:rPr>
            </w:pPr>
            <w:r>
              <w:rPr>
                <w:rFonts w:ascii="宋体" w:hAnsi="宋体" w:cs="宋体" w:eastAsia="宋体" w:hint="default"/>
                <w:sz w:val="18"/>
                <w:szCs w:val="18"/>
              </w:rPr>
              <w:t>持有上市 公司股份 期间</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3" w:right="38"/>
              <w:jc w:val="left"/>
              <w:rPr>
                <w:rFonts w:ascii="宋体" w:hAnsi="宋体" w:cs="宋体" w:eastAsia="宋体" w:hint="default"/>
                <w:sz w:val="18"/>
                <w:szCs w:val="18"/>
              </w:rPr>
            </w:pPr>
            <w:r>
              <w:rPr>
                <w:rFonts w:ascii="宋体" w:hAnsi="宋体" w:cs="宋体" w:eastAsia="宋体" w:hint="default"/>
                <w:sz w:val="18"/>
                <w:szCs w:val="18"/>
              </w:rPr>
              <w:t>报告期 内，承诺 人均遵守 了所做的 承诺。</w:t>
            </w: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东地位及影响谋求与北京君正及其控制企业达成交易的优先权利。</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在持有上市公司股份期间，本承诺人将杜绝一切非</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法占用上市公司的资金、资产的行为。除非本承诺人不再持有北京君正</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以上股份，本承诺始终有效。若本承诺人因</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94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违反上述承诺而给北京君正或其控制企业造成实际损失的，由本承诺人承担赔偿责任。</w:t>
            </w:r>
          </w:p>
        </w:tc>
        <w:tc>
          <w:tcPr>
            <w:tcW w:w="794" w:type="dxa"/>
            <w:tcBorders>
              <w:top w:val="nil" w:sz="6" w:space="0" w:color="auto"/>
              <w:left w:val="single" w:sz="4" w:space="0" w:color="000000"/>
              <w:bottom w:val="single" w:sz="4" w:space="0" w:color="000000"/>
              <w:right w:val="single" w:sz="4" w:space="0" w:color="000000"/>
            </w:tcBorders>
          </w:tcPr>
          <w:p>
            <w:pPr/>
          </w:p>
        </w:tc>
        <w:tc>
          <w:tcPr>
            <w:tcW w:w="795"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r>
      <w:tr>
        <w:trPr>
          <w:trHeight w:val="1652" w:hRule="exact"/>
        </w:trPr>
        <w:tc>
          <w:tcPr>
            <w:tcW w:w="1700" w:type="dxa"/>
            <w:vMerge/>
            <w:tcBorders>
              <w:left w:val="single" w:sz="4" w:space="0" w:color="000000"/>
              <w:bottom w:val="single" w:sz="4" w:space="0" w:color="000000"/>
              <w:right w:val="single" w:sz="4" w:space="0" w:color="000000"/>
            </w:tcBorders>
            <w:shd w:val="clear" w:color="auto" w:fill="D2D2D2"/>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62"/>
              <w:jc w:val="both"/>
              <w:rPr>
                <w:rFonts w:ascii="宋体" w:hAnsi="宋体" w:cs="宋体" w:eastAsia="宋体" w:hint="default"/>
                <w:sz w:val="18"/>
                <w:szCs w:val="18"/>
              </w:rPr>
            </w:pPr>
            <w:r>
              <w:rPr>
                <w:rFonts w:ascii="宋体" w:hAnsi="宋体" w:cs="宋体" w:eastAsia="宋体" w:hint="default"/>
                <w:sz w:val="18"/>
                <w:szCs w:val="18"/>
              </w:rPr>
              <w:t>屹唐投资、 华创芯原、 武岳峰集电</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1" w:right="41"/>
              <w:jc w:val="both"/>
              <w:rPr>
                <w:rFonts w:ascii="宋体" w:hAnsi="宋体" w:cs="宋体" w:eastAsia="宋体" w:hint="default"/>
                <w:sz w:val="18"/>
                <w:szCs w:val="18"/>
              </w:rPr>
            </w:pPr>
            <w:r>
              <w:rPr>
                <w:rFonts w:ascii="宋体" w:hAnsi="宋体" w:cs="宋体" w:eastAsia="宋体" w:hint="default"/>
                <w:sz w:val="18"/>
                <w:szCs w:val="18"/>
              </w:rPr>
              <w:t>关于股份 质押的声 明及承诺</w:t>
            </w:r>
          </w:p>
        </w:tc>
        <w:tc>
          <w:tcPr>
            <w:tcW w:w="9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1" w:right="35"/>
              <w:jc w:val="both"/>
              <w:rPr>
                <w:rFonts w:ascii="宋体" w:hAnsi="宋体" w:cs="宋体" w:eastAsia="宋体" w:hint="default"/>
                <w:sz w:val="18"/>
                <w:szCs w:val="18"/>
              </w:rPr>
            </w:pPr>
            <w:r>
              <w:rPr>
                <w:rFonts w:ascii="宋体" w:hAnsi="宋体" w:cs="宋体" w:eastAsia="宋体" w:hint="default"/>
                <w:sz w:val="18"/>
                <w:szCs w:val="18"/>
              </w:rPr>
              <w:t>本承诺人承诺，将以股份、现金或股份与现金相结合的方式进行履行业绩补偿义务；若选择部分或全部以股份方式履行 补偿义务，本承诺人保证对价股份优先用于履行业绩补偿承诺。本承诺人保证，不通过质押股份等方式逃废补偿义务， 未来在业绩承诺期内质押对价股份时，将书面告知质权人根据《盈利补偿协议》及其补充协议上述股份具有潜在业绩承 诺补偿义务情况，并在质押协议中就相关股份用于支付业绩补偿事项等与质权人作出明确约定。</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9" w:lineRule="auto" w:before="63"/>
              <w:ind w:left="24" w:right="39"/>
              <w:jc w:val="both"/>
              <w:rPr>
                <w:rFonts w:ascii="宋体" w:hAnsi="宋体" w:cs="宋体" w:eastAsia="宋体" w:hint="default"/>
                <w:sz w:val="18"/>
                <w:szCs w:val="18"/>
              </w:rPr>
            </w:pPr>
            <w:r>
              <w:rPr>
                <w:rFonts w:ascii="宋体" w:hAnsi="宋体" w:cs="宋体" w:eastAsia="宋体" w:hint="default"/>
                <w:sz w:val="18"/>
                <w:szCs w:val="18"/>
              </w:rPr>
              <w:t>业绩补偿 义务履行 完毕后</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38"/>
              <w:jc w:val="left"/>
              <w:rPr>
                <w:rFonts w:ascii="宋体" w:hAnsi="宋体" w:cs="宋体" w:eastAsia="宋体" w:hint="default"/>
                <w:sz w:val="18"/>
                <w:szCs w:val="18"/>
              </w:rPr>
            </w:pPr>
            <w:r>
              <w:rPr>
                <w:rFonts w:ascii="宋体" w:hAnsi="宋体" w:cs="宋体" w:eastAsia="宋体" w:hint="default"/>
                <w:sz w:val="18"/>
                <w:szCs w:val="18"/>
              </w:rPr>
              <w:t>报告期 内，承诺 人均遵守 了所做的 承诺。</w:t>
            </w:r>
          </w:p>
        </w:tc>
      </w:tr>
    </w:tbl>
    <w:p>
      <w:pPr>
        <w:spacing w:after="0" w:line="319" w:lineRule="auto"/>
        <w:jc w:val="left"/>
        <w:rPr>
          <w:rFonts w:ascii="宋体" w:hAnsi="宋体" w:cs="宋体" w:eastAsia="宋体" w:hint="default"/>
          <w:sz w:val="18"/>
          <w:szCs w:val="18"/>
        </w:rPr>
        <w:sectPr>
          <w:pgSz w:w="16840" w:h="11910" w:orient="landscape"/>
          <w:pgMar w:header="867" w:footer="980" w:top="1060" w:bottom="1160" w:left="660" w:right="640"/>
        </w:sectPr>
      </w:pPr>
    </w:p>
    <w:p>
      <w:pPr>
        <w:spacing w:line="240" w:lineRule="auto" w:before="2"/>
        <w:rPr>
          <w:rFonts w:ascii="Times New Roman" w:hAnsi="Times New Roman" w:cs="Times New Roman" w:eastAsia="Times New Roman" w:hint="default"/>
          <w:sz w:val="3"/>
          <w:szCs w:val="3"/>
        </w:rPr>
      </w:pPr>
      <w:r>
        <w:rPr/>
        <w:pict>
          <v:shape style="position:absolute;margin-left:264.410004pt;margin-top:232.850006pt;width:459.55pt;height:109.25pt;mso-position-horizontal-relative:page;mso-position-vertical-relative:page;z-index:-16126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5"/>
                      <w:szCs w:val="15"/>
                    </w:rPr>
                  </w:pPr>
                </w:p>
                <w:p>
                  <w:pPr>
                    <w:pStyle w:val="BodyText"/>
                    <w:spacing w:line="240" w:lineRule="auto"/>
                    <w:ind w:left="0" w:right="0"/>
                    <w:jc w:val="left"/>
                  </w:pPr>
                  <w:r>
                    <w:rPr/>
                    <w:t>应补偿股份数量；若上市公司在业绩承诺期内实施送股、公积金转增股本的，则回购股份的数量应调整为：</w:t>
                  </w:r>
                </w:p>
              </w:txbxContent>
            </v:textbox>
            <w10:wrap type="none"/>
          </v:shape>
        </w:pict>
      </w:r>
      <w:r>
        <w:rPr/>
        <w:pict>
          <v:group style="position:absolute;margin-left:684.700012pt;margin-top:215.210007pt;width:39.25pt;height:126.9pt;mso-position-horizontal-relative:page;mso-position-vertical-relative:page;z-index:-1612648" coordorigin="13694,4304" coordsize="785,2538">
            <v:group style="position:absolute;left:13694;top:4657;width:785;height:2185" coordorigin="13694,4657" coordsize="785,2185">
              <v:shape style="position:absolute;left:13694;top:4657;width:785;height:2185" coordorigin="13694,4657" coordsize="785,2185" path="m13694,6841l14479,6841,14479,4657,13694,4657,13694,6841xe" filled="true" fillcolor="#ffffff" stroked="false">
                <v:path arrowok="t"/>
                <v:fill type="solid"/>
              </v:shape>
            </v:group>
            <v:group style="position:absolute;left:13718;top:4304;width:737;height:353" coordorigin="13718,4304" coordsize="737,353">
              <v:shape style="position:absolute;left:13718;top:4304;width:737;height:353" coordorigin="13718,4304" coordsize="737,353" path="m13718,4657l14455,4657,14455,4304,13718,4304,13718,4657xe" filled="true" fillcolor="#ffffff" stroked="false">
                <v:path arrowok="t"/>
                <v:fill type="solid"/>
              </v:shape>
            </v:group>
            <w10:wrap type="none"/>
          </v:group>
        </w:pict>
      </w:r>
      <w:r>
        <w:rPr/>
        <w:pict>
          <v:group style="position:absolute;margin-left:725.619995pt;margin-top:183.986008pt;width:36.9pt;height:15.65pt;mso-position-horizontal-relative:page;mso-position-vertical-relative:page;z-index:-1612624" coordorigin="14512,3680" coordsize="738,313">
            <v:shape style="position:absolute;left:14512;top:3680;width:738;height:313" coordorigin="14512,3680" coordsize="738,313" path="m14512,3992l15250,3992,15250,3680,14512,3680,14512,3992xe" filled="true" fillcolor="#ffffff" stroked="false">
              <v:path arrowok="t"/>
              <v:fill type="solid"/>
            </v:shape>
            <w10:wrap type="none"/>
          </v:group>
        </w:pict>
      </w:r>
    </w:p>
    <w:tbl>
      <w:tblPr>
        <w:tblW w:w="0" w:type="auto"/>
        <w:jc w:val="left"/>
        <w:tblInd w:w="103" w:type="dxa"/>
        <w:tblLayout w:type="fixed"/>
        <w:tblCellMar>
          <w:top w:w="0" w:type="dxa"/>
          <w:left w:w="0" w:type="dxa"/>
          <w:bottom w:w="0" w:type="dxa"/>
          <w:right w:w="0" w:type="dxa"/>
        </w:tblCellMar>
        <w:tblLook w:val="01E0"/>
      </w:tblPr>
      <w:tblGrid>
        <w:gridCol w:w="1700"/>
        <w:gridCol w:w="998"/>
        <w:gridCol w:w="794"/>
        <w:gridCol w:w="9429"/>
        <w:gridCol w:w="794"/>
        <w:gridCol w:w="795"/>
        <w:gridCol w:w="794"/>
      </w:tblGrid>
      <w:tr>
        <w:trPr>
          <w:trHeight w:val="376" w:hRule="exact"/>
        </w:trPr>
        <w:tc>
          <w:tcPr>
            <w:tcW w:w="1700" w:type="dxa"/>
            <w:vMerge w:val="restart"/>
            <w:tcBorders>
              <w:top w:val="single" w:sz="15" w:space="0" w:color="000000"/>
              <w:left w:val="single" w:sz="4" w:space="0" w:color="000000"/>
              <w:right w:val="single" w:sz="4" w:space="0" w:color="000000"/>
            </w:tcBorders>
            <w:shd w:val="clear" w:color="auto" w:fill="D2D2D2"/>
          </w:tcPr>
          <w:p>
            <w:pPr/>
          </w:p>
        </w:tc>
        <w:tc>
          <w:tcPr>
            <w:tcW w:w="998" w:type="dxa"/>
            <w:tcBorders>
              <w:top w:val="single" w:sz="15" w:space="0" w:color="000000"/>
              <w:left w:val="single" w:sz="4" w:space="0" w:color="000000"/>
              <w:bottom w:val="nil" w:sz="6" w:space="0" w:color="auto"/>
              <w:right w:val="single" w:sz="4" w:space="0" w:color="000000"/>
            </w:tcBorders>
          </w:tcPr>
          <w:p>
            <w:pPr/>
          </w:p>
        </w:tc>
        <w:tc>
          <w:tcPr>
            <w:tcW w:w="794" w:type="dxa"/>
            <w:tcBorders>
              <w:top w:val="single" w:sz="15" w:space="0" w:color="000000"/>
              <w:left w:val="single" w:sz="4" w:space="0" w:color="000000"/>
              <w:bottom w:val="nil" w:sz="6" w:space="0" w:color="auto"/>
              <w:right w:val="single" w:sz="4" w:space="0" w:color="000000"/>
            </w:tcBorders>
          </w:tcPr>
          <w:p>
            <w:pPr/>
          </w:p>
        </w:tc>
        <w:tc>
          <w:tcPr>
            <w:tcW w:w="942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、业绩承诺期：承诺北京矽成在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年度经审计的扣除非经常性损益后归属于母公司的净利</w:t>
            </w:r>
          </w:p>
        </w:tc>
        <w:tc>
          <w:tcPr>
            <w:tcW w:w="794" w:type="dxa"/>
            <w:tcBorders>
              <w:top w:val="single" w:sz="15" w:space="0" w:color="000000"/>
              <w:left w:val="single" w:sz="4" w:space="0" w:color="000000"/>
              <w:bottom w:val="nil" w:sz="6" w:space="0" w:color="auto"/>
              <w:right w:val="single" w:sz="4" w:space="0" w:color="000000"/>
            </w:tcBorders>
          </w:tcPr>
          <w:p>
            <w:pPr/>
          </w:p>
        </w:tc>
        <w:tc>
          <w:tcPr>
            <w:tcW w:w="795" w:type="dxa"/>
            <w:tcBorders>
              <w:top w:val="single" w:sz="15" w:space="0" w:color="000000"/>
              <w:left w:val="single" w:sz="4" w:space="0" w:color="000000"/>
              <w:bottom w:val="nil" w:sz="6" w:space="0" w:color="auto"/>
              <w:right w:val="single" w:sz="4" w:space="0" w:color="000000"/>
            </w:tcBorders>
          </w:tcPr>
          <w:p>
            <w:pPr/>
          </w:p>
        </w:tc>
        <w:tc>
          <w:tcPr>
            <w:tcW w:w="794" w:type="dxa"/>
            <w:tcBorders>
              <w:top w:val="single" w:sz="6" w:space="0" w:color="000000"/>
              <w:left w:val="single" w:sz="4" w:space="0" w:color="000000"/>
              <w:bottom w:val="nil" w:sz="6" w:space="0" w:color="auto"/>
              <w:right w:val="single" w:sz="4" w:space="0" w:color="000000"/>
            </w:tcBorders>
          </w:tcPr>
          <w:p>
            <w:pPr/>
          </w:p>
        </w:tc>
      </w:tr>
      <w:tr>
        <w:trPr>
          <w:trHeight w:val="311"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1" w:right="0"/>
              <w:jc w:val="left"/>
              <w:rPr>
                <w:rFonts w:ascii="宋体" w:hAnsi="宋体" w:cs="宋体" w:eastAsia="宋体" w:hint="default"/>
                <w:sz w:val="18"/>
                <w:szCs w:val="18"/>
              </w:rPr>
            </w:pPr>
            <w:r>
              <w:rPr>
                <w:rFonts w:ascii="宋体" w:hAnsi="宋体" w:cs="宋体" w:eastAsia="宋体" w:hint="default"/>
                <w:sz w:val="18"/>
                <w:szCs w:val="18"/>
              </w:rPr>
              <w:t>润分别不低于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r>
              <w:rPr>
                <w:rFonts w:ascii="Times New Roman" w:hAnsi="Times New Roman" w:cs="Times New Roman" w:eastAsia="Times New Roman" w:hint="default"/>
                <w:sz w:val="18"/>
                <w:szCs w:val="18"/>
              </w:rPr>
              <w:t>6,400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r>
              <w:rPr>
                <w:rFonts w:ascii="Times New Roman" w:hAnsi="Times New Roman" w:cs="Times New Roman" w:eastAsia="Times New Roman" w:hint="default"/>
                <w:sz w:val="18"/>
                <w:szCs w:val="18"/>
              </w:rPr>
              <w:t>7,900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万美元。双方同意，承诺净利润数和实际净利润数应不考虑以下事项</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的影响</w:t>
            </w:r>
            <w:r>
              <w:rPr>
                <w:rFonts w:ascii="宋体" w:hAnsi="宋体" w:cs="宋体" w:eastAsia="宋体" w:hint="default"/>
                <w:spacing w:val="-101"/>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0"/>
                <w:sz w:val="18"/>
                <w:szCs w:val="18"/>
              </w:rPr>
              <w:t>）</w:t>
            </w:r>
            <w:r>
              <w:rPr>
                <w:rFonts w:ascii="Times New Roman" w:hAnsi="Times New Roman" w:cs="Times New Roman" w:eastAsia="Times New Roman" w:hint="default"/>
                <w:sz w:val="18"/>
                <w:szCs w:val="18"/>
              </w:rPr>
              <w:t>Co</w:t>
            </w:r>
            <w:r>
              <w:rPr>
                <w:rFonts w:ascii="Times New Roman" w:hAnsi="Times New Roman" w:cs="Times New Roman" w:eastAsia="Times New Roman" w:hint="default"/>
                <w:spacing w:val="1"/>
                <w:sz w:val="18"/>
                <w:szCs w:val="18"/>
              </w:rPr>
              <w:t>nn</w:t>
            </w:r>
            <w:r>
              <w:rPr>
                <w:rFonts w:ascii="Times New Roman" w:hAnsi="Times New Roman" w:cs="Times New Roman" w:eastAsia="Times New Roman" w:hint="default"/>
                <w:spacing w:val="-1"/>
                <w:sz w:val="18"/>
                <w:szCs w:val="18"/>
              </w:rPr>
              <w:t>ec</w:t>
            </w:r>
            <w:r>
              <w:rPr>
                <w:rFonts w:ascii="Times New Roman" w:hAnsi="Times New Roman" w:cs="Times New Roman" w:eastAsia="Times New Roman" w:hint="default"/>
                <w:sz w:val="18"/>
                <w:szCs w:val="18"/>
              </w:rPr>
              <w:t>ti</w:t>
            </w:r>
            <w:r>
              <w:rPr>
                <w:rFonts w:ascii="Times New Roman" w:hAnsi="Times New Roman" w:cs="Times New Roman" w:eastAsia="Times New Roman" w:hint="default"/>
                <w:spacing w:val="-2"/>
                <w:sz w:val="18"/>
                <w:szCs w:val="18"/>
              </w:rPr>
              <w:t>v</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y</w:t>
            </w:r>
            <w:r>
              <w:rPr>
                <w:rFonts w:ascii="宋体" w:hAnsi="宋体" w:cs="宋体" w:eastAsia="宋体" w:hint="default"/>
                <w:spacing w:val="-8"/>
                <w:sz w:val="18"/>
                <w:szCs w:val="18"/>
              </w:rPr>
              <w:t>、</w:t>
            </w:r>
            <w:r>
              <w:rPr>
                <w:rFonts w:ascii="Times New Roman" w:hAnsi="Times New Roman" w:cs="Times New Roman" w:eastAsia="Times New Roman" w:hint="default"/>
                <w:spacing w:val="-2"/>
                <w:sz w:val="18"/>
                <w:szCs w:val="18"/>
              </w:rPr>
              <w:t>L</w:t>
            </w:r>
            <w:r>
              <w:rPr>
                <w:rFonts w:ascii="Times New Roman" w:hAnsi="Times New Roman" w:cs="Times New Roman" w:eastAsia="Times New Roman" w:hint="default"/>
                <w:spacing w:val="2"/>
                <w:sz w:val="18"/>
                <w:szCs w:val="18"/>
              </w:rPr>
              <w:t>I</w:t>
            </w:r>
            <w:r>
              <w:rPr>
                <w:rFonts w:ascii="Times New Roman" w:hAnsi="Times New Roman" w:cs="Times New Roman" w:eastAsia="Times New Roman" w:hint="default"/>
                <w:spacing w:val="-1"/>
                <w:w w:val="99"/>
                <w:sz w:val="18"/>
                <w:szCs w:val="18"/>
              </w:rPr>
              <w:t>N</w:t>
            </w:r>
            <w:r>
              <w:rPr>
                <w:rFonts w:ascii="宋体" w:hAnsi="宋体" w:cs="宋体" w:eastAsia="宋体" w:hint="default"/>
                <w:spacing w:val="-10"/>
                <w:sz w:val="18"/>
                <w:szCs w:val="18"/>
              </w:rPr>
              <w:t>、</w:t>
            </w:r>
            <w:r>
              <w:rPr>
                <w:rFonts w:ascii="Times New Roman" w:hAnsi="Times New Roman" w:cs="Times New Roman" w:eastAsia="Times New Roman" w:hint="default"/>
                <w:spacing w:val="2"/>
                <w:sz w:val="18"/>
                <w:szCs w:val="18"/>
              </w:rPr>
              <w:t>C</w:t>
            </w:r>
            <w:r>
              <w:rPr>
                <w:rFonts w:ascii="Times New Roman" w:hAnsi="Times New Roman" w:cs="Times New Roman" w:eastAsia="Times New Roman" w:hint="default"/>
                <w:spacing w:val="-3"/>
                <w:w w:val="99"/>
                <w:sz w:val="18"/>
                <w:szCs w:val="18"/>
              </w:rPr>
              <w:t>A</w:t>
            </w:r>
            <w:r>
              <w:rPr>
                <w:rFonts w:ascii="Times New Roman" w:hAnsi="Times New Roman" w:cs="Times New Roman" w:eastAsia="Times New Roman" w:hint="default"/>
                <w:spacing w:val="-1"/>
                <w:w w:val="99"/>
                <w:sz w:val="18"/>
                <w:szCs w:val="18"/>
              </w:rPr>
              <w:t>N</w:t>
            </w:r>
            <w:r>
              <w:rPr>
                <w:rFonts w:ascii="宋体" w:hAnsi="宋体" w:cs="宋体" w:eastAsia="宋体" w:hint="default"/>
                <w:spacing w:val="-10"/>
                <w:sz w:val="18"/>
                <w:szCs w:val="18"/>
              </w:rPr>
              <w:t>、</w:t>
            </w:r>
            <w:r>
              <w:rPr>
                <w:rFonts w:ascii="Times New Roman" w:hAnsi="Times New Roman" w:cs="Times New Roman" w:eastAsia="Times New Roman" w:hint="default"/>
                <w:w w:val="99"/>
                <w:sz w:val="18"/>
                <w:szCs w:val="18"/>
              </w:rPr>
              <w:t>MCU</w:t>
            </w:r>
            <w:r>
              <w:rPr>
                <w:rFonts w:ascii="Times New Roman" w:hAnsi="Times New Roman" w:cs="Times New Roman" w:eastAsia="Times New Roman" w:hint="default"/>
                <w:sz w:val="18"/>
                <w:szCs w:val="18"/>
              </w:rPr>
              <w:t> </w:t>
            </w:r>
            <w:r>
              <w:rPr>
                <w:rFonts w:ascii="宋体" w:hAnsi="宋体" w:cs="宋体" w:eastAsia="宋体" w:hint="default"/>
                <w:sz w:val="18"/>
                <w:szCs w:val="18"/>
              </w:rPr>
              <w:t>及光纤通讯</w:t>
            </w:r>
            <w:r>
              <w:rPr>
                <w:rFonts w:ascii="宋体" w:hAnsi="宋体" w:cs="宋体" w:eastAsia="宋体" w:hint="default"/>
                <w:spacing w:val="2"/>
                <w:sz w:val="18"/>
                <w:szCs w:val="18"/>
              </w:rPr>
              <w:t>业</w:t>
            </w:r>
            <w:r>
              <w:rPr>
                <w:rFonts w:ascii="宋体" w:hAnsi="宋体" w:cs="宋体" w:eastAsia="宋体" w:hint="default"/>
                <w:sz w:val="18"/>
                <w:szCs w:val="18"/>
              </w:rPr>
              <w:t>务相关损</w:t>
            </w:r>
            <w:r>
              <w:rPr>
                <w:rFonts w:ascii="宋体" w:hAnsi="宋体" w:cs="宋体" w:eastAsia="宋体" w:hint="default"/>
                <w:spacing w:val="-10"/>
                <w:sz w:val="18"/>
                <w:szCs w:val="18"/>
              </w:rPr>
              <w:t>益</w:t>
            </w:r>
            <w:r>
              <w:rPr>
                <w:rFonts w:ascii="宋体" w:hAnsi="宋体" w:cs="宋体" w:eastAsia="宋体" w:hint="default"/>
                <w:sz w:val="18"/>
                <w:szCs w:val="18"/>
              </w:rPr>
              <w:t>（</w:t>
            </w:r>
            <w:r>
              <w:rPr>
                <w:rFonts w:ascii="宋体" w:hAnsi="宋体" w:cs="宋体" w:eastAsia="宋体" w:hint="default"/>
                <w:spacing w:val="-10"/>
                <w:sz w:val="18"/>
                <w:szCs w:val="18"/>
              </w:rPr>
              <w:t>与</w:t>
            </w:r>
            <w:r>
              <w:rPr>
                <w:rFonts w:ascii="宋体" w:hAnsi="宋体" w:cs="宋体" w:eastAsia="宋体" w:hint="default"/>
                <w:sz w:val="18"/>
                <w:szCs w:val="18"/>
              </w:rPr>
              <w:t>《北京矽成评估报告</w:t>
            </w:r>
            <w:r>
              <w:rPr>
                <w:rFonts w:ascii="宋体" w:hAnsi="宋体" w:cs="宋体" w:eastAsia="宋体" w:hint="default"/>
                <w:spacing w:val="-10"/>
                <w:sz w:val="18"/>
                <w:szCs w:val="18"/>
              </w:rPr>
              <w:t>》</w:t>
            </w:r>
            <w:r>
              <w:rPr>
                <w:rFonts w:ascii="宋体" w:hAnsi="宋体" w:cs="宋体" w:eastAsia="宋体" w:hint="default"/>
                <w:sz w:val="18"/>
                <w:szCs w:val="18"/>
              </w:rPr>
              <w:t>中关于盈利预测的口</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径一致</w:t>
            </w:r>
            <w:r>
              <w:rPr>
                <w:rFonts w:ascii="宋体" w:hAnsi="宋体" w:cs="宋体" w:eastAsia="宋体" w:hint="default"/>
                <w:spacing w:val="-92"/>
                <w:sz w:val="18"/>
                <w:szCs w:val="18"/>
              </w:rPr>
              <w:t>）</w:t>
            </w:r>
            <w:r>
              <w:rPr>
                <w:rFonts w:ascii="宋体" w:hAnsi="宋体" w:cs="宋体" w:eastAsia="宋体" w:hint="default"/>
                <w:spacing w:val="-113"/>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22"/>
                <w:sz w:val="18"/>
                <w:szCs w:val="18"/>
              </w:rPr>
              <w:t>）</w:t>
            </w:r>
            <w:r>
              <w:rPr>
                <w:rFonts w:ascii="宋体" w:hAnsi="宋体" w:cs="宋体" w:eastAsia="宋体" w:hint="default"/>
                <w:sz w:val="18"/>
                <w:szCs w:val="18"/>
              </w:rPr>
              <w:t>北京矽成因实施股权激励所产生的费用</w:t>
            </w:r>
            <w:r>
              <w:rPr>
                <w:rFonts w:ascii="宋体" w:hAnsi="宋体" w:cs="宋体" w:eastAsia="宋体" w:hint="default"/>
                <w:spacing w:val="-113"/>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22"/>
                <w:sz w:val="18"/>
                <w:szCs w:val="18"/>
              </w:rPr>
              <w:t>）</w:t>
            </w:r>
            <w:r>
              <w:rPr>
                <w:rFonts w:ascii="宋体" w:hAnsi="宋体" w:cs="宋体" w:eastAsia="宋体" w:hint="default"/>
                <w:sz w:val="18"/>
                <w:szCs w:val="18"/>
              </w:rPr>
              <w:t>北京矽成因收购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te</w:t>
            </w:r>
            <w:r>
              <w:rPr>
                <w:rFonts w:ascii="Times New Roman" w:hAnsi="Times New Roman" w:cs="Times New Roman" w:eastAsia="Times New Roman" w:hint="default"/>
                <w:spacing w:val="-2"/>
                <w:sz w:val="18"/>
                <w:szCs w:val="18"/>
              </w:rPr>
              <w:t>g</w:t>
            </w:r>
            <w:r>
              <w:rPr>
                <w:rFonts w:ascii="Times New Roman" w:hAnsi="Times New Roman" w:cs="Times New Roman" w:eastAsia="Times New Roman" w:hint="default"/>
                <w:sz w:val="18"/>
                <w:szCs w:val="18"/>
              </w:rPr>
              <w:t>r</w:t>
            </w:r>
            <w:r>
              <w:rPr>
                <w:rFonts w:ascii="Times New Roman" w:hAnsi="Times New Roman" w:cs="Times New Roman" w:eastAsia="Times New Roman" w:hint="default"/>
                <w:spacing w:val="-1"/>
                <w:sz w:val="18"/>
                <w:szCs w:val="18"/>
              </w:rPr>
              <w:t>a</w:t>
            </w:r>
            <w:r>
              <w:rPr>
                <w:rFonts w:ascii="Times New Roman" w:hAnsi="Times New Roman" w:cs="Times New Roman" w:eastAsia="Times New Roman" w:hint="default"/>
                <w:sz w:val="18"/>
                <w:szCs w:val="18"/>
              </w:rPr>
              <w:t>ted</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w w:val="99"/>
                <w:sz w:val="18"/>
                <w:szCs w:val="18"/>
              </w:rPr>
              <w:t>S</w:t>
            </w:r>
            <w:r>
              <w:rPr>
                <w:rFonts w:ascii="Times New Roman" w:hAnsi="Times New Roman" w:cs="Times New Roman" w:eastAsia="Times New Roman" w:hint="default"/>
                <w:sz w:val="18"/>
                <w:szCs w:val="18"/>
              </w:rPr>
              <w:t>ili</w:t>
            </w:r>
            <w:r>
              <w:rPr>
                <w:rFonts w:ascii="Times New Roman" w:hAnsi="Times New Roman" w:cs="Times New Roman" w:eastAsia="Times New Roman" w:hint="default"/>
                <w:spacing w:val="-3"/>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n</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w w:val="99"/>
                <w:sz w:val="18"/>
                <w:szCs w:val="18"/>
              </w:rPr>
              <w:t>S</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2"/>
                <w:sz w:val="18"/>
                <w:szCs w:val="18"/>
              </w:rPr>
              <w:t>l</w:t>
            </w:r>
            <w:r>
              <w:rPr>
                <w:rFonts w:ascii="Times New Roman" w:hAnsi="Times New Roman" w:cs="Times New Roman" w:eastAsia="Times New Roman" w:hint="default"/>
                <w:spacing w:val="1"/>
                <w:sz w:val="18"/>
                <w:szCs w:val="18"/>
              </w:rPr>
              <w:t>u</w:t>
            </w:r>
            <w:r>
              <w:rPr>
                <w:rFonts w:ascii="Times New Roman" w:hAnsi="Times New Roman" w:cs="Times New Roman" w:eastAsia="Times New Roman" w:hint="default"/>
                <w:sz w:val="18"/>
                <w:szCs w:val="18"/>
              </w:rPr>
              <w:t>t</w:t>
            </w:r>
            <w:r>
              <w:rPr>
                <w:rFonts w:ascii="Times New Roman" w:hAnsi="Times New Roman" w:cs="Times New Roman" w:eastAsia="Times New Roman" w:hint="default"/>
                <w:spacing w:val="-2"/>
                <w:sz w:val="18"/>
                <w:szCs w:val="18"/>
              </w:rPr>
              <w:t>i</w:t>
            </w:r>
            <w:r>
              <w:rPr>
                <w:rFonts w:ascii="Times New Roman" w:hAnsi="Times New Roman" w:cs="Times New Roman" w:eastAsia="Times New Roman" w:hint="default"/>
                <w:spacing w:val="1"/>
                <w:sz w:val="18"/>
                <w:szCs w:val="18"/>
              </w:rPr>
              <w:t>on</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3"/>
                <w:sz w:val="18"/>
                <w:szCs w:val="18"/>
              </w:rPr>
              <w:t>.</w:t>
            </w:r>
            <w:r>
              <w:rPr>
                <w:rFonts w:ascii="宋体" w:hAnsi="宋体" w:cs="宋体" w:eastAsia="宋体" w:hint="default"/>
                <w:sz w:val="18"/>
                <w:szCs w:val="18"/>
              </w:rPr>
              <w:t>产生的可辨认</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无形资产和固定资产评估增值的摊销</w:t>
            </w:r>
            <w:r>
              <w:rPr>
                <w:rFonts w:ascii="宋体" w:hAnsi="宋体" w:cs="宋体" w:eastAsia="宋体" w:hint="default"/>
                <w:spacing w:val="-10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13"/>
                <w:sz w:val="18"/>
                <w:szCs w:val="18"/>
              </w:rPr>
              <w:t>）</w:t>
            </w:r>
            <w:r>
              <w:rPr>
                <w:rFonts w:ascii="宋体" w:hAnsi="宋体" w:cs="宋体" w:eastAsia="宋体" w:hint="default"/>
                <w:sz w:val="18"/>
                <w:szCs w:val="18"/>
              </w:rPr>
              <w:t>配套募集资金</w:t>
            </w:r>
            <w:r>
              <w:rPr>
                <w:rFonts w:ascii="宋体" w:hAnsi="宋体" w:cs="宋体" w:eastAsia="宋体" w:hint="default"/>
                <w:spacing w:val="-3"/>
                <w:sz w:val="18"/>
                <w:szCs w:val="18"/>
              </w:rPr>
              <w:t>投</w:t>
            </w:r>
            <w:r>
              <w:rPr>
                <w:rFonts w:ascii="宋体" w:hAnsi="宋体" w:cs="宋体" w:eastAsia="宋体" w:hint="default"/>
                <w:sz w:val="18"/>
                <w:szCs w:val="18"/>
              </w:rPr>
              <w:t>资项目损益</w:t>
            </w:r>
            <w:r>
              <w:rPr>
                <w:rFonts w:ascii="宋体" w:hAnsi="宋体" w:cs="宋体" w:eastAsia="宋体" w:hint="default"/>
                <w:spacing w:val="-12"/>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3"/>
                <w:sz w:val="18"/>
                <w:szCs w:val="18"/>
              </w:rPr>
              <w:t>、</w:t>
            </w:r>
            <w:r>
              <w:rPr>
                <w:rFonts w:ascii="宋体" w:hAnsi="宋体" w:cs="宋体" w:eastAsia="宋体" w:hint="default"/>
                <w:sz w:val="18"/>
                <w:szCs w:val="18"/>
              </w:rPr>
              <w:t>盈利补偿及</w:t>
            </w:r>
            <w:r>
              <w:rPr>
                <w:rFonts w:ascii="宋体" w:hAnsi="宋体" w:cs="宋体" w:eastAsia="宋体" w:hint="default"/>
                <w:spacing w:val="-3"/>
                <w:sz w:val="18"/>
                <w:szCs w:val="18"/>
              </w:rPr>
              <w:t>其</w:t>
            </w:r>
            <w:r>
              <w:rPr>
                <w:rFonts w:ascii="宋体" w:hAnsi="宋体" w:cs="宋体" w:eastAsia="宋体" w:hint="default"/>
                <w:sz w:val="18"/>
                <w:szCs w:val="18"/>
              </w:rPr>
              <w:t>方案</w:t>
            </w:r>
            <w:r>
              <w:rPr>
                <w:rFonts w:ascii="宋体" w:hAnsi="宋体" w:cs="宋体" w:eastAsia="宋体" w:hint="default"/>
                <w:spacing w:val="-13"/>
                <w:sz w:val="18"/>
                <w:szCs w:val="18"/>
              </w:rPr>
              <w:t>：</w:t>
            </w:r>
            <w:r>
              <w:rPr>
                <w:rFonts w:ascii="宋体" w:hAnsi="宋体" w:cs="宋体" w:eastAsia="宋体" w:hint="default"/>
                <w:sz w:val="18"/>
                <w:szCs w:val="18"/>
              </w:rPr>
              <w:t>业绩承诺期届满后</w:t>
            </w:r>
            <w:r>
              <w:rPr>
                <w:rFonts w:ascii="宋体" w:hAnsi="宋体" w:cs="宋体" w:eastAsia="宋体" w:hint="default"/>
                <w:spacing w:val="-13"/>
                <w:sz w:val="18"/>
                <w:szCs w:val="18"/>
              </w:rPr>
              <w:t>，</w:t>
            </w:r>
            <w:r>
              <w:rPr>
                <w:rFonts w:ascii="宋体" w:hAnsi="宋体" w:cs="宋体" w:eastAsia="宋体" w:hint="default"/>
                <w:sz w:val="18"/>
                <w:szCs w:val="18"/>
              </w:rPr>
              <w:t>若</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北京矽成实际净利润累计数未达到承诺净利润累计数的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85%</w:t>
            </w:r>
            <w:r>
              <w:rPr>
                <w:rFonts w:ascii="宋体" w:hAnsi="宋体" w:cs="宋体" w:eastAsia="宋体" w:hint="default"/>
                <w:sz w:val="18"/>
                <w:szCs w:val="18"/>
              </w:rPr>
              <w:t>，即视为未实现业绩承诺，则业绩承诺方承诺将根据本协议</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1873"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23" w:right="62"/>
              <w:jc w:val="both"/>
              <w:rPr>
                <w:rFonts w:ascii="宋体" w:hAnsi="宋体" w:cs="宋体" w:eastAsia="宋体" w:hint="default"/>
                <w:sz w:val="18"/>
                <w:szCs w:val="18"/>
              </w:rPr>
            </w:pPr>
            <w:r>
              <w:rPr>
                <w:rFonts w:ascii="宋体" w:hAnsi="宋体" w:cs="宋体" w:eastAsia="宋体" w:hint="default"/>
                <w:sz w:val="18"/>
                <w:szCs w:val="18"/>
              </w:rPr>
              <w:t>屹唐投资、 华创芯原、 武岳峰集电</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业绩承诺</w:t>
            </w:r>
          </w:p>
        </w:tc>
        <w:tc>
          <w:tcPr>
            <w:tcW w:w="9429" w:type="dxa"/>
            <w:tcBorders>
              <w:top w:val="nil" w:sz="6" w:space="0" w:color="auto"/>
              <w:left w:val="single" w:sz="4" w:space="0" w:color="000000"/>
              <w:bottom w:val="nil" w:sz="6" w:space="0" w:color="auto"/>
              <w:right w:val="single" w:sz="13" w:space="0" w:color="FFFFFF"/>
            </w:tcBorders>
          </w:tcPr>
          <w:p>
            <w:pPr>
              <w:pStyle w:val="TableParagraph"/>
              <w:spacing w:line="304" w:lineRule="auto" w:before="5"/>
              <w:ind w:left="21" w:right="-46"/>
              <w:jc w:val="left"/>
              <w:rPr>
                <w:rFonts w:ascii="宋体" w:hAnsi="宋体" w:cs="宋体" w:eastAsia="宋体" w:hint="default"/>
                <w:sz w:val="18"/>
                <w:szCs w:val="18"/>
              </w:rPr>
            </w:pPr>
            <w:r>
              <w:rPr>
                <w:rFonts w:ascii="宋体" w:hAnsi="宋体" w:cs="宋体" w:eastAsia="宋体" w:hint="default"/>
                <w:sz w:val="18"/>
                <w:szCs w:val="18"/>
              </w:rPr>
              <w:t>约定的条款和条件，就北京矽成实际净利润累计数与承诺净利润累计数的差额部分，以股份、现金或股份与现金相结合 </w:t>
            </w:r>
            <w:r>
              <w:rPr>
                <w:rFonts w:ascii="宋体" w:hAnsi="宋体" w:cs="宋体" w:eastAsia="宋体" w:hint="default"/>
                <w:spacing w:val="-2"/>
                <w:sz w:val="18"/>
                <w:szCs w:val="18"/>
              </w:rPr>
              <w:t>的方式进行补偿。补偿计算公式：（</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）业绩承诺期届满后，若北京矽成未实现业绩承诺，业绩承诺方中各方应补偿金额</w:t>
            </w:r>
            <w:r>
              <w:rPr>
                <w:rFonts w:ascii="宋体" w:hAnsi="宋体" w:cs="宋体" w:eastAsia="宋体" w:hint="default"/>
                <w:spacing w:val="-75"/>
                <w:sz w:val="18"/>
                <w:szCs w:val="18"/>
              </w:rPr>
              <w:t> </w:t>
            </w:r>
            <w:r>
              <w:rPr>
                <w:rFonts w:ascii="宋体" w:hAnsi="宋体" w:cs="宋体" w:eastAsia="宋体" w:hint="default"/>
                <w:sz w:val="18"/>
                <w:szCs w:val="18"/>
              </w:rPr>
              <w:t>及应补偿股份数量的计算方式具体为：应补偿金额</w:t>
            </w:r>
            <w:r>
              <w:rPr>
                <w:rFonts w:ascii="Times New Roman" w:hAnsi="Times New Roman" w:cs="Times New Roman" w:eastAsia="Times New Roman" w:hint="default"/>
                <w:sz w:val="18"/>
                <w:szCs w:val="18"/>
              </w:rPr>
              <w:t>=</w:t>
            </w:r>
            <w:r>
              <w:rPr>
                <w:rFonts w:ascii="宋体" w:hAnsi="宋体" w:cs="宋体" w:eastAsia="宋体" w:hint="default"/>
                <w:sz w:val="18"/>
                <w:szCs w:val="18"/>
              </w:rPr>
              <w:t>（承诺净利润累计数－实际净利润累计数）</w:t>
            </w:r>
            <w:r>
              <w:rPr>
                <w:rFonts w:ascii="Times New Roman" w:hAnsi="Times New Roman" w:cs="Times New Roman" w:eastAsia="Times New Roman" w:hint="default"/>
                <w:sz w:val="18"/>
                <w:szCs w:val="18"/>
              </w:rPr>
              <w:t>÷</w:t>
            </w:r>
            <w:r>
              <w:rPr>
                <w:rFonts w:ascii="宋体" w:hAnsi="宋体" w:cs="宋体" w:eastAsia="宋体" w:hint="default"/>
                <w:sz w:val="18"/>
                <w:szCs w:val="18"/>
              </w:rPr>
              <w:t>承诺净利润累计数</w:t>
            </w:r>
            <w:r>
              <w:rPr>
                <w:rFonts w:ascii="Times New Roman" w:hAnsi="Times New Roman" w:cs="Times New Roman" w:eastAsia="Times New Roman" w:hint="default"/>
                <w:sz w:val="18"/>
                <w:szCs w:val="18"/>
              </w:rPr>
              <w:t>×</w:t>
            </w:r>
            <w:r>
              <w:rPr>
                <w:rFonts w:ascii="宋体" w:hAnsi="宋体" w:cs="宋体" w:eastAsia="宋体" w:hint="default"/>
                <w:sz w:val="18"/>
                <w:szCs w:val="18"/>
              </w:rPr>
              <w:t>业 绩承诺方中各方对应的交易对价；应补偿股份数量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（应补偿金额－现金补偿金额）</w:t>
            </w:r>
            <w:r>
              <w:rPr>
                <w:rFonts w:ascii="Times New Roman" w:hAnsi="Times New Roman" w:cs="Times New Roman" w:eastAsia="Times New Roman" w:hint="default"/>
                <w:sz w:val="18"/>
                <w:szCs w:val="18"/>
              </w:rPr>
              <w:t>÷</w:t>
            </w:r>
            <w:r>
              <w:rPr>
                <w:rFonts w:ascii="宋体" w:hAnsi="宋体" w:cs="宋体" w:eastAsia="宋体" w:hint="default"/>
                <w:sz w:val="18"/>
                <w:szCs w:val="18"/>
              </w:rPr>
              <w:t>发行价格。其中，</w:t>
            </w:r>
            <w:r>
              <w:rPr>
                <w:rFonts w:ascii="Times New Roman" w:hAnsi="Times New Roman" w:cs="Times New Roman" w:eastAsia="Times New Roman" w:hint="default"/>
                <w:sz w:val="18"/>
                <w:szCs w:val="18"/>
              </w:rPr>
              <w:t>"</w:t>
            </w:r>
            <w:r>
              <w:rPr>
                <w:rFonts w:ascii="宋体" w:hAnsi="宋体" w:cs="宋体" w:eastAsia="宋体" w:hint="default"/>
                <w:sz w:val="18"/>
                <w:szCs w:val="18"/>
              </w:rPr>
              <w:t>发行价格</w:t>
            </w:r>
            <w:r>
              <w:rPr>
                <w:rFonts w:ascii="Times New Roman" w:hAnsi="Times New Roman" w:cs="Times New Roman" w:eastAsia="Times New Roman" w:hint="default"/>
                <w:sz w:val="18"/>
                <w:szCs w:val="18"/>
              </w:rPr>
              <w:t>"</w:t>
            </w:r>
            <w:r>
              <w:rPr>
                <w:rFonts w:ascii="宋体" w:hAnsi="宋体" w:cs="宋体" w:eastAsia="宋体" w:hint="default"/>
                <w:sz w:val="18"/>
                <w:szCs w:val="18"/>
              </w:rPr>
              <w:t>为本 </w:t>
            </w:r>
            <w:r>
              <w:rPr>
                <w:rFonts w:ascii="宋体" w:hAnsi="宋体" w:cs="宋体" w:eastAsia="宋体" w:hint="default"/>
                <w:spacing w:val="-2"/>
                <w:sz w:val="18"/>
                <w:szCs w:val="18"/>
              </w:rPr>
              <w:t>次发行股份购买资产的发行价格；</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业绩承诺方中各方对应的交易对价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为于本次交易项下向业绩承诺方支付的对价金额；</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2"/>
                <w:sz w:val="18"/>
                <w:szCs w:val="18"/>
              </w:rPr>
              <w:t>依据上述公式计算应补偿股份数量时，如果计算结果存在小数，应当按照舍去小数并增加一股的方式进行处理。（</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）业</w:t>
            </w:r>
          </w:p>
        </w:tc>
        <w:tc>
          <w:tcPr>
            <w:tcW w:w="794" w:type="dxa"/>
            <w:tcBorders>
              <w:top w:val="nil" w:sz="6" w:space="0" w:color="auto"/>
              <w:left w:val="single" w:sz="13" w:space="0" w:color="FFFFFF"/>
              <w:bottom w:val="nil" w:sz="6" w:space="0" w:color="auto"/>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5" w:type="dxa"/>
            <w:tcBorders>
              <w:top w:val="nil" w:sz="6" w:space="0" w:color="auto"/>
              <w:left w:val="single" w:sz="13"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6" w:lineRule="auto" w:before="61"/>
              <w:ind w:left="12" w:right="39" w:hanging="161"/>
              <w:jc w:val="both"/>
              <w:rPr>
                <w:rFonts w:ascii="宋体" w:hAnsi="宋体" w:cs="宋体" w:eastAsia="宋体" w:hint="default"/>
                <w:sz w:val="18"/>
                <w:szCs w:val="18"/>
              </w:rPr>
            </w:pPr>
            <w:r>
              <w:rPr>
                <w:rFonts w:ascii="宋体" w:hAnsi="宋体" w:cs="宋体" w:eastAsia="宋体" w:hint="default"/>
                <w:spacing w:val="-4"/>
                <w:sz w:val="18"/>
                <w:szCs w:val="18"/>
              </w:rPr>
              <w:t>、业绩补偿</w:t>
            </w:r>
            <w:r>
              <w:rPr>
                <w:rFonts w:ascii="宋体" w:hAnsi="宋体" w:cs="宋体" w:eastAsia="宋体" w:hint="default"/>
                <w:sz w:val="18"/>
                <w:szCs w:val="18"/>
              </w:rPr>
              <w:t> 义务履行 完毕后</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38"/>
              <w:jc w:val="left"/>
              <w:rPr>
                <w:rFonts w:ascii="宋体" w:hAnsi="宋体" w:cs="宋体" w:eastAsia="宋体" w:hint="default"/>
                <w:sz w:val="18"/>
                <w:szCs w:val="18"/>
              </w:rPr>
            </w:pPr>
            <w:r>
              <w:rPr>
                <w:rFonts w:ascii="宋体" w:hAnsi="宋体" w:cs="宋体" w:eastAsia="宋体" w:hint="default"/>
                <w:sz w:val="18"/>
                <w:szCs w:val="18"/>
              </w:rPr>
              <w:t>报告期 内，承诺 人均遵守 了所做的 承诺。</w:t>
            </w:r>
          </w:p>
        </w:tc>
      </w:tr>
      <w:tr>
        <w:trPr>
          <w:trHeight w:val="307"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绩承诺方中各方以其于本次交易项下取得的交易对价金额为限，独立、非连带地履行补偿义务。若业绩承诺方选择部分</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或全部以股份方式履行补偿义务，并且已就该等股份于业绩承诺期内自上市公司获得了现金股利，业绩承诺方应在股份</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2"/>
                <w:sz w:val="18"/>
                <w:szCs w:val="18"/>
              </w:rPr>
              <w:t>补偿实施前向上市公司返还业绩承诺期内应补偿股份累积获得的分红收益，应返还的金额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每股已分配现金股利（以税后</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金额为准）</w:t>
            </w:r>
            <w:r>
              <w:rPr>
                <w:rFonts w:ascii="Times New Roman" w:hAnsi="Times New Roman" w:cs="Times New Roman" w:eastAsia="Times New Roman" w:hint="default"/>
                <w:sz w:val="18"/>
                <w:szCs w:val="18"/>
              </w:rPr>
              <w:t>×</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按前述公式计算的应补偿股份数</w:t>
            </w:r>
            <w:r>
              <w:rPr>
                <w:rFonts w:ascii="宋体" w:hAnsi="宋体" w:cs="宋体" w:eastAsia="宋体" w:hint="default"/>
                <w:spacing w:val="2"/>
                <w:sz w:val="18"/>
                <w:szCs w:val="18"/>
              </w:rPr>
              <w:t>量</w:t>
            </w:r>
            <w:r>
              <w:rPr>
                <w:rFonts w:ascii="Times New Roman" w:hAnsi="Times New Roman" w:cs="Times New Roman" w:eastAsia="Times New Roman" w:hint="default"/>
                <w:spacing w:val="-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送股或转增比例</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其中</w:t>
            </w:r>
            <w:r>
              <w:rPr>
                <w:rFonts w:ascii="宋体" w:hAnsi="宋体" w:cs="宋体" w:eastAsia="宋体" w:hint="default"/>
                <w:spacing w:val="-3"/>
                <w:sz w:val="18"/>
                <w:szCs w:val="18"/>
              </w:rPr>
              <w:t>，</w:t>
            </w:r>
            <w:r>
              <w:rPr>
                <w:rFonts w:ascii="宋体" w:hAnsi="宋体" w:cs="宋体" w:eastAsia="宋体" w:hint="default"/>
                <w:sz w:val="18"/>
                <w:szCs w:val="18"/>
              </w:rPr>
              <w:t>依据上述公式计算回购股份数量时</w:t>
            </w:r>
            <w:r>
              <w:rPr>
                <w:rFonts w:ascii="宋体" w:hAnsi="宋体" w:cs="宋体" w:eastAsia="宋体" w:hint="default"/>
                <w:spacing w:val="-3"/>
                <w:sz w:val="18"/>
                <w:szCs w:val="18"/>
              </w:rPr>
              <w:t>，</w:t>
            </w:r>
            <w:r>
              <w:rPr>
                <w:rFonts w:ascii="宋体" w:hAnsi="宋体" w:cs="宋体" w:eastAsia="宋体" w:hint="default"/>
                <w:sz w:val="18"/>
                <w:szCs w:val="18"/>
              </w:rPr>
              <w:t>如果计算结果存</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94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在小数，应当按照舍去小数并增加一股的方式进行处理。</w:t>
            </w:r>
          </w:p>
        </w:tc>
        <w:tc>
          <w:tcPr>
            <w:tcW w:w="794" w:type="dxa"/>
            <w:tcBorders>
              <w:top w:val="nil" w:sz="6" w:space="0" w:color="auto"/>
              <w:left w:val="single" w:sz="4" w:space="0" w:color="000000"/>
              <w:bottom w:val="single" w:sz="4" w:space="0" w:color="000000"/>
              <w:right w:val="single" w:sz="4" w:space="0" w:color="000000"/>
            </w:tcBorders>
          </w:tcPr>
          <w:p>
            <w:pPr/>
          </w:p>
        </w:tc>
        <w:tc>
          <w:tcPr>
            <w:tcW w:w="795"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700" w:type="dxa"/>
            <w:vMerge/>
            <w:tcBorders>
              <w:left w:val="single" w:sz="4" w:space="0" w:color="000000"/>
              <w:right w:val="single" w:sz="4" w:space="0" w:color="000000"/>
            </w:tcBorders>
            <w:shd w:val="clear" w:color="auto" w:fill="D2D2D2"/>
          </w:tcPr>
          <w:p>
            <w:pPr/>
          </w:p>
        </w:tc>
        <w:tc>
          <w:tcPr>
            <w:tcW w:w="998" w:type="dxa"/>
            <w:tcBorders>
              <w:top w:val="single" w:sz="4" w:space="0" w:color="000000"/>
              <w:left w:val="single" w:sz="4" w:space="0" w:color="000000"/>
              <w:bottom w:val="nil" w:sz="6" w:space="0" w:color="auto"/>
              <w:right w:val="single" w:sz="4" w:space="0" w:color="000000"/>
            </w:tcBorders>
          </w:tcPr>
          <w:p>
            <w:pPr/>
          </w:p>
        </w:tc>
        <w:tc>
          <w:tcPr>
            <w:tcW w:w="794" w:type="dxa"/>
            <w:tcBorders>
              <w:top w:val="single" w:sz="4" w:space="0" w:color="000000"/>
              <w:left w:val="single" w:sz="4" w:space="0" w:color="000000"/>
              <w:bottom w:val="nil" w:sz="6" w:space="0" w:color="auto"/>
              <w:right w:val="single" w:sz="4" w:space="0" w:color="000000"/>
            </w:tcBorders>
          </w:tcPr>
          <w:p>
            <w:pPr/>
          </w:p>
        </w:tc>
        <w:tc>
          <w:tcPr>
            <w:tcW w:w="94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、本承诺人已向为本次重组提供审计、评估、法律及财务顾问专业服务的中介机构提供了与本次重组相关的信息和文件</w:t>
            </w:r>
          </w:p>
        </w:tc>
        <w:tc>
          <w:tcPr>
            <w:tcW w:w="794" w:type="dxa"/>
            <w:tcBorders>
              <w:top w:val="single" w:sz="4" w:space="0" w:color="000000"/>
              <w:left w:val="single" w:sz="4" w:space="0" w:color="000000"/>
              <w:bottom w:val="nil" w:sz="6" w:space="0" w:color="auto"/>
              <w:right w:val="single" w:sz="4" w:space="0" w:color="000000"/>
            </w:tcBorders>
          </w:tcPr>
          <w:p>
            <w:pPr/>
          </w:p>
        </w:tc>
        <w:tc>
          <w:tcPr>
            <w:tcW w:w="795" w:type="dxa"/>
            <w:tcBorders>
              <w:top w:val="single" w:sz="4" w:space="0" w:color="000000"/>
              <w:left w:val="single" w:sz="4" w:space="0" w:color="000000"/>
              <w:bottom w:val="nil" w:sz="6" w:space="0" w:color="auto"/>
              <w:right w:val="single" w:sz="4" w:space="0" w:color="000000"/>
            </w:tcBorders>
          </w:tcPr>
          <w:p>
            <w:pPr/>
          </w:p>
        </w:tc>
        <w:tc>
          <w:tcPr>
            <w:tcW w:w="794"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27"/>
                <w:sz w:val="18"/>
                <w:szCs w:val="18"/>
              </w:rPr>
              <w:t>料</w:t>
            </w:r>
            <w:r>
              <w:rPr>
                <w:rFonts w:ascii="宋体" w:hAnsi="宋体" w:cs="宋体" w:eastAsia="宋体" w:hint="default"/>
                <w:sz w:val="18"/>
                <w:szCs w:val="18"/>
              </w:rPr>
              <w:t>（包括但不限于原始书面材料</w:t>
            </w:r>
            <w:r>
              <w:rPr>
                <w:rFonts w:ascii="宋体" w:hAnsi="宋体" w:cs="宋体" w:eastAsia="宋体" w:hint="default"/>
                <w:spacing w:val="-27"/>
                <w:sz w:val="18"/>
                <w:szCs w:val="18"/>
              </w:rPr>
              <w:t>、</w:t>
            </w:r>
            <w:r>
              <w:rPr>
                <w:rFonts w:ascii="宋体" w:hAnsi="宋体" w:cs="宋体" w:eastAsia="宋体" w:hint="default"/>
                <w:sz w:val="18"/>
                <w:szCs w:val="18"/>
              </w:rPr>
              <w:t>副本材料或口头信息等</w:t>
            </w:r>
            <w:r>
              <w:rPr>
                <w:rFonts w:ascii="宋体" w:hAnsi="宋体" w:cs="宋体" w:eastAsia="宋体" w:hint="default"/>
                <w:spacing w:val="-89"/>
                <w:sz w:val="18"/>
                <w:szCs w:val="18"/>
              </w:rPr>
              <w:t>）</w:t>
            </w:r>
            <w:r>
              <w:rPr>
                <w:rFonts w:ascii="宋体" w:hAnsi="宋体" w:cs="宋体" w:eastAsia="宋体" w:hint="default"/>
                <w:spacing w:val="-27"/>
                <w:sz w:val="18"/>
                <w:szCs w:val="18"/>
              </w:rPr>
              <w:t>，</w:t>
            </w:r>
            <w:r>
              <w:rPr>
                <w:rFonts w:ascii="宋体" w:hAnsi="宋体" w:cs="宋体" w:eastAsia="宋体" w:hint="default"/>
                <w:sz w:val="18"/>
                <w:szCs w:val="18"/>
              </w:rPr>
              <w:t>本承诺人保证所提供的文件资料的副本或复印件与正本或</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关于提供</w:t>
            </w: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原件一致，且该等文件资料的签字与印章都是真实的，该等文件的签署人已经合法授权并有效签署该文件；保证所提供</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报告期</w:t>
            </w:r>
          </w:p>
        </w:tc>
      </w:tr>
      <w:tr>
        <w:trPr>
          <w:trHeight w:val="941"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1" w:right="41"/>
              <w:jc w:val="both"/>
              <w:rPr>
                <w:rFonts w:ascii="宋体" w:hAnsi="宋体" w:cs="宋体" w:eastAsia="宋体" w:hint="default"/>
                <w:sz w:val="18"/>
                <w:szCs w:val="18"/>
              </w:rPr>
            </w:pPr>
            <w:r>
              <w:rPr>
                <w:rFonts w:ascii="宋体" w:hAnsi="宋体" w:cs="宋体" w:eastAsia="宋体" w:hint="default"/>
                <w:sz w:val="18"/>
                <w:szCs w:val="18"/>
              </w:rPr>
              <w:t>信息真实 性、准确 性和完整</w:t>
            </w: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1" w:right="20"/>
              <w:jc w:val="both"/>
              <w:rPr>
                <w:rFonts w:ascii="宋体" w:hAnsi="宋体" w:cs="宋体" w:eastAsia="宋体" w:hint="default"/>
                <w:sz w:val="18"/>
                <w:szCs w:val="18"/>
              </w:rPr>
            </w:pPr>
            <w:r>
              <w:rPr>
                <w:rFonts w:ascii="宋体" w:hAnsi="宋体" w:cs="宋体" w:eastAsia="宋体" w:hint="default"/>
                <w:sz w:val="18"/>
                <w:szCs w:val="18"/>
              </w:rPr>
              <w:t>的信息和文件资料的真实性、准确性和完整性，保证不存在虚假记载、误导性陈述或者重大遗漏，并承诺承担个别和连 </w:t>
            </w:r>
            <w:r>
              <w:rPr>
                <w:rFonts w:ascii="宋体" w:hAnsi="宋体" w:cs="宋体" w:eastAsia="宋体" w:hint="default"/>
                <w:spacing w:val="-2"/>
                <w:sz w:val="18"/>
                <w:szCs w:val="18"/>
              </w:rPr>
              <w:t>带的法律责任。</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、本承诺人保证为本次重组所出具的说明及确认均为真实、准确和完整的，不存在任何虚假记载、误导</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性陈述或者重大遗漏，并承诺承担个别和连带的法律责任。</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、在本次重组期间，本承诺人将依照相关法律法规、中国证</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39"/>
              <w:jc w:val="left"/>
              <w:rPr>
                <w:rFonts w:ascii="宋体" w:hAnsi="宋体" w:cs="宋体" w:eastAsia="宋体" w:hint="default"/>
                <w:sz w:val="18"/>
                <w:szCs w:val="18"/>
              </w:rPr>
            </w:pPr>
            <w:r>
              <w:rPr>
                <w:rFonts w:ascii="宋体" w:hAnsi="宋体" w:cs="宋体" w:eastAsia="宋体" w:hint="default"/>
                <w:sz w:val="18"/>
                <w:szCs w:val="18"/>
              </w:rPr>
              <w:t>无承诺期 限</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38"/>
              <w:jc w:val="both"/>
              <w:rPr>
                <w:rFonts w:ascii="宋体" w:hAnsi="宋体" w:cs="宋体" w:eastAsia="宋体" w:hint="default"/>
                <w:sz w:val="18"/>
                <w:szCs w:val="18"/>
              </w:rPr>
            </w:pPr>
            <w:r>
              <w:rPr>
                <w:rFonts w:ascii="宋体" w:hAnsi="宋体" w:cs="宋体" w:eastAsia="宋体" w:hint="default"/>
                <w:sz w:val="18"/>
                <w:szCs w:val="18"/>
              </w:rPr>
              <w:t>内，承诺 人遵守了 所做的承</w:t>
            </w:r>
          </w:p>
        </w:tc>
      </w:tr>
      <w:tr>
        <w:trPr>
          <w:trHeight w:val="307"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性承诺</w:t>
            </w: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监会和深交所的有关规定，及时披露有关本次重组的信息并提交有关申报文件，并保证信息披露和申请文件的真实性、</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诺。</w:t>
            </w: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准确性和完整性，如因信息披露和申请文件存在虚假记载、误导性陈述或者重大遗漏，给投资者造成损失的，本承诺人</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700" w:type="dxa"/>
            <w:vMerge/>
            <w:tcBorders>
              <w:left w:val="single" w:sz="4" w:space="0" w:color="000000"/>
              <w:bottom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94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将依法承担赔偿责任。</w:t>
            </w:r>
          </w:p>
        </w:tc>
        <w:tc>
          <w:tcPr>
            <w:tcW w:w="794" w:type="dxa"/>
            <w:tcBorders>
              <w:top w:val="nil" w:sz="6" w:space="0" w:color="auto"/>
              <w:left w:val="single" w:sz="4" w:space="0" w:color="000000"/>
              <w:bottom w:val="single" w:sz="4" w:space="0" w:color="000000"/>
              <w:right w:val="single" w:sz="4" w:space="0" w:color="000000"/>
            </w:tcBorders>
          </w:tcPr>
          <w:p>
            <w:pPr/>
          </w:p>
        </w:tc>
        <w:tc>
          <w:tcPr>
            <w:tcW w:w="795"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660" w:right="640"/>
        </w:sectPr>
      </w:pPr>
    </w:p>
    <w:p>
      <w:pPr>
        <w:spacing w:line="240" w:lineRule="auto" w:before="2"/>
        <w:rPr>
          <w:rFonts w:ascii="Times New Roman" w:hAnsi="Times New Roman" w:cs="Times New Roman" w:eastAsia="Times New Roman" w:hint="default"/>
          <w:sz w:val="3"/>
          <w:szCs w:val="3"/>
        </w:rPr>
      </w:pPr>
      <w:r>
        <w:rPr/>
        <w:pict>
          <v:group style="position:absolute;margin-left:684.700012pt;margin-top:57.236008pt;width:39.25pt;height:33.15pt;mso-position-horizontal-relative:page;mso-position-vertical-relative:page;z-index:-1612600" coordorigin="13694,1145" coordsize="785,663">
            <v:group style="position:absolute;left:13694;top:1145;width:785;height:313" coordorigin="13694,1145" coordsize="785,313">
              <v:shape style="position:absolute;left:13694;top:1145;width:785;height:313" coordorigin="13694,1145" coordsize="785,313" path="m13694,1457l14479,1457,14479,1145,13694,1145,13694,1457xe" filled="true" fillcolor="#ffffff" stroked="false">
                <v:path arrowok="t"/>
                <v:fill type="solid"/>
              </v:shape>
            </v:group>
            <v:group style="position:absolute;left:13718;top:1457;width:737;height:351" coordorigin="13718,1457" coordsize="737,351">
              <v:shape style="position:absolute;left:13718;top:1457;width:737;height:351" coordorigin="13718,1457" coordsize="737,351" path="m13718,1808l14455,1808,14455,1457,13718,1457,13718,1808xe" filled="true" fillcolor="#ffffff" stroked="false">
                <v:path arrowok="t"/>
                <v:fill type="solid"/>
              </v:shape>
            </v:group>
            <w10:wrap type="none"/>
          </v:group>
        </w:pict>
      </w:r>
    </w:p>
    <w:tbl>
      <w:tblPr>
        <w:tblW w:w="0" w:type="auto"/>
        <w:jc w:val="left"/>
        <w:tblInd w:w="103" w:type="dxa"/>
        <w:tblLayout w:type="fixed"/>
        <w:tblCellMar>
          <w:top w:w="0" w:type="dxa"/>
          <w:left w:w="0" w:type="dxa"/>
          <w:bottom w:w="0" w:type="dxa"/>
          <w:right w:w="0" w:type="dxa"/>
        </w:tblCellMar>
        <w:tblLook w:val="01E0"/>
      </w:tblPr>
      <w:tblGrid>
        <w:gridCol w:w="1700"/>
        <w:gridCol w:w="998"/>
        <w:gridCol w:w="794"/>
        <w:gridCol w:w="9429"/>
        <w:gridCol w:w="794"/>
        <w:gridCol w:w="795"/>
        <w:gridCol w:w="794"/>
      </w:tblGrid>
      <w:tr>
        <w:trPr>
          <w:trHeight w:val="1666" w:hRule="exact"/>
        </w:trPr>
        <w:tc>
          <w:tcPr>
            <w:tcW w:w="1700" w:type="dxa"/>
            <w:vMerge w:val="restart"/>
            <w:tcBorders>
              <w:top w:val="single" w:sz="15" w:space="0" w:color="000000"/>
              <w:left w:val="single" w:sz="4" w:space="0" w:color="000000"/>
              <w:right w:val="single" w:sz="4" w:space="0" w:color="000000"/>
            </w:tcBorders>
            <w:shd w:val="clear" w:color="auto" w:fill="D2D2D2"/>
          </w:tcPr>
          <w:p>
            <w:pPr/>
          </w:p>
        </w:tc>
        <w:tc>
          <w:tcPr>
            <w:tcW w:w="99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4"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51"/>
              <w:ind w:left="21" w:right="41"/>
              <w:jc w:val="left"/>
              <w:rPr>
                <w:rFonts w:ascii="宋体" w:hAnsi="宋体" w:cs="宋体" w:eastAsia="宋体" w:hint="default"/>
                <w:sz w:val="18"/>
                <w:szCs w:val="18"/>
              </w:rPr>
            </w:pPr>
            <w:r>
              <w:rPr>
                <w:rFonts w:ascii="宋体" w:hAnsi="宋体" w:cs="宋体" w:eastAsia="宋体" w:hint="default"/>
                <w:sz w:val="18"/>
                <w:szCs w:val="18"/>
              </w:rPr>
              <w:t>关于合 法、合规 及诚信的 声明及承 诺</w:t>
            </w:r>
          </w:p>
        </w:tc>
        <w:tc>
          <w:tcPr>
            <w:tcW w:w="9429" w:type="dxa"/>
            <w:tcBorders>
              <w:top w:val="single" w:sz="15" w:space="0" w:color="000000"/>
              <w:left w:val="single" w:sz="4" w:space="0" w:color="000000"/>
              <w:bottom w:val="single" w:sz="4" w:space="0" w:color="000000"/>
              <w:right w:val="single" w:sz="13" w:space="0" w:color="FFFFFF"/>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21" w:right="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、截至本函出具日，本承诺人不存在因涉嫌犯罪被司法机关立案侦查或涉嫌违法违规被中国证监会立案调查的情况。</w:t>
            </w:r>
            <w:r>
              <w:rPr>
                <w:rFonts w:ascii="Times New Roman" w:hAnsi="Times New Roman" w:cs="Times New Roman" w:eastAsia="Times New Roman" w:hint="default"/>
                <w:sz w:val="18"/>
                <w:szCs w:val="18"/>
              </w:rPr>
              <w:t>2 </w:t>
            </w:r>
            <w:r>
              <w:rPr>
                <w:rFonts w:ascii="宋体" w:hAnsi="宋体" w:cs="宋体" w:eastAsia="宋体" w:hint="default"/>
                <w:sz w:val="18"/>
                <w:szCs w:val="18"/>
              </w:rPr>
              <w:t>截至本函出具日，本承诺人最近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年内未受到行政处罚（与证券市场明显无关的除外）或者刑事处罚；最近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年内诚信 </w:t>
            </w:r>
            <w:r>
              <w:rPr>
                <w:rFonts w:ascii="宋体" w:hAnsi="宋体" w:cs="宋体" w:eastAsia="宋体" w:hint="default"/>
                <w:spacing w:val="-2"/>
                <w:sz w:val="18"/>
                <w:szCs w:val="18"/>
              </w:rPr>
              <w:t>情况良好，未受到证券交易所公开谴责。</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、截至本函出具日，本承诺人不存在《上市公司证券发行管理办法》第三十九</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条规定的不得非公开发行股票的情形及《创业板上市公司证券发行管理暂行办法》第十条规定的不得发行证券的情形。</w:t>
            </w:r>
          </w:p>
        </w:tc>
        <w:tc>
          <w:tcPr>
            <w:tcW w:w="794" w:type="dxa"/>
            <w:tcBorders>
              <w:top w:val="single" w:sz="15" w:space="0" w:color="000000"/>
              <w:left w:val="single" w:sz="13" w:space="0" w:color="FFFFFF"/>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196"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6"/>
              <w:ind w:left="24" w:right="39"/>
              <w:jc w:val="left"/>
              <w:rPr>
                <w:rFonts w:ascii="宋体" w:hAnsi="宋体" w:cs="宋体" w:eastAsia="宋体" w:hint="default"/>
                <w:sz w:val="18"/>
                <w:szCs w:val="18"/>
              </w:rPr>
            </w:pPr>
            <w:r>
              <w:rPr>
                <w:rFonts w:ascii="宋体" w:hAnsi="宋体" w:cs="宋体" w:eastAsia="宋体" w:hint="default"/>
                <w:sz w:val="18"/>
                <w:szCs w:val="18"/>
              </w:rPr>
              <w:t>无承诺期 限</w:t>
            </w:r>
          </w:p>
        </w:tc>
        <w:tc>
          <w:tcPr>
            <w:tcW w:w="794" w:type="dxa"/>
            <w:tcBorders>
              <w:top w:val="single" w:sz="6" w:space="0" w:color="000000"/>
              <w:left w:val="single" w:sz="4" w:space="0" w:color="000000"/>
              <w:bottom w:val="single" w:sz="4" w:space="0" w:color="000000"/>
              <w:right w:val="single" w:sz="4" w:space="0" w:color="000000"/>
            </w:tcBorders>
          </w:tcPr>
          <w:p>
            <w:pPr>
              <w:pStyle w:val="TableParagraph"/>
              <w:spacing w:line="316" w:lineRule="auto" w:before="63"/>
              <w:ind w:left="23" w:right="38"/>
              <w:jc w:val="left"/>
              <w:rPr>
                <w:rFonts w:ascii="宋体" w:hAnsi="宋体" w:cs="宋体" w:eastAsia="宋体" w:hint="default"/>
                <w:sz w:val="18"/>
                <w:szCs w:val="18"/>
              </w:rPr>
            </w:pPr>
            <w:r>
              <w:rPr>
                <w:rFonts w:ascii="宋体" w:hAnsi="宋体" w:cs="宋体" w:eastAsia="宋体" w:hint="default"/>
                <w:sz w:val="18"/>
                <w:szCs w:val="18"/>
              </w:rPr>
              <w:t>报告期 内，承诺 人遵守了 所做的承 诺。</w:t>
            </w:r>
          </w:p>
        </w:tc>
      </w:tr>
      <w:tr>
        <w:trPr>
          <w:trHeight w:val="355" w:hRule="exact"/>
        </w:trPr>
        <w:tc>
          <w:tcPr>
            <w:tcW w:w="1700" w:type="dxa"/>
            <w:vMerge/>
            <w:tcBorders>
              <w:left w:val="single" w:sz="4" w:space="0" w:color="000000"/>
              <w:right w:val="single" w:sz="4" w:space="0" w:color="000000"/>
            </w:tcBorders>
            <w:shd w:val="clear" w:color="auto" w:fill="D2D2D2"/>
          </w:tcPr>
          <w:p>
            <w:pPr/>
          </w:p>
        </w:tc>
        <w:tc>
          <w:tcPr>
            <w:tcW w:w="998" w:type="dxa"/>
            <w:tcBorders>
              <w:top w:val="single" w:sz="4" w:space="0" w:color="000000"/>
              <w:left w:val="single" w:sz="4" w:space="0" w:color="000000"/>
              <w:bottom w:val="nil" w:sz="6" w:space="0" w:color="auto"/>
              <w:right w:val="single" w:sz="4" w:space="0" w:color="000000"/>
            </w:tcBorders>
          </w:tcPr>
          <w:p>
            <w:pPr/>
          </w:p>
        </w:tc>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不存在</w:t>
            </w:r>
          </w:p>
        </w:tc>
        <w:tc>
          <w:tcPr>
            <w:tcW w:w="9429" w:type="dxa"/>
            <w:tcBorders>
              <w:top w:val="single" w:sz="4" w:space="0" w:color="000000"/>
              <w:left w:val="single" w:sz="4" w:space="0" w:color="000000"/>
              <w:bottom w:val="nil" w:sz="6" w:space="0" w:color="auto"/>
              <w:right w:val="single" w:sz="4" w:space="0" w:color="000000"/>
            </w:tcBorders>
          </w:tcPr>
          <w:p>
            <w:pPr/>
          </w:p>
        </w:tc>
        <w:tc>
          <w:tcPr>
            <w:tcW w:w="794" w:type="dxa"/>
            <w:tcBorders>
              <w:top w:val="single" w:sz="4" w:space="0" w:color="000000"/>
              <w:left w:val="single" w:sz="4" w:space="0" w:color="000000"/>
              <w:bottom w:val="nil" w:sz="6" w:space="0" w:color="auto"/>
              <w:right w:val="single" w:sz="4" w:space="0" w:color="000000"/>
            </w:tcBorders>
          </w:tcPr>
          <w:p>
            <w:pPr/>
          </w:p>
        </w:tc>
        <w:tc>
          <w:tcPr>
            <w:tcW w:w="795" w:type="dxa"/>
            <w:tcBorders>
              <w:top w:val="single" w:sz="4" w:space="0" w:color="000000"/>
              <w:left w:val="single" w:sz="4" w:space="0" w:color="000000"/>
              <w:bottom w:val="nil" w:sz="6" w:space="0" w:color="auto"/>
              <w:right w:val="single" w:sz="4" w:space="0" w:color="000000"/>
            </w:tcBorders>
          </w:tcPr>
          <w:p>
            <w:pPr/>
          </w:p>
        </w:tc>
        <w:tc>
          <w:tcPr>
            <w:tcW w:w="79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《关于加</w:t>
            </w:r>
          </w:p>
        </w:tc>
        <w:tc>
          <w:tcPr>
            <w:tcW w:w="9429"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强与上市</w:t>
            </w:r>
          </w:p>
        </w:tc>
        <w:tc>
          <w:tcPr>
            <w:tcW w:w="9429"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1" w:right="41"/>
              <w:jc w:val="both"/>
              <w:rPr>
                <w:rFonts w:ascii="宋体" w:hAnsi="宋体" w:cs="宋体" w:eastAsia="宋体" w:hint="default"/>
                <w:sz w:val="18"/>
                <w:szCs w:val="18"/>
              </w:rPr>
            </w:pPr>
            <w:r>
              <w:rPr>
                <w:rFonts w:ascii="宋体" w:hAnsi="宋体" w:cs="宋体" w:eastAsia="宋体" w:hint="default"/>
                <w:sz w:val="18"/>
                <w:szCs w:val="18"/>
              </w:rPr>
              <w:t>公司重大 资产重组 相关股票 异常交易 监管的暂 行规定》</w:t>
            </w: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15"/>
              <w:ind w:left="21" w:right="20"/>
              <w:jc w:val="both"/>
              <w:rPr>
                <w:rFonts w:ascii="宋体" w:hAnsi="宋体" w:cs="宋体" w:eastAsia="宋体" w:hint="default"/>
                <w:sz w:val="18"/>
                <w:szCs w:val="18"/>
              </w:rPr>
            </w:pPr>
            <w:r>
              <w:rPr>
                <w:rFonts w:ascii="宋体" w:hAnsi="宋体" w:cs="宋体" w:eastAsia="宋体" w:hint="default"/>
                <w:sz w:val="18"/>
                <w:szCs w:val="18"/>
              </w:rPr>
              <w:t>本承诺人及本承诺人董事、监事、高级管理人员，本承诺人控股股东、实际控制人及其控制的企业均不存在因涉嫌与本 </w:t>
            </w:r>
            <w:r>
              <w:rPr>
                <w:rFonts w:ascii="宋体" w:hAnsi="宋体" w:cs="宋体" w:eastAsia="宋体" w:hint="default"/>
                <w:spacing w:val="-3"/>
                <w:sz w:val="18"/>
                <w:szCs w:val="18"/>
              </w:rPr>
              <w:t>次重组相关的内幕交易被立案调查或者立案侦查的情形，最近</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1"/>
                <w:sz w:val="18"/>
                <w:szCs w:val="18"/>
              </w:rPr>
              <w:t> </w:t>
            </w:r>
            <w:r>
              <w:rPr>
                <w:rFonts w:ascii="宋体" w:hAnsi="宋体" w:cs="宋体" w:eastAsia="宋体" w:hint="default"/>
                <w:spacing w:val="-1"/>
                <w:sz w:val="18"/>
                <w:szCs w:val="18"/>
              </w:rPr>
              <w:t>个月内不存在因与重大资产重组相关的内幕交易被中国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证监会作出行政处罚或者司法机关依法追究刑事责任的情形。前述各相关主体不存在依据《关于加强与上市公司重大资</w:t>
            </w:r>
            <w:r>
              <w:rPr>
                <w:rFonts w:ascii="宋体" w:hAnsi="宋体" w:cs="宋体" w:eastAsia="宋体" w:hint="default"/>
                <w:sz w:val="18"/>
                <w:szCs w:val="18"/>
              </w:rPr>
              <w:t> 产重组相关股票异常交易监管的暂行规定》第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条不得参与重大资产重组的情形。</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24" w:right="39"/>
              <w:jc w:val="left"/>
              <w:rPr>
                <w:rFonts w:ascii="宋体" w:hAnsi="宋体" w:cs="宋体" w:eastAsia="宋体" w:hint="default"/>
                <w:sz w:val="18"/>
                <w:szCs w:val="18"/>
              </w:rPr>
            </w:pPr>
            <w:r>
              <w:rPr>
                <w:rFonts w:ascii="宋体" w:hAnsi="宋体" w:cs="宋体" w:eastAsia="宋体" w:hint="default"/>
                <w:sz w:val="18"/>
                <w:szCs w:val="18"/>
              </w:rPr>
              <w:t>无承诺期 限</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38"/>
              <w:jc w:val="left"/>
              <w:rPr>
                <w:rFonts w:ascii="宋体" w:hAnsi="宋体" w:cs="宋体" w:eastAsia="宋体" w:hint="default"/>
                <w:sz w:val="18"/>
                <w:szCs w:val="18"/>
              </w:rPr>
            </w:pPr>
            <w:r>
              <w:rPr>
                <w:rFonts w:ascii="宋体" w:hAnsi="宋体" w:cs="宋体" w:eastAsia="宋体" w:hint="default"/>
                <w:sz w:val="18"/>
                <w:szCs w:val="18"/>
              </w:rPr>
              <w:t>报告期 内，承诺 人遵守了 所做的承 诺。</w:t>
            </w:r>
          </w:p>
        </w:tc>
      </w:tr>
      <w:tr>
        <w:trPr>
          <w:trHeight w:val="317"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条</w:t>
            </w:r>
          </w:p>
        </w:tc>
        <w:tc>
          <w:tcPr>
            <w:tcW w:w="9429"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情形之承</w:t>
            </w:r>
          </w:p>
        </w:tc>
        <w:tc>
          <w:tcPr>
            <w:tcW w:w="9429"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700" w:type="dxa"/>
            <w:vMerge/>
            <w:tcBorders>
              <w:left w:val="single" w:sz="4" w:space="0" w:color="000000"/>
              <w:bottom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诺</w:t>
            </w:r>
          </w:p>
        </w:tc>
        <w:tc>
          <w:tcPr>
            <w:tcW w:w="9429"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795"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660" w:right="640"/>
        </w:sectPr>
      </w:pPr>
    </w:p>
    <w:p>
      <w:pPr>
        <w:spacing w:line="240" w:lineRule="auto" w:before="2"/>
        <w:rPr>
          <w:rFonts w:ascii="Times New Roman" w:hAnsi="Times New Roman" w:cs="Times New Roman" w:eastAsia="Times New Roman" w:hint="default"/>
          <w:sz w:val="3"/>
          <w:szCs w:val="3"/>
        </w:rPr>
      </w:pPr>
      <w:r>
        <w:rPr/>
        <w:pict>
          <v:group style="position:absolute;margin-left:685.900024pt;margin-top:183.986008pt;width:36.85pt;height:17.7pt;mso-position-horizontal-relative:page;mso-position-vertical-relative:page;z-index:-1612576" coordorigin="13718,3680" coordsize="737,354">
            <v:shape style="position:absolute;left:13718;top:3680;width:737;height:354" coordorigin="13718,3680" coordsize="737,354" path="m13718,4033l14455,4033,14455,3680,13718,3680,13718,4033xe" filled="true" fillcolor="#ffffff" stroked="false">
              <v:path arrowok="t"/>
              <v:fill type="solid"/>
            </v:shape>
            <w10:wrap type="none"/>
          </v:group>
        </w:pict>
      </w:r>
    </w:p>
    <w:tbl>
      <w:tblPr>
        <w:tblW w:w="0" w:type="auto"/>
        <w:jc w:val="left"/>
        <w:tblInd w:w="103" w:type="dxa"/>
        <w:tblLayout w:type="fixed"/>
        <w:tblCellMar>
          <w:top w:w="0" w:type="dxa"/>
          <w:left w:w="0" w:type="dxa"/>
          <w:bottom w:w="0" w:type="dxa"/>
          <w:right w:w="0" w:type="dxa"/>
        </w:tblCellMar>
        <w:tblLook w:val="01E0"/>
      </w:tblPr>
      <w:tblGrid>
        <w:gridCol w:w="1700"/>
        <w:gridCol w:w="998"/>
        <w:gridCol w:w="794"/>
        <w:gridCol w:w="9429"/>
        <w:gridCol w:w="794"/>
        <w:gridCol w:w="795"/>
        <w:gridCol w:w="794"/>
      </w:tblGrid>
      <w:tr>
        <w:trPr>
          <w:trHeight w:val="371" w:hRule="exact"/>
        </w:trPr>
        <w:tc>
          <w:tcPr>
            <w:tcW w:w="1700" w:type="dxa"/>
            <w:vMerge w:val="restart"/>
            <w:tcBorders>
              <w:top w:val="single" w:sz="15" w:space="0" w:color="000000"/>
              <w:left w:val="single" w:sz="4" w:space="0" w:color="000000"/>
              <w:right w:val="single" w:sz="4" w:space="0" w:color="000000"/>
            </w:tcBorders>
            <w:shd w:val="clear" w:color="auto" w:fill="D2D2D2"/>
          </w:tcPr>
          <w:p>
            <w:pPr/>
          </w:p>
        </w:tc>
        <w:tc>
          <w:tcPr>
            <w:tcW w:w="998" w:type="dxa"/>
            <w:tcBorders>
              <w:top w:val="single" w:sz="15" w:space="0" w:color="000000"/>
              <w:left w:val="single" w:sz="4" w:space="0" w:color="000000"/>
              <w:bottom w:val="nil" w:sz="6" w:space="0" w:color="auto"/>
              <w:right w:val="single" w:sz="4" w:space="0" w:color="000000"/>
            </w:tcBorders>
          </w:tcPr>
          <w:p>
            <w:pPr/>
          </w:p>
        </w:tc>
        <w:tc>
          <w:tcPr>
            <w:tcW w:w="794" w:type="dxa"/>
            <w:tcBorders>
              <w:top w:val="single" w:sz="15" w:space="0" w:color="000000"/>
              <w:left w:val="single" w:sz="4" w:space="0" w:color="000000"/>
              <w:bottom w:val="nil" w:sz="6" w:space="0" w:color="auto"/>
              <w:right w:val="single" w:sz="4" w:space="0" w:color="000000"/>
            </w:tcBorders>
          </w:tcPr>
          <w:p>
            <w:pPr/>
          </w:p>
        </w:tc>
        <w:tc>
          <w:tcPr>
            <w:tcW w:w="9429" w:type="dxa"/>
            <w:tcBorders>
              <w:top w:val="single" w:sz="15" w:space="0" w:color="000000"/>
              <w:left w:val="single" w:sz="4" w:space="0" w:color="000000"/>
              <w:bottom w:val="nil" w:sz="6" w:space="0" w:color="auto"/>
              <w:right w:val="single" w:sz="4" w:space="0" w:color="000000"/>
            </w:tcBorders>
          </w:tcPr>
          <w:p>
            <w:pPr/>
          </w:p>
        </w:tc>
        <w:tc>
          <w:tcPr>
            <w:tcW w:w="794" w:type="dxa"/>
            <w:tcBorders>
              <w:top w:val="single" w:sz="15" w:space="0" w:color="000000"/>
              <w:left w:val="single" w:sz="4" w:space="0" w:color="000000"/>
              <w:bottom w:val="nil" w:sz="6" w:space="0" w:color="auto"/>
              <w:right w:val="single" w:sz="4" w:space="0" w:color="000000"/>
            </w:tcBorders>
          </w:tcPr>
          <w:p>
            <w:pPr/>
          </w:p>
        </w:tc>
        <w:tc>
          <w:tcPr>
            <w:tcW w:w="795"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发行之日</w:t>
            </w:r>
          </w:p>
        </w:tc>
        <w:tc>
          <w:tcPr>
            <w:tcW w:w="794" w:type="dxa"/>
            <w:tcBorders>
              <w:top w:val="single" w:sz="6" w:space="0" w:color="000000"/>
              <w:left w:val="single" w:sz="4" w:space="0" w:color="000000"/>
              <w:bottom w:val="nil" w:sz="6" w:space="0" w:color="auto"/>
              <w:right w:val="single" w:sz="4" w:space="0" w:color="000000"/>
            </w:tcBorders>
          </w:tcPr>
          <w:p>
            <w:pPr/>
          </w:p>
        </w:tc>
      </w:tr>
      <w:tr>
        <w:trPr>
          <w:trHeight w:val="316"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7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2020</w:t>
            </w:r>
          </w:p>
        </w:tc>
        <w:tc>
          <w:tcPr>
            <w:tcW w:w="7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30</w:t>
            </w:r>
          </w:p>
        </w:tc>
        <w:tc>
          <w:tcPr>
            <w:tcW w:w="7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日，根据</w:t>
            </w:r>
          </w:p>
        </w:tc>
        <w:tc>
          <w:tcPr>
            <w:tcW w:w="794"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、四海君芯在本次配套融资项下取得的上市公司股份自股份发行完成之日起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个月内不得转让，亦不得通过转让、赠</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最新政策</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报告期</w:t>
            </w: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关于股份</w:t>
            </w:r>
          </w:p>
        </w:tc>
        <w:tc>
          <w:tcPr>
            <w:tcW w:w="9429" w:type="dxa"/>
            <w:tcBorders>
              <w:top w:val="nil" w:sz="6" w:space="0" w:color="auto"/>
              <w:left w:val="single" w:sz="4" w:space="0" w:color="000000"/>
              <w:bottom w:val="nil" w:sz="6" w:space="0" w:color="auto"/>
              <w:right w:val="single" w:sz="13" w:space="0" w:color="FFFFFF"/>
            </w:tcBorders>
          </w:tcPr>
          <w:p>
            <w:pPr>
              <w:pStyle w:val="TableParagraph"/>
              <w:spacing w:line="240" w:lineRule="auto" w:before="4"/>
              <w:ind w:left="21" w:right="0"/>
              <w:jc w:val="left"/>
              <w:rPr>
                <w:rFonts w:ascii="宋体" w:hAnsi="宋体" w:cs="宋体" w:eastAsia="宋体" w:hint="default"/>
                <w:sz w:val="18"/>
                <w:szCs w:val="18"/>
              </w:rPr>
            </w:pPr>
            <w:r>
              <w:rPr>
                <w:rFonts w:ascii="宋体" w:hAnsi="宋体" w:cs="宋体" w:eastAsia="宋体" w:hint="default"/>
                <w:spacing w:val="-2"/>
                <w:sz w:val="18"/>
                <w:szCs w:val="18"/>
              </w:rPr>
              <w:t>予或其他变相转让的方式处置尚处于锁定期的股份。</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、本次配套融资完成后，四海君芯因上市公司分配股票股利、转增</w:t>
            </w:r>
          </w:p>
        </w:tc>
        <w:tc>
          <w:tcPr>
            <w:tcW w:w="794" w:type="dxa"/>
            <w:tcBorders>
              <w:top w:val="nil" w:sz="6" w:space="0" w:color="auto"/>
              <w:left w:val="single" w:sz="13" w:space="0" w:color="FFFFFF"/>
              <w:bottom w:val="nil" w:sz="6" w:space="0" w:color="auto"/>
              <w:right w:val="single" w:sz="4" w:space="0" w:color="000000"/>
            </w:tcBorders>
          </w:tcPr>
          <w:p>
            <w:pPr>
              <w:pStyle w:val="TableParagraph"/>
              <w:spacing w:line="240" w:lineRule="auto" w:before="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规定，该</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内，承诺</w:t>
            </w:r>
          </w:p>
        </w:tc>
      </w:tr>
      <w:tr>
        <w:trPr>
          <w:trHeight w:val="311"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四海君芯</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1" w:right="0"/>
              <w:jc w:val="left"/>
              <w:rPr>
                <w:rFonts w:ascii="宋体" w:hAnsi="宋体" w:cs="宋体" w:eastAsia="宋体" w:hint="default"/>
                <w:sz w:val="18"/>
                <w:szCs w:val="18"/>
              </w:rPr>
            </w:pPr>
            <w:r>
              <w:rPr>
                <w:rFonts w:ascii="宋体" w:hAnsi="宋体" w:cs="宋体" w:eastAsia="宋体" w:hint="default"/>
                <w:sz w:val="18"/>
                <w:szCs w:val="18"/>
              </w:rPr>
              <w:t>锁定的承</w:t>
            </w:r>
          </w:p>
        </w:tc>
        <w:tc>
          <w:tcPr>
            <w:tcW w:w="9429" w:type="dxa"/>
            <w:tcBorders>
              <w:top w:val="nil" w:sz="6" w:space="0" w:color="auto"/>
              <w:left w:val="single" w:sz="4" w:space="0" w:color="000000"/>
              <w:bottom w:val="nil" w:sz="6" w:space="0" w:color="auto"/>
              <w:right w:val="single" w:sz="13" w:space="0" w:color="FFFFFF"/>
            </w:tcBorders>
          </w:tcPr>
          <w:p>
            <w:pPr>
              <w:pStyle w:val="TableParagraph"/>
              <w:spacing w:line="240" w:lineRule="auto" w:before="4"/>
              <w:ind w:left="21" w:right="0"/>
              <w:jc w:val="left"/>
              <w:rPr>
                <w:rFonts w:ascii="宋体" w:hAnsi="宋体" w:cs="宋体" w:eastAsia="宋体" w:hint="default"/>
                <w:sz w:val="18"/>
                <w:szCs w:val="18"/>
              </w:rPr>
            </w:pPr>
            <w:r>
              <w:rPr>
                <w:rFonts w:ascii="宋体" w:hAnsi="宋体" w:cs="宋体" w:eastAsia="宋体" w:hint="default"/>
                <w:sz w:val="18"/>
                <w:szCs w:val="18"/>
              </w:rPr>
              <w:t>股本等情形所增持的股份亦应遵守前述股份限售安排。锁定期届满后，四海君芯转让和交易依照届时有效的法律法规和</w:t>
            </w:r>
          </w:p>
        </w:tc>
        <w:tc>
          <w:tcPr>
            <w:tcW w:w="794" w:type="dxa"/>
            <w:tcBorders>
              <w:top w:val="nil" w:sz="6" w:space="0" w:color="auto"/>
              <w:left w:val="single" w:sz="13" w:space="0" w:color="FFFFFF"/>
              <w:bottom w:val="nil" w:sz="6" w:space="0" w:color="auto"/>
              <w:right w:val="single" w:sz="4" w:space="0" w:color="000000"/>
            </w:tcBorders>
          </w:tcPr>
          <w:p>
            <w:pPr>
              <w:pStyle w:val="TableParagraph"/>
              <w:spacing w:line="240" w:lineRule="auto" w:before="4"/>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tc>
        <w:tc>
          <w:tcPr>
            <w:tcW w:w="79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股份锁定</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人遵守了</w:t>
            </w: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诺函</w:t>
            </w:r>
          </w:p>
        </w:tc>
        <w:tc>
          <w:tcPr>
            <w:tcW w:w="9429" w:type="dxa"/>
            <w:tcBorders>
              <w:top w:val="nil" w:sz="6" w:space="0" w:color="auto"/>
              <w:left w:val="single" w:sz="4" w:space="0" w:color="000000"/>
              <w:bottom w:val="nil" w:sz="6" w:space="0" w:color="auto"/>
              <w:right w:val="single" w:sz="13" w:space="0" w:color="FFFFFF"/>
            </w:tcBorders>
          </w:tcPr>
          <w:p>
            <w:pPr>
              <w:pStyle w:val="TableParagraph"/>
              <w:spacing w:line="240" w:lineRule="auto" w:before="6"/>
              <w:ind w:left="21" w:right="-46"/>
              <w:jc w:val="left"/>
              <w:rPr>
                <w:rFonts w:ascii="宋体" w:hAnsi="宋体" w:cs="宋体" w:eastAsia="宋体" w:hint="default"/>
                <w:sz w:val="18"/>
                <w:szCs w:val="18"/>
              </w:rPr>
            </w:pPr>
            <w:r>
              <w:rPr>
                <w:rFonts w:ascii="宋体" w:hAnsi="宋体" w:cs="宋体" w:eastAsia="宋体" w:hint="default"/>
                <w:sz w:val="18"/>
                <w:szCs w:val="18"/>
              </w:rPr>
              <w:t>深圳证券交易所的规则办理</w:t>
            </w:r>
            <w:r>
              <w:rPr>
                <w:rFonts w:ascii="宋体" w:hAnsi="宋体" w:cs="宋体" w:eastAsia="宋体" w:hint="default"/>
                <w:spacing w:val="-84"/>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85"/>
                <w:sz w:val="18"/>
                <w:szCs w:val="18"/>
              </w:rPr>
              <w:t>、</w:t>
            </w:r>
            <w:r>
              <w:rPr>
                <w:rFonts w:ascii="宋体" w:hAnsi="宋体" w:cs="宋体" w:eastAsia="宋体" w:hint="default"/>
                <w:sz w:val="18"/>
                <w:szCs w:val="18"/>
              </w:rPr>
              <w:t>四海君芯及刘强于本承诺函出具前已出具的承诺函的相关内容与本承诺函内容不一致的</w:t>
            </w:r>
            <w:r>
              <w:rPr>
                <w:rFonts w:ascii="宋体" w:hAnsi="宋体" w:cs="宋体" w:eastAsia="宋体" w:hint="default"/>
                <w:spacing w:val="-33"/>
                <w:sz w:val="18"/>
                <w:szCs w:val="18"/>
              </w:rPr>
              <w:t>，</w:t>
            </w:r>
            <w:r>
              <w:rPr>
                <w:rFonts w:ascii="宋体" w:hAnsi="宋体" w:cs="宋体" w:eastAsia="宋体" w:hint="default"/>
                <w:sz w:val="18"/>
                <w:szCs w:val="18"/>
              </w:rPr>
            </w:r>
          </w:p>
        </w:tc>
        <w:tc>
          <w:tcPr>
            <w:tcW w:w="794" w:type="dxa"/>
            <w:tcBorders>
              <w:top w:val="nil" w:sz="6" w:space="0" w:color="auto"/>
              <w:left w:val="single" w:sz="13" w:space="0" w:color="FFFFFF"/>
              <w:bottom w:val="nil" w:sz="6" w:space="0" w:color="auto"/>
              <w:right w:val="single" w:sz="4" w:space="0" w:color="000000"/>
            </w:tcBorders>
          </w:tcPr>
          <w:p>
            <w:pPr>
              <w:pStyle w:val="TableParagraph"/>
              <w:spacing w:line="240" w:lineRule="auto" w:before="6"/>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所做的承</w:t>
            </w:r>
          </w:p>
        </w:tc>
      </w:tr>
      <w:tr>
        <w:trPr>
          <w:trHeight w:val="307"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以本承诺函为准。</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由发行之</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诺。</w:t>
            </w:r>
          </w:p>
        </w:tc>
      </w:tr>
      <w:tr>
        <w:trPr>
          <w:trHeight w:val="317"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36</w:t>
            </w:r>
          </w:p>
        </w:tc>
        <w:tc>
          <w:tcPr>
            <w:tcW w:w="7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个月变更</w:t>
            </w:r>
          </w:p>
        </w:tc>
        <w:tc>
          <w:tcPr>
            <w:tcW w:w="7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为发行之</w:t>
            </w:r>
          </w:p>
        </w:tc>
        <w:tc>
          <w:tcPr>
            <w:tcW w:w="7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18</w:t>
            </w:r>
          </w:p>
        </w:tc>
        <w:tc>
          <w:tcPr>
            <w:tcW w:w="794"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700" w:type="dxa"/>
            <w:vMerge/>
            <w:tcBorders>
              <w:left w:val="single" w:sz="4" w:space="0" w:color="000000"/>
              <w:bottom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9429"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7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个月）</w:t>
            </w:r>
          </w:p>
        </w:tc>
        <w:tc>
          <w:tcPr>
            <w:tcW w:w="794"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660" w:right="640"/>
        </w:sectPr>
      </w:pPr>
    </w:p>
    <w:p>
      <w:pPr>
        <w:spacing w:line="240" w:lineRule="auto" w:before="2"/>
        <w:rPr>
          <w:rFonts w:ascii="Times New Roman" w:hAnsi="Times New Roman" w:cs="Times New Roman" w:eastAsia="Times New Roman" w:hint="default"/>
          <w:sz w:val="3"/>
          <w:szCs w:val="3"/>
        </w:rPr>
      </w:pPr>
      <w:r>
        <w:rPr/>
        <w:pict>
          <v:group style="position:absolute;margin-left:684.700012pt;margin-top:57.240005pt;width:39.25pt;height:101.45pt;mso-position-horizontal-relative:page;mso-position-vertical-relative:page;z-index:-1612552" coordorigin="13694,1145" coordsize="785,2029">
            <v:shape style="position:absolute;left:13694;top:1145;width:785;height:2029" coordorigin="13694,1145" coordsize="785,2029" path="m13694,3173l14479,3173,14479,1145,13694,1145,13694,3173xe" filled="true" fillcolor="#ffffff" stroked="false">
              <v:path arrowok="t"/>
              <v:fill type="solid"/>
            </v:shape>
            <w10:wrap type="none"/>
          </v:group>
        </w:pict>
      </w:r>
      <w:r>
        <w:rPr/>
        <w:pict>
          <v:group style="position:absolute;margin-left:685.900024pt;margin-top:391.390015pt;width:36.85pt;height:17.55pt;mso-position-horizontal-relative:page;mso-position-vertical-relative:page;z-index:-1612528" coordorigin="13718,7828" coordsize="737,351">
            <v:shape style="position:absolute;left:13718;top:7828;width:737;height:351" coordorigin="13718,7828" coordsize="737,351" path="m13718,8178l14455,8178,14455,7828,13718,7828,13718,8178xe" filled="true" fillcolor="#ffffff" stroked="false">
              <v:path arrowok="t"/>
              <v:fill type="solid"/>
            </v:shape>
            <w10:wrap type="none"/>
          </v:group>
        </w:pict>
      </w:r>
    </w:p>
    <w:tbl>
      <w:tblPr>
        <w:tblW w:w="0" w:type="auto"/>
        <w:jc w:val="left"/>
        <w:tblInd w:w="103" w:type="dxa"/>
        <w:tblLayout w:type="fixed"/>
        <w:tblCellMar>
          <w:top w:w="0" w:type="dxa"/>
          <w:left w:w="0" w:type="dxa"/>
          <w:bottom w:w="0" w:type="dxa"/>
          <w:right w:w="0" w:type="dxa"/>
        </w:tblCellMar>
        <w:tblLook w:val="01E0"/>
      </w:tblPr>
      <w:tblGrid>
        <w:gridCol w:w="1700"/>
        <w:gridCol w:w="998"/>
        <w:gridCol w:w="794"/>
        <w:gridCol w:w="9429"/>
        <w:gridCol w:w="794"/>
        <w:gridCol w:w="795"/>
        <w:gridCol w:w="794"/>
      </w:tblGrid>
      <w:tr>
        <w:trPr>
          <w:trHeight w:val="371" w:hRule="exact"/>
        </w:trPr>
        <w:tc>
          <w:tcPr>
            <w:tcW w:w="1700" w:type="dxa"/>
            <w:vMerge w:val="restart"/>
            <w:tcBorders>
              <w:top w:val="single" w:sz="15" w:space="0" w:color="000000"/>
              <w:left w:val="single" w:sz="4" w:space="0" w:color="000000"/>
              <w:right w:val="single" w:sz="4" w:space="0" w:color="000000"/>
            </w:tcBorders>
            <w:shd w:val="clear" w:color="auto" w:fill="D2D2D2"/>
          </w:tcPr>
          <w:p>
            <w:pPr/>
          </w:p>
        </w:tc>
        <w:tc>
          <w:tcPr>
            <w:tcW w:w="998" w:type="dxa"/>
            <w:tcBorders>
              <w:top w:val="single" w:sz="15" w:space="0" w:color="000000"/>
              <w:left w:val="single" w:sz="4" w:space="0" w:color="000000"/>
              <w:bottom w:val="nil" w:sz="6" w:space="0" w:color="auto"/>
              <w:right w:val="single" w:sz="4" w:space="0" w:color="000000"/>
            </w:tcBorders>
          </w:tcPr>
          <w:p>
            <w:pPr/>
          </w:p>
        </w:tc>
        <w:tc>
          <w:tcPr>
            <w:tcW w:w="794" w:type="dxa"/>
            <w:tcBorders>
              <w:top w:val="single" w:sz="15" w:space="0" w:color="000000"/>
              <w:left w:val="single" w:sz="4" w:space="0" w:color="000000"/>
              <w:bottom w:val="nil" w:sz="6" w:space="0" w:color="auto"/>
              <w:right w:val="single" w:sz="4" w:space="0" w:color="000000"/>
            </w:tcBorders>
          </w:tcPr>
          <w:p>
            <w:pPr/>
          </w:p>
        </w:tc>
        <w:tc>
          <w:tcPr>
            <w:tcW w:w="9429" w:type="dxa"/>
            <w:tcBorders>
              <w:top w:val="single" w:sz="15" w:space="0" w:color="000000"/>
              <w:left w:val="single" w:sz="4" w:space="0" w:color="000000"/>
              <w:bottom w:val="nil" w:sz="6" w:space="0" w:color="auto"/>
              <w:right w:val="single" w:sz="4" w:space="0" w:color="000000"/>
            </w:tcBorders>
          </w:tcPr>
          <w:p>
            <w:pPr/>
          </w:p>
        </w:tc>
        <w:tc>
          <w:tcPr>
            <w:tcW w:w="794" w:type="dxa"/>
            <w:tcBorders>
              <w:top w:val="single" w:sz="15" w:space="0" w:color="000000"/>
              <w:left w:val="single" w:sz="4" w:space="0" w:color="000000"/>
              <w:bottom w:val="nil" w:sz="6" w:space="0" w:color="auto"/>
              <w:right w:val="single" w:sz="4" w:space="0" w:color="000000"/>
            </w:tcBorders>
          </w:tcPr>
          <w:p>
            <w:pPr/>
          </w:p>
        </w:tc>
        <w:tc>
          <w:tcPr>
            <w:tcW w:w="795"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至本次重</w:t>
            </w:r>
          </w:p>
        </w:tc>
        <w:tc>
          <w:tcPr>
            <w:tcW w:w="794" w:type="dxa"/>
            <w:tcBorders>
              <w:top w:val="single" w:sz="6" w:space="0" w:color="000000"/>
              <w:left w:val="single" w:sz="4" w:space="0" w:color="000000"/>
              <w:bottom w:val="nil" w:sz="6" w:space="0" w:color="auto"/>
              <w:right w:val="single" w:sz="4" w:space="0" w:color="000000"/>
            </w:tcBorders>
          </w:tcPr>
          <w:p>
            <w:pPr/>
          </w:p>
        </w:tc>
      </w:tr>
      <w:tr>
        <w:trPr>
          <w:trHeight w:val="311"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大资产重</w:t>
            </w:r>
          </w:p>
        </w:tc>
        <w:tc>
          <w:tcPr>
            <w:tcW w:w="794" w:type="dxa"/>
            <w:tcBorders>
              <w:top w:val="nil" w:sz="6" w:space="0" w:color="auto"/>
              <w:left w:val="single" w:sz="4" w:space="0" w:color="000000"/>
              <w:bottom w:val="nil" w:sz="6" w:space="0" w:color="auto"/>
              <w:right w:val="single" w:sz="4" w:space="0" w:color="000000"/>
            </w:tcBorders>
          </w:tcPr>
          <w:p>
            <w:pPr/>
          </w:p>
        </w:tc>
      </w:tr>
      <w:tr>
        <w:trPr>
          <w:trHeight w:val="3745"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4"/>
              <w:ind w:left="23" w:right="62"/>
              <w:jc w:val="left"/>
              <w:rPr>
                <w:rFonts w:ascii="宋体" w:hAnsi="宋体" w:cs="宋体" w:eastAsia="宋体" w:hint="default"/>
                <w:sz w:val="18"/>
                <w:szCs w:val="18"/>
              </w:rPr>
            </w:pPr>
            <w:r>
              <w:rPr>
                <w:rFonts w:ascii="宋体" w:hAnsi="宋体" w:cs="宋体" w:eastAsia="宋体" w:hint="default"/>
                <w:sz w:val="18"/>
                <w:szCs w:val="18"/>
              </w:rPr>
              <w:t>四海君芯、 刘强</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16" w:lineRule="auto"/>
              <w:ind w:left="21" w:right="41"/>
              <w:jc w:val="both"/>
              <w:rPr>
                <w:rFonts w:ascii="宋体" w:hAnsi="宋体" w:cs="宋体" w:eastAsia="宋体" w:hint="default"/>
                <w:sz w:val="18"/>
                <w:szCs w:val="18"/>
              </w:rPr>
            </w:pPr>
            <w:r>
              <w:rPr>
                <w:rFonts w:ascii="宋体" w:hAnsi="宋体" w:cs="宋体" w:eastAsia="宋体" w:hint="default"/>
                <w:sz w:val="18"/>
                <w:szCs w:val="18"/>
              </w:rPr>
              <w:t>关于参与 认购本次 配套融资 的承诺</w:t>
            </w: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04" w:lineRule="auto"/>
              <w:ind w:left="21"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、本承诺人承诺参与本次配套融资，认购配套融资金额不低于本次配套融资总额的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、本承诺人承诺，将根据本 次配套融资相关安排，按期、足额认购本次配套融资相应股份，并承诺于上市公司向本承诺人发出《缴款通知书》前， </w:t>
            </w:r>
            <w:r>
              <w:rPr>
                <w:rFonts w:ascii="宋体" w:hAnsi="宋体" w:cs="宋体" w:eastAsia="宋体" w:hint="default"/>
                <w:spacing w:val="-1"/>
                <w:sz w:val="18"/>
                <w:szCs w:val="18"/>
              </w:rPr>
              <w:t>通过自有及</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或自筹（包括但不限于通过借款或其他法律法规允许的方式筹集）方式，将认购本次配套融资所需的资金准</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备到位。</w:t>
            </w:r>
            <w:r>
              <w:rPr>
                <w:rFonts w:ascii="Times New Roman" w:hAnsi="Times New Roman" w:cs="Times New Roman" w:eastAsia="Times New Roman" w:hint="default"/>
                <w:sz w:val="18"/>
                <w:szCs w:val="18"/>
              </w:rPr>
              <w:t>3</w:t>
            </w:r>
            <w:r>
              <w:rPr>
                <w:rFonts w:ascii="宋体" w:hAnsi="宋体" w:cs="宋体" w:eastAsia="宋体" w:hint="default"/>
                <w:sz w:val="18"/>
                <w:szCs w:val="18"/>
              </w:rPr>
              <w:t>、本承诺人承诺，用于认购本次配套融资的资金不存在对外募集行为，不包含任何杠杆融资结构化设计产品 </w:t>
            </w:r>
            <w:r>
              <w:rPr>
                <w:rFonts w:ascii="宋体" w:hAnsi="宋体" w:cs="宋体" w:eastAsia="宋体" w:hint="default"/>
                <w:spacing w:val="-2"/>
                <w:sz w:val="18"/>
                <w:szCs w:val="18"/>
              </w:rPr>
              <w:t>不存在任何分级收益等结构化安排方式进行融资的情形。</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、本承诺人承诺，认购本次配套融资不存在接受他人委托代为</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认购、代他人出资受托持股、信托持股及其他任何代持的情形。</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、本承诺人承诺，不存在直接或间接使用上市公司资金</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用于认购本次配套融资的情形，也不存在上市公司就本次配套融资向本承诺人提供财务资助或补偿的情形。</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、本承诺人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承诺，在本次配套融资项下获得的上市公司股份锁定期为自股份发行结束之日起</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个月；本承诺人不得通过转让、赠予</w:t>
            </w:r>
            <w:r>
              <w:rPr>
                <w:rFonts w:ascii="宋体" w:hAnsi="宋体" w:cs="宋体" w:eastAsia="宋体" w:hint="default"/>
                <w:sz w:val="18"/>
                <w:szCs w:val="18"/>
              </w:rPr>
              <w:t> 或其他变相转让的方式处置尚处于锁定期的股份。本次重组完成后，本承诺人因上市公司分配股票股利、转增股本等情 </w:t>
            </w:r>
            <w:r>
              <w:rPr>
                <w:rFonts w:ascii="宋体" w:hAnsi="宋体" w:cs="宋体" w:eastAsia="宋体" w:hint="default"/>
                <w:spacing w:val="-2"/>
                <w:sz w:val="18"/>
                <w:szCs w:val="18"/>
              </w:rPr>
              <w:t>形所增加的股份亦应遵守前述股份锁定安排。</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、本承诺函自作出之日起即构成对本承诺人有约束力的法律文件。如违反</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本承诺，承诺人愿意承担相应的法律责任。</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组完成</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2020</w:t>
            </w:r>
          </w:p>
          <w:p>
            <w:pPr>
              <w:pStyle w:val="TableParagraph"/>
              <w:spacing w:line="314"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日，根据 最新政策 规定，该 股份锁定 承诺期限 由发行之 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个月变更 为发行之</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6" w:lineRule="auto"/>
              <w:ind w:left="23" w:right="38"/>
              <w:jc w:val="left"/>
              <w:rPr>
                <w:rFonts w:ascii="宋体" w:hAnsi="宋体" w:cs="宋体" w:eastAsia="宋体" w:hint="default"/>
                <w:sz w:val="18"/>
                <w:szCs w:val="18"/>
              </w:rPr>
            </w:pPr>
            <w:r>
              <w:rPr>
                <w:rFonts w:ascii="宋体" w:hAnsi="宋体" w:cs="宋体" w:eastAsia="宋体" w:hint="default"/>
                <w:sz w:val="18"/>
                <w:szCs w:val="18"/>
              </w:rPr>
              <w:t>报告期 内，承诺 人均遵守 了所做的 承诺。</w:t>
            </w:r>
          </w:p>
        </w:tc>
      </w:tr>
      <w:tr>
        <w:trPr>
          <w:trHeight w:val="317"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18</w:t>
            </w:r>
          </w:p>
        </w:tc>
        <w:tc>
          <w:tcPr>
            <w:tcW w:w="794"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9429"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7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个月）</w:t>
            </w:r>
          </w:p>
        </w:tc>
        <w:tc>
          <w:tcPr>
            <w:tcW w:w="794"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700" w:type="dxa"/>
            <w:vMerge/>
            <w:tcBorders>
              <w:left w:val="single" w:sz="4" w:space="0" w:color="000000"/>
              <w:right w:val="single" w:sz="4" w:space="0" w:color="000000"/>
            </w:tcBorders>
            <w:shd w:val="clear" w:color="auto" w:fill="D2D2D2"/>
          </w:tcPr>
          <w:p>
            <w:pPr/>
          </w:p>
        </w:tc>
        <w:tc>
          <w:tcPr>
            <w:tcW w:w="998" w:type="dxa"/>
            <w:tcBorders>
              <w:top w:val="single" w:sz="4" w:space="0" w:color="000000"/>
              <w:left w:val="single" w:sz="4" w:space="0" w:color="000000"/>
              <w:bottom w:val="nil" w:sz="6" w:space="0" w:color="auto"/>
              <w:right w:val="single" w:sz="4" w:space="0" w:color="000000"/>
            </w:tcBorders>
          </w:tcPr>
          <w:p>
            <w:pPr/>
          </w:p>
        </w:tc>
        <w:tc>
          <w:tcPr>
            <w:tcW w:w="794" w:type="dxa"/>
            <w:tcBorders>
              <w:top w:val="single" w:sz="4" w:space="0" w:color="000000"/>
              <w:left w:val="single" w:sz="4" w:space="0" w:color="000000"/>
              <w:bottom w:val="nil" w:sz="6" w:space="0" w:color="auto"/>
              <w:right w:val="single" w:sz="4" w:space="0" w:color="000000"/>
            </w:tcBorders>
          </w:tcPr>
          <w:p>
            <w:pPr/>
          </w:p>
        </w:tc>
        <w:tc>
          <w:tcPr>
            <w:tcW w:w="94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、对本次重组的原则性意见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本承诺人原则性同意本次重组。</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、上市公司控制权稳定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本次重组前，刘强及一致行动人李</w:t>
            </w:r>
          </w:p>
        </w:tc>
        <w:tc>
          <w:tcPr>
            <w:tcW w:w="794" w:type="dxa"/>
            <w:tcBorders>
              <w:top w:val="single" w:sz="4" w:space="0" w:color="000000"/>
              <w:left w:val="single" w:sz="4" w:space="0" w:color="000000"/>
              <w:bottom w:val="nil" w:sz="6" w:space="0" w:color="auto"/>
              <w:right w:val="single" w:sz="4" w:space="0" w:color="000000"/>
            </w:tcBorders>
          </w:tcPr>
          <w:p>
            <w:pPr/>
          </w:p>
        </w:tc>
        <w:tc>
          <w:tcPr>
            <w:tcW w:w="795" w:type="dxa"/>
            <w:tcBorders>
              <w:top w:val="single" w:sz="4" w:space="0" w:color="000000"/>
              <w:left w:val="single" w:sz="4" w:space="0" w:color="000000"/>
              <w:bottom w:val="nil" w:sz="6" w:space="0" w:color="auto"/>
              <w:right w:val="single" w:sz="4" w:space="0" w:color="000000"/>
            </w:tcBorders>
          </w:tcPr>
          <w:p>
            <w:pPr/>
          </w:p>
        </w:tc>
        <w:tc>
          <w:tcPr>
            <w:tcW w:w="79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杰合计持有上市公司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90</w:t>
            </w:r>
            <w:r>
              <w:rPr>
                <w:rFonts w:ascii="Times New Roman" w:hAnsi="Times New Roman" w:cs="Times New Roman" w:eastAsia="Times New Roman" w:hint="default"/>
                <w:spacing w:val="-1"/>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t>份表决权，刘强、李杰为公司实际控制人。本次重组完成后（不考虑配套融资</w:t>
            </w:r>
            <w:r>
              <w:rPr>
                <w:rFonts w:ascii="宋体" w:hAnsi="宋体" w:cs="宋体" w:eastAsia="宋体" w:hint="default"/>
                <w:spacing w:val="-92"/>
                <w:sz w:val="18"/>
                <w:szCs w:val="18"/>
              </w:rPr>
              <w:t>）</w:t>
            </w:r>
            <w:r>
              <w:rPr>
                <w:rFonts w:ascii="宋体" w:hAnsi="宋体" w:cs="宋体" w:eastAsia="宋体" w:hint="default"/>
                <w:sz w:val="18"/>
                <w:szCs w:val="18"/>
              </w:rPr>
              <w:t>，刘强、</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关于本次</w:t>
            </w: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李杰仍为公司的实际控制人。本次重组前后，刘强、李杰持有及实际支配公司股份表决权比例最高，且未发生变化，刘</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报告期</w:t>
            </w:r>
          </w:p>
        </w:tc>
      </w:tr>
      <w:tr>
        <w:trPr>
          <w:trHeight w:val="941"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刘强、李杰</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1" w:right="41"/>
              <w:jc w:val="both"/>
              <w:rPr>
                <w:rFonts w:ascii="宋体" w:hAnsi="宋体" w:cs="宋体" w:eastAsia="宋体" w:hint="default"/>
                <w:sz w:val="18"/>
                <w:szCs w:val="18"/>
              </w:rPr>
            </w:pPr>
            <w:r>
              <w:rPr>
                <w:rFonts w:ascii="宋体" w:hAnsi="宋体" w:cs="宋体" w:eastAsia="宋体" w:hint="default"/>
                <w:sz w:val="18"/>
                <w:szCs w:val="18"/>
              </w:rPr>
              <w:t>重组有关 事项的声 明及承诺</w:t>
            </w:r>
          </w:p>
        </w:tc>
        <w:tc>
          <w:tcPr>
            <w:tcW w:w="9429" w:type="dxa"/>
            <w:tcBorders>
              <w:top w:val="nil" w:sz="6" w:space="0" w:color="auto"/>
              <w:left w:val="single" w:sz="4" w:space="0" w:color="000000"/>
              <w:bottom w:val="nil" w:sz="6" w:space="0" w:color="auto"/>
              <w:right w:val="single" w:sz="13" w:space="0" w:color="FFFFFF"/>
            </w:tcBorders>
          </w:tcPr>
          <w:p>
            <w:pPr>
              <w:pStyle w:val="TableParagraph"/>
              <w:spacing w:line="300" w:lineRule="auto" w:before="10"/>
              <w:ind w:left="21" w:right="-46"/>
              <w:jc w:val="both"/>
              <w:rPr>
                <w:rFonts w:ascii="宋体" w:hAnsi="宋体" w:cs="宋体" w:eastAsia="宋体" w:hint="default"/>
                <w:sz w:val="18"/>
                <w:szCs w:val="18"/>
              </w:rPr>
            </w:pPr>
            <w:r>
              <w:rPr>
                <w:rFonts w:ascii="宋体" w:hAnsi="宋体" w:cs="宋体" w:eastAsia="宋体" w:hint="default"/>
                <w:sz w:val="18"/>
                <w:szCs w:val="18"/>
              </w:rPr>
              <w:t>强、李杰仍为公司实际控制人。</w:t>
            </w:r>
            <w:r>
              <w:rPr>
                <w:rFonts w:ascii="Times New Roman" w:hAnsi="Times New Roman" w:cs="Times New Roman" w:eastAsia="Times New Roman" w:hint="default"/>
                <w:sz w:val="18"/>
                <w:szCs w:val="18"/>
              </w:rPr>
              <w:t>3</w:t>
            </w:r>
            <w:r>
              <w:rPr>
                <w:rFonts w:ascii="宋体" w:hAnsi="宋体" w:cs="宋体" w:eastAsia="宋体" w:hint="default"/>
                <w:sz w:val="18"/>
                <w:szCs w:val="18"/>
              </w:rPr>
              <w:t>、未损害上市公司利益</w:t>
            </w:r>
            <w:r>
              <w:rPr>
                <w:rFonts w:ascii="Times New Roman" w:hAnsi="Times New Roman" w:cs="Times New Roman" w:eastAsia="Times New Roman" w:hint="default"/>
                <w:sz w:val="18"/>
                <w:szCs w:val="18"/>
              </w:rPr>
              <w:t>:</w:t>
            </w:r>
            <w:r>
              <w:rPr>
                <w:rFonts w:ascii="宋体" w:hAnsi="宋体" w:cs="宋体" w:eastAsia="宋体" w:hint="default"/>
                <w:sz w:val="18"/>
                <w:szCs w:val="18"/>
              </w:rPr>
              <w:t>本承诺人作为上市公司实际控制人期间，不存在《上市公司证 券发行管理办法》第三十九条第一款第（二）项规定的严重侵害上市公司权益且尚未消除的情况。</w:t>
            </w:r>
            <w:r>
              <w:rPr>
                <w:rFonts w:ascii="Times New Roman" w:hAnsi="Times New Roman" w:cs="Times New Roman" w:eastAsia="Times New Roman" w:hint="default"/>
                <w:sz w:val="18"/>
                <w:szCs w:val="18"/>
              </w:rPr>
              <w:t>4</w:t>
            </w:r>
            <w:r>
              <w:rPr>
                <w:rFonts w:ascii="宋体" w:hAnsi="宋体" w:cs="宋体" w:eastAsia="宋体" w:hint="default"/>
                <w:sz w:val="18"/>
                <w:szCs w:val="18"/>
              </w:rPr>
              <w:t>、履行保密义务</w:t>
            </w:r>
            <w:r>
              <w:rPr>
                <w:rFonts w:ascii="Times New Roman" w:hAnsi="Times New Roman" w:cs="Times New Roman" w:eastAsia="Times New Roman" w:hint="default"/>
                <w:sz w:val="18"/>
                <w:szCs w:val="18"/>
              </w:rPr>
              <w:t>:</w:t>
            </w:r>
            <w:r>
              <w:rPr>
                <w:rFonts w:ascii="宋体" w:hAnsi="宋体" w:cs="宋体" w:eastAsia="宋体" w:hint="default"/>
                <w:sz w:val="18"/>
                <w:szCs w:val="18"/>
              </w:rPr>
              <w:t>本 </w:t>
            </w:r>
            <w:r>
              <w:rPr>
                <w:rFonts w:ascii="宋体" w:hAnsi="宋体" w:cs="宋体" w:eastAsia="宋体" w:hint="default"/>
                <w:spacing w:val="-4"/>
                <w:sz w:val="18"/>
                <w:szCs w:val="18"/>
              </w:rPr>
              <w:t>承诺人对所知悉的本次重组信息履行了保密义务，不存在利用本次重组信息从事内幕交易、操纵证券市场等违法活动。</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w:t>
            </w:r>
            <w:r>
              <w:rPr>
                <w:rFonts w:ascii="宋体" w:hAnsi="宋体" w:cs="宋体" w:eastAsia="宋体" w:hint="default"/>
                <w:sz w:val="18"/>
                <w:szCs w:val="18"/>
              </w:rPr>
            </w:r>
          </w:p>
        </w:tc>
        <w:tc>
          <w:tcPr>
            <w:tcW w:w="794" w:type="dxa"/>
            <w:tcBorders>
              <w:top w:val="nil" w:sz="6" w:space="0" w:color="auto"/>
              <w:left w:val="single" w:sz="13" w:space="0" w:color="FFFFFF"/>
              <w:bottom w:val="nil" w:sz="6" w:space="0" w:color="auto"/>
              <w:right w:val="single" w:sz="4" w:space="0" w:color="000000"/>
            </w:tcBorders>
          </w:tcPr>
          <w:p>
            <w:pPr>
              <w:pStyle w:val="TableParagraph"/>
              <w:spacing w:line="240" w:lineRule="auto" w:before="1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39"/>
              <w:jc w:val="left"/>
              <w:rPr>
                <w:rFonts w:ascii="宋体" w:hAnsi="宋体" w:cs="宋体" w:eastAsia="宋体" w:hint="default"/>
                <w:sz w:val="18"/>
                <w:szCs w:val="18"/>
              </w:rPr>
            </w:pPr>
            <w:r>
              <w:rPr>
                <w:rFonts w:ascii="宋体" w:hAnsi="宋体" w:cs="宋体" w:eastAsia="宋体" w:hint="default"/>
                <w:sz w:val="18"/>
                <w:szCs w:val="18"/>
              </w:rPr>
              <w:t>无承诺期 限</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38"/>
              <w:jc w:val="both"/>
              <w:rPr>
                <w:rFonts w:ascii="宋体" w:hAnsi="宋体" w:cs="宋体" w:eastAsia="宋体" w:hint="default"/>
                <w:sz w:val="18"/>
                <w:szCs w:val="18"/>
              </w:rPr>
            </w:pPr>
            <w:r>
              <w:rPr>
                <w:rFonts w:ascii="宋体" w:hAnsi="宋体" w:cs="宋体" w:eastAsia="宋体" w:hint="default"/>
                <w:sz w:val="18"/>
                <w:szCs w:val="18"/>
              </w:rPr>
              <w:t>内，承诺 人均遵守 了所做的</w:t>
            </w: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函</w:t>
            </w: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1"/>
                <w:sz w:val="18"/>
                <w:szCs w:val="18"/>
              </w:rPr>
              <w:t>股份减持计划</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自上市公司本次重组董事会召开之日起至本次重组实施完毕期间，本承诺人不存在减持上市公司股份的计</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承诺。</w:t>
            </w:r>
          </w:p>
        </w:tc>
      </w:tr>
      <w:tr>
        <w:trPr>
          <w:trHeight w:val="307"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划。如违反上述承诺，由此给上市公司或其他投资者造成损失的，本承诺人承诺向上市公司或其他投资者依法承担赔偿</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700" w:type="dxa"/>
            <w:vMerge/>
            <w:tcBorders>
              <w:left w:val="single" w:sz="4" w:space="0" w:color="000000"/>
              <w:bottom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94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794" w:type="dxa"/>
            <w:tcBorders>
              <w:top w:val="nil" w:sz="6" w:space="0" w:color="auto"/>
              <w:left w:val="single" w:sz="4" w:space="0" w:color="000000"/>
              <w:bottom w:val="single" w:sz="4" w:space="0" w:color="000000"/>
              <w:right w:val="single" w:sz="4" w:space="0" w:color="000000"/>
            </w:tcBorders>
          </w:tcPr>
          <w:p>
            <w:pPr/>
          </w:p>
        </w:tc>
        <w:tc>
          <w:tcPr>
            <w:tcW w:w="795"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660" w:right="640"/>
        </w:sectPr>
      </w:pPr>
    </w:p>
    <w:p>
      <w:pPr>
        <w:spacing w:line="240" w:lineRule="auto" w:before="2"/>
        <w:rPr>
          <w:rFonts w:ascii="Times New Roman" w:hAnsi="Times New Roman" w:cs="Times New Roman" w:eastAsia="Times New Roman" w:hint="default"/>
          <w:sz w:val="3"/>
          <w:szCs w:val="3"/>
        </w:rPr>
      </w:pPr>
      <w:r>
        <w:rPr/>
        <w:pict>
          <v:shape style="position:absolute;margin-left:678.460022pt;margin-top:139.706009pt;width:45.5pt;height:62.45pt;mso-position-horizontal-relative:page;mso-position-vertical-relative:page;z-index:-1612504"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684.700012pt;margin-top:139.706009pt;width:39.25pt;height:62.45pt;mso-position-horizontal-relative:page;mso-position-vertical-relative:page;z-index:-1612480" coordorigin="13694,2794" coordsize="785,1249">
            <v:shape style="position:absolute;left:13694;top:2794;width:785;height:1249" coordorigin="13694,2794" coordsize="785,1249" path="m13694,4043l14479,4043,14479,2794,13694,2794,13694,4043xe" filled="true" fillcolor="#ffffff" stroked="false">
              <v:path arrowok="t"/>
              <v:fill type="solid"/>
            </v:shape>
            <w10:wrap type="none"/>
          </v:group>
        </w:pict>
      </w:r>
    </w:p>
    <w:tbl>
      <w:tblPr>
        <w:tblW w:w="0" w:type="auto"/>
        <w:jc w:val="left"/>
        <w:tblInd w:w="103" w:type="dxa"/>
        <w:tblLayout w:type="fixed"/>
        <w:tblCellMar>
          <w:top w:w="0" w:type="dxa"/>
          <w:left w:w="0" w:type="dxa"/>
          <w:bottom w:w="0" w:type="dxa"/>
          <w:right w:w="0" w:type="dxa"/>
        </w:tblCellMar>
        <w:tblLook w:val="01E0"/>
      </w:tblPr>
      <w:tblGrid>
        <w:gridCol w:w="1700"/>
        <w:gridCol w:w="998"/>
        <w:gridCol w:w="794"/>
        <w:gridCol w:w="9429"/>
        <w:gridCol w:w="794"/>
        <w:gridCol w:w="795"/>
        <w:gridCol w:w="794"/>
      </w:tblGrid>
      <w:tr>
        <w:trPr>
          <w:trHeight w:val="1666" w:hRule="exact"/>
        </w:trPr>
        <w:tc>
          <w:tcPr>
            <w:tcW w:w="1700" w:type="dxa"/>
            <w:vMerge w:val="restart"/>
            <w:tcBorders>
              <w:top w:val="single" w:sz="15" w:space="0" w:color="000000"/>
              <w:left w:val="single" w:sz="4" w:space="0" w:color="000000"/>
              <w:right w:val="single" w:sz="4" w:space="0" w:color="000000"/>
            </w:tcBorders>
            <w:shd w:val="clear" w:color="auto" w:fill="D2D2D2"/>
          </w:tcPr>
          <w:p>
            <w:pPr/>
          </w:p>
        </w:tc>
        <w:tc>
          <w:tcPr>
            <w:tcW w:w="99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刘强、李杰</w:t>
            </w:r>
          </w:p>
        </w:tc>
        <w:tc>
          <w:tcPr>
            <w:tcW w:w="7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1" w:right="41"/>
              <w:jc w:val="both"/>
              <w:rPr>
                <w:rFonts w:ascii="宋体" w:hAnsi="宋体" w:cs="宋体" w:eastAsia="宋体" w:hint="default"/>
                <w:sz w:val="18"/>
                <w:szCs w:val="18"/>
              </w:rPr>
            </w:pPr>
            <w:r>
              <w:rPr>
                <w:rFonts w:ascii="宋体" w:hAnsi="宋体" w:cs="宋体" w:eastAsia="宋体" w:hint="default"/>
                <w:sz w:val="18"/>
                <w:szCs w:val="18"/>
              </w:rPr>
              <w:t>关于股份 锁定的承 诺函</w:t>
            </w:r>
          </w:p>
        </w:tc>
        <w:tc>
          <w:tcPr>
            <w:tcW w:w="942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本承诺人于本次交易前持有的上市公司股份，自本次配套融资项下股份发行完成日起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个月届满之日前不得转让。</w:t>
            </w:r>
          </w:p>
        </w:tc>
        <w:tc>
          <w:tcPr>
            <w:tcW w:w="7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2" w:lineRule="auto"/>
              <w:ind w:left="24" w:right="39"/>
              <w:jc w:val="left"/>
              <w:rPr>
                <w:rFonts w:ascii="宋体" w:hAnsi="宋体" w:cs="宋体" w:eastAsia="宋体" w:hint="default"/>
                <w:sz w:val="18"/>
                <w:szCs w:val="18"/>
              </w:rPr>
            </w:pPr>
            <w:r>
              <w:rPr>
                <w:rFonts w:ascii="宋体" w:hAnsi="宋体" w:cs="宋体" w:eastAsia="宋体" w:hint="default"/>
                <w:sz w:val="18"/>
                <w:szCs w:val="18"/>
              </w:rPr>
              <w:t>配套融资 发行完成 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794" w:type="dxa"/>
            <w:tcBorders>
              <w:top w:val="single" w:sz="6" w:space="0" w:color="000000"/>
              <w:left w:val="single" w:sz="4" w:space="0" w:color="000000"/>
              <w:bottom w:val="single" w:sz="4" w:space="0" w:color="000000"/>
              <w:right w:val="single" w:sz="4" w:space="0" w:color="000000"/>
            </w:tcBorders>
          </w:tcPr>
          <w:p>
            <w:pPr>
              <w:pStyle w:val="TableParagraph"/>
              <w:spacing w:line="316" w:lineRule="auto" w:before="63"/>
              <w:ind w:left="23" w:right="38"/>
              <w:jc w:val="left"/>
              <w:rPr>
                <w:rFonts w:ascii="宋体" w:hAnsi="宋体" w:cs="宋体" w:eastAsia="宋体" w:hint="default"/>
                <w:sz w:val="18"/>
                <w:szCs w:val="18"/>
              </w:rPr>
            </w:pPr>
            <w:r>
              <w:rPr>
                <w:rFonts w:ascii="宋体" w:hAnsi="宋体" w:cs="宋体" w:eastAsia="宋体" w:hint="default"/>
                <w:sz w:val="18"/>
                <w:szCs w:val="18"/>
              </w:rPr>
              <w:t>报告期 内，承诺 人均遵守 了所做的 承诺。</w:t>
            </w:r>
          </w:p>
        </w:tc>
      </w:tr>
      <w:tr>
        <w:trPr>
          <w:trHeight w:val="360" w:hRule="exact"/>
        </w:trPr>
        <w:tc>
          <w:tcPr>
            <w:tcW w:w="1700" w:type="dxa"/>
            <w:vMerge/>
            <w:tcBorders>
              <w:left w:val="single" w:sz="4" w:space="0" w:color="000000"/>
              <w:right w:val="single" w:sz="4" w:space="0" w:color="000000"/>
            </w:tcBorders>
            <w:shd w:val="clear" w:color="auto" w:fill="D2D2D2"/>
          </w:tcPr>
          <w:p>
            <w:pPr/>
          </w:p>
        </w:tc>
        <w:tc>
          <w:tcPr>
            <w:tcW w:w="998" w:type="dxa"/>
            <w:tcBorders>
              <w:top w:val="single" w:sz="4" w:space="0" w:color="000000"/>
              <w:left w:val="single" w:sz="4" w:space="0" w:color="000000"/>
              <w:bottom w:val="nil" w:sz="6" w:space="0" w:color="auto"/>
              <w:right w:val="single" w:sz="4" w:space="0" w:color="000000"/>
            </w:tcBorders>
          </w:tcPr>
          <w:p>
            <w:pPr/>
          </w:p>
        </w:tc>
        <w:tc>
          <w:tcPr>
            <w:tcW w:w="794" w:type="dxa"/>
            <w:tcBorders>
              <w:top w:val="single" w:sz="4" w:space="0" w:color="000000"/>
              <w:left w:val="single" w:sz="4" w:space="0" w:color="000000"/>
              <w:bottom w:val="nil" w:sz="6" w:space="0" w:color="auto"/>
              <w:right w:val="single" w:sz="4" w:space="0" w:color="000000"/>
            </w:tcBorders>
          </w:tcPr>
          <w:p>
            <w:pPr/>
          </w:p>
        </w:tc>
        <w:tc>
          <w:tcPr>
            <w:tcW w:w="94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本承诺人作为上市公司的实际控制人，为本次重组之目的，现就维持上市公司控制权稳定作出声明、确认与承诺如下：</w:t>
            </w:r>
            <w:r>
              <w:rPr>
                <w:rFonts w:ascii="Times New Roman" w:hAnsi="Times New Roman" w:cs="Times New Roman" w:eastAsia="Times New Roman" w:hint="default"/>
                <w:spacing w:val="-4"/>
                <w:sz w:val="18"/>
                <w:szCs w:val="18"/>
              </w:rPr>
              <w:t>1</w:t>
            </w:r>
          </w:p>
        </w:tc>
        <w:tc>
          <w:tcPr>
            <w:tcW w:w="794" w:type="dxa"/>
            <w:tcBorders>
              <w:top w:val="single" w:sz="4" w:space="0" w:color="000000"/>
              <w:left w:val="single" w:sz="4" w:space="0" w:color="000000"/>
              <w:bottom w:val="nil" w:sz="6" w:space="0" w:color="auto"/>
              <w:right w:val="single" w:sz="4" w:space="0" w:color="000000"/>
            </w:tcBorders>
          </w:tcPr>
          <w:p>
            <w:pPr/>
          </w:p>
        </w:tc>
        <w:tc>
          <w:tcPr>
            <w:tcW w:w="795" w:type="dxa"/>
            <w:tcBorders>
              <w:top w:val="single" w:sz="4" w:space="0" w:color="000000"/>
              <w:left w:val="single" w:sz="4" w:space="0" w:color="000000"/>
              <w:bottom w:val="nil" w:sz="6" w:space="0" w:color="auto"/>
              <w:right w:val="single" w:sz="4" w:space="0" w:color="000000"/>
            </w:tcBorders>
          </w:tcPr>
          <w:p>
            <w:pPr/>
          </w:p>
        </w:tc>
        <w:tc>
          <w:tcPr>
            <w:tcW w:w="79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本次交易完成后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3"/>
                <w:sz w:val="18"/>
                <w:szCs w:val="18"/>
              </w:rPr>
              <w:t> </w:t>
            </w:r>
            <w:r>
              <w:rPr>
                <w:rFonts w:ascii="宋体" w:hAnsi="宋体" w:cs="宋体" w:eastAsia="宋体" w:hint="default"/>
                <w:spacing w:val="-2"/>
                <w:sz w:val="18"/>
                <w:szCs w:val="18"/>
              </w:rPr>
              <w:t>个月内，本承诺人不会主动放弃上市公司控制权，也不会以任何方式直接或间接协助或促使任何第三</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4"/>
                <w:sz w:val="18"/>
                <w:szCs w:val="18"/>
              </w:rPr>
              <w:t>方谋求上市公司控制权。</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、本次交易完成后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个月内，本承诺人不会主动辞任上市公司董事、高级管理人员的职务（如</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刘强、李杰</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62"/>
              <w:ind w:left="21" w:right="41"/>
              <w:jc w:val="both"/>
              <w:rPr>
                <w:rFonts w:ascii="宋体" w:hAnsi="宋体" w:cs="宋体" w:eastAsia="宋体" w:hint="default"/>
                <w:sz w:val="18"/>
                <w:szCs w:val="18"/>
              </w:rPr>
            </w:pPr>
            <w:r>
              <w:rPr>
                <w:rFonts w:ascii="宋体" w:hAnsi="宋体" w:cs="宋体" w:eastAsia="宋体" w:hint="default"/>
                <w:sz w:val="18"/>
                <w:szCs w:val="18"/>
              </w:rPr>
              <w:t>关于维持 上市公司 控制权稳 定的承诺</w:t>
            </w: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304" w:lineRule="auto" w:before="6"/>
              <w:ind w:left="21" w:right="20"/>
              <w:jc w:val="both"/>
              <w:rPr>
                <w:rFonts w:ascii="宋体" w:hAnsi="宋体" w:cs="宋体" w:eastAsia="宋体" w:hint="default"/>
                <w:sz w:val="18"/>
                <w:szCs w:val="18"/>
              </w:rPr>
            </w:pPr>
            <w:r>
              <w:rPr>
                <w:rFonts w:ascii="宋体" w:hAnsi="宋体" w:cs="宋体" w:eastAsia="宋体" w:hint="default"/>
                <w:spacing w:val="-11"/>
                <w:sz w:val="18"/>
                <w:szCs w:val="18"/>
              </w:rPr>
              <w:t>有）。</w:t>
            </w:r>
            <w:r>
              <w:rPr>
                <w:rFonts w:ascii="Times New Roman" w:hAnsi="Times New Roman" w:cs="Times New Roman" w:eastAsia="Times New Roman" w:hint="default"/>
                <w:spacing w:val="-11"/>
                <w:sz w:val="18"/>
                <w:szCs w:val="18"/>
              </w:rPr>
              <w:t>3</w:t>
            </w:r>
            <w:r>
              <w:rPr>
                <w:rFonts w:ascii="宋体" w:hAnsi="宋体" w:cs="宋体" w:eastAsia="宋体" w:hint="default"/>
                <w:spacing w:val="-11"/>
                <w:sz w:val="18"/>
                <w:szCs w:val="18"/>
              </w:rPr>
              <w:t>、本次交易完成后</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7"/>
                <w:sz w:val="18"/>
                <w:szCs w:val="18"/>
              </w:rPr>
              <w:t> </w:t>
            </w:r>
            <w:r>
              <w:rPr>
                <w:rFonts w:ascii="宋体" w:hAnsi="宋体" w:cs="宋体" w:eastAsia="宋体" w:hint="default"/>
                <w:spacing w:val="-2"/>
                <w:sz w:val="18"/>
                <w:szCs w:val="18"/>
              </w:rPr>
              <w:t>个月内，根据资本市场情况与实际需要，本承诺人不排除通过协议转让、二级市场增持等方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式增加上市公司股份，以维护上市公司控制权稳定。</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、本次交易完成后，上市公司董事会成员由六名调整至九名，本承</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诺人向上市公司提名的董事人数合计不少于四名。</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、本承诺人将严格履行股份锁定义务，并按照《深交所创业板股票上</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4"/>
                <w:sz w:val="18"/>
                <w:szCs w:val="18"/>
              </w:rPr>
              <w:t>市规则》、《上市公司大股东、董监高减持股份的若干规定》等有关规定及监管要求，结合已作出的公开承诺，安排及规</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2"/>
                <w:sz w:val="18"/>
                <w:szCs w:val="18"/>
              </w:rPr>
              <w:t>范股份减持行为，并及时履行信息披露义务。</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、本承诺人将根据相关法律法规及公司章程，积极行使包括提名权、表决</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4" w:right="39"/>
              <w:jc w:val="left"/>
              <w:rPr>
                <w:rFonts w:ascii="宋体" w:hAnsi="宋体" w:cs="宋体" w:eastAsia="宋体" w:hint="default"/>
                <w:sz w:val="18"/>
                <w:szCs w:val="18"/>
              </w:rPr>
            </w:pPr>
            <w:r>
              <w:rPr>
                <w:rFonts w:ascii="宋体" w:hAnsi="宋体" w:cs="宋体" w:eastAsia="宋体" w:hint="default"/>
                <w:sz w:val="18"/>
                <w:szCs w:val="18"/>
              </w:rPr>
              <w:t>本次交易 完成后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3" w:right="38"/>
              <w:jc w:val="left"/>
              <w:rPr>
                <w:rFonts w:ascii="宋体" w:hAnsi="宋体" w:cs="宋体" w:eastAsia="宋体" w:hint="default"/>
                <w:sz w:val="18"/>
                <w:szCs w:val="18"/>
              </w:rPr>
            </w:pPr>
            <w:r>
              <w:rPr>
                <w:rFonts w:ascii="宋体" w:hAnsi="宋体" w:cs="宋体" w:eastAsia="宋体" w:hint="default"/>
                <w:sz w:val="18"/>
                <w:szCs w:val="18"/>
              </w:rPr>
              <w:t>报告期 内，承诺 人均遵守 了所做的 承诺。</w:t>
            </w:r>
          </w:p>
        </w:tc>
      </w:tr>
      <w:tr>
        <w:trPr>
          <w:trHeight w:val="307"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权在的股东权利和董事权利，不会主动放弃或促使本承诺人的一致行动人放弃所享有的任何股东权利和董事权利，努力</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2"/>
                <w:sz w:val="18"/>
                <w:szCs w:val="18"/>
              </w:rPr>
              <w:t>保持对上市公司股东大会、董事会及管理层团队的实质影响力。</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、本承诺函自作出之日起生效且不可撤销，生效后即构</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94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成对承诺人有约束力的法律文件。如违反本承诺，承诺人愿意承担相应的法律责任。</w:t>
            </w:r>
          </w:p>
        </w:tc>
        <w:tc>
          <w:tcPr>
            <w:tcW w:w="794" w:type="dxa"/>
            <w:tcBorders>
              <w:top w:val="nil" w:sz="6" w:space="0" w:color="auto"/>
              <w:left w:val="single" w:sz="4" w:space="0" w:color="000000"/>
              <w:bottom w:val="single" w:sz="4" w:space="0" w:color="000000"/>
              <w:right w:val="single" w:sz="4" w:space="0" w:color="000000"/>
            </w:tcBorders>
          </w:tcPr>
          <w:p>
            <w:pPr/>
          </w:p>
        </w:tc>
        <w:tc>
          <w:tcPr>
            <w:tcW w:w="795"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700" w:type="dxa"/>
            <w:vMerge/>
            <w:tcBorders>
              <w:left w:val="single" w:sz="4" w:space="0" w:color="000000"/>
              <w:right w:val="single" w:sz="4" w:space="0" w:color="000000"/>
            </w:tcBorders>
            <w:shd w:val="clear" w:color="auto" w:fill="D2D2D2"/>
          </w:tcPr>
          <w:p>
            <w:pPr/>
          </w:p>
        </w:tc>
        <w:tc>
          <w:tcPr>
            <w:tcW w:w="998" w:type="dxa"/>
            <w:tcBorders>
              <w:top w:val="single" w:sz="4" w:space="0" w:color="000000"/>
              <w:left w:val="single" w:sz="4" w:space="0" w:color="000000"/>
              <w:bottom w:val="nil" w:sz="6" w:space="0" w:color="auto"/>
              <w:right w:val="single" w:sz="4" w:space="0" w:color="000000"/>
            </w:tcBorders>
          </w:tcPr>
          <w:p>
            <w:pPr/>
          </w:p>
        </w:tc>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关于公司</w:t>
            </w:r>
          </w:p>
        </w:tc>
        <w:tc>
          <w:tcPr>
            <w:tcW w:w="9429" w:type="dxa"/>
            <w:tcBorders>
              <w:top w:val="single" w:sz="4" w:space="0" w:color="000000"/>
              <w:left w:val="single" w:sz="4" w:space="0" w:color="000000"/>
              <w:bottom w:val="nil" w:sz="6" w:space="0" w:color="auto"/>
              <w:right w:val="single" w:sz="4" w:space="0" w:color="000000"/>
            </w:tcBorders>
          </w:tcPr>
          <w:p>
            <w:pPr/>
          </w:p>
        </w:tc>
        <w:tc>
          <w:tcPr>
            <w:tcW w:w="794" w:type="dxa"/>
            <w:tcBorders>
              <w:top w:val="single" w:sz="4" w:space="0" w:color="000000"/>
              <w:left w:val="single" w:sz="4" w:space="0" w:color="000000"/>
              <w:bottom w:val="nil" w:sz="6" w:space="0" w:color="auto"/>
              <w:right w:val="single" w:sz="4" w:space="0" w:color="000000"/>
            </w:tcBorders>
          </w:tcPr>
          <w:p>
            <w:pPr/>
          </w:p>
        </w:tc>
        <w:tc>
          <w:tcPr>
            <w:tcW w:w="795" w:type="dxa"/>
            <w:tcBorders>
              <w:top w:val="single" w:sz="4" w:space="0" w:color="000000"/>
              <w:left w:val="single" w:sz="4" w:space="0" w:color="000000"/>
              <w:bottom w:val="nil" w:sz="6" w:space="0" w:color="auto"/>
              <w:right w:val="single" w:sz="4" w:space="0" w:color="000000"/>
            </w:tcBorders>
          </w:tcPr>
          <w:p>
            <w:pPr/>
          </w:p>
        </w:tc>
        <w:tc>
          <w:tcPr>
            <w:tcW w:w="79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1" w:right="0"/>
              <w:jc w:val="left"/>
              <w:rPr>
                <w:rFonts w:ascii="宋体" w:hAnsi="宋体" w:cs="宋体" w:eastAsia="宋体" w:hint="default"/>
                <w:sz w:val="18"/>
                <w:szCs w:val="18"/>
              </w:rPr>
            </w:pPr>
            <w:r>
              <w:rPr>
                <w:rFonts w:ascii="宋体" w:hAnsi="宋体" w:cs="宋体" w:eastAsia="宋体" w:hint="default"/>
                <w:sz w:val="18"/>
                <w:szCs w:val="18"/>
              </w:rPr>
              <w:t>重大资产</w:t>
            </w:r>
          </w:p>
        </w:tc>
        <w:tc>
          <w:tcPr>
            <w:tcW w:w="9429"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报告期</w:t>
            </w:r>
          </w:p>
        </w:tc>
      </w:tr>
      <w:tr>
        <w:trPr>
          <w:trHeight w:val="935"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刘强、李杰</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1" w:right="41"/>
              <w:jc w:val="both"/>
              <w:rPr>
                <w:rFonts w:ascii="宋体" w:hAnsi="宋体" w:cs="宋体" w:eastAsia="宋体" w:hint="default"/>
                <w:sz w:val="18"/>
                <w:szCs w:val="18"/>
              </w:rPr>
            </w:pPr>
            <w:r>
              <w:rPr>
                <w:rFonts w:ascii="宋体" w:hAnsi="宋体" w:cs="宋体" w:eastAsia="宋体" w:hint="default"/>
                <w:sz w:val="18"/>
                <w:szCs w:val="18"/>
              </w:rPr>
              <w:t>重组摊薄 即期回报 采取填补</w:t>
            </w: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1" w:right="0"/>
              <w:jc w:val="left"/>
              <w:rPr>
                <w:rFonts w:ascii="宋体" w:hAnsi="宋体" w:cs="宋体" w:eastAsia="宋体" w:hint="default"/>
                <w:sz w:val="18"/>
                <w:szCs w:val="18"/>
              </w:rPr>
            </w:pPr>
            <w:r>
              <w:rPr>
                <w:rFonts w:ascii="宋体" w:hAnsi="宋体" w:cs="宋体" w:eastAsia="宋体" w:hint="default"/>
                <w:sz w:val="18"/>
                <w:szCs w:val="18"/>
              </w:rPr>
              <w:t>在持续作为公司控股股东和实际控制人期间，不越权干预公司经营管理活动，不侵占公司利益</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4" w:lineRule="auto"/>
              <w:ind w:left="24" w:right="39"/>
              <w:jc w:val="left"/>
              <w:rPr>
                <w:rFonts w:ascii="宋体" w:hAnsi="宋体" w:cs="宋体" w:eastAsia="宋体" w:hint="default"/>
                <w:sz w:val="18"/>
                <w:szCs w:val="18"/>
              </w:rPr>
            </w:pPr>
            <w:r>
              <w:rPr>
                <w:rFonts w:ascii="宋体" w:hAnsi="宋体" w:cs="宋体" w:eastAsia="宋体" w:hint="default"/>
                <w:sz w:val="18"/>
                <w:szCs w:val="18"/>
              </w:rPr>
              <w:t>无承诺期 限</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3" w:right="38"/>
              <w:jc w:val="both"/>
              <w:rPr>
                <w:rFonts w:ascii="宋体" w:hAnsi="宋体" w:cs="宋体" w:eastAsia="宋体" w:hint="default"/>
                <w:sz w:val="18"/>
                <w:szCs w:val="18"/>
              </w:rPr>
            </w:pPr>
            <w:r>
              <w:rPr>
                <w:rFonts w:ascii="宋体" w:hAnsi="宋体" w:cs="宋体" w:eastAsia="宋体" w:hint="default"/>
                <w:sz w:val="18"/>
                <w:szCs w:val="18"/>
              </w:rPr>
              <w:t>内，承诺 人均遵守 了所做的</w:t>
            </w: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措施的承</w:t>
            </w:r>
          </w:p>
        </w:tc>
        <w:tc>
          <w:tcPr>
            <w:tcW w:w="9429"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w:t>
            </w:r>
          </w:p>
        </w:tc>
      </w:tr>
      <w:tr>
        <w:trPr>
          <w:trHeight w:val="360" w:hRule="exact"/>
        </w:trPr>
        <w:tc>
          <w:tcPr>
            <w:tcW w:w="1700" w:type="dxa"/>
            <w:vMerge/>
            <w:tcBorders>
              <w:left w:val="single" w:sz="4" w:space="0" w:color="000000"/>
              <w:bottom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诺函</w:t>
            </w:r>
          </w:p>
        </w:tc>
        <w:tc>
          <w:tcPr>
            <w:tcW w:w="9429"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795"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660" w:right="640"/>
        </w:sectPr>
      </w:pPr>
    </w:p>
    <w:p>
      <w:pPr>
        <w:spacing w:line="240" w:lineRule="auto" w:before="2"/>
        <w:rPr>
          <w:rFonts w:ascii="Times New Roman" w:hAnsi="Times New Roman" w:cs="Times New Roman" w:eastAsia="Times New Roman" w:hint="default"/>
          <w:sz w:val="3"/>
          <w:szCs w:val="3"/>
        </w:rPr>
      </w:pPr>
      <w:r>
        <w:rPr/>
        <w:pict>
          <v:shape style="position:absolute;margin-left:615.488037pt;margin-top:248.930008pt;width:108.5pt;height:39pt;mso-position-horizontal-relative:page;mso-position-vertical-relative:page;z-index:-1612456" type="#_x0000_t202" filled="false" stroked="false">
            <v:textbox inset="0,0,0,0">
              <w:txbxContent>
                <w:p>
                  <w:pPr>
                    <w:pStyle w:val="BodyText"/>
                    <w:spacing w:line="240" w:lineRule="auto" w:before="49"/>
                    <w:ind w:left="0" w:right="0"/>
                    <w:jc w:val="left"/>
                  </w:pPr>
                  <w:r>
                    <w:rPr/>
                    <w:t>确认及承诺如下：</w:t>
                  </w:r>
                </w:p>
              </w:txbxContent>
            </v:textbox>
            <w10:wrap type="none"/>
          </v:shape>
        </w:pict>
      </w:r>
      <w:r>
        <w:rPr/>
        <w:pict>
          <v:group style="position:absolute;margin-left:684.700012pt;margin-top:57.236008pt;width:39.25pt;height:70.25pt;mso-position-horizontal-relative:page;mso-position-vertical-relative:page;z-index:-1612432" coordorigin="13694,1145" coordsize="785,1405">
            <v:shape style="position:absolute;left:13694;top:1145;width:785;height:1405" coordorigin="13694,1145" coordsize="785,1405" path="m13694,2549l14479,2549,14479,1145,13694,1145,13694,2549xe" filled="true" fillcolor="#ffffff" stroked="false">
              <v:path arrowok="t"/>
              <v:fill type="solid"/>
            </v:shape>
            <w10:wrap type="none"/>
          </v:group>
        </w:pict>
      </w:r>
      <w:r>
        <w:rPr/>
        <w:pict>
          <v:group style="position:absolute;margin-left:684.700012pt;margin-top:248.930008pt;width:39.25pt;height:39pt;mso-position-horizontal-relative:page;mso-position-vertical-relative:page;z-index:-1612408" coordorigin="13694,4979" coordsize="785,780">
            <v:shape style="position:absolute;left:13694;top:4979;width:785;height:780" coordorigin="13694,4979" coordsize="785,780" path="m13694,5759l14479,5759,14479,4979,13694,4979,13694,5759xe" filled="true" fillcolor="#ffffff" stroked="false">
              <v:path arrowok="t"/>
              <v:fill type="solid"/>
            </v:shape>
            <w10:wrap type="none"/>
          </v:group>
        </w:pict>
      </w:r>
    </w:p>
    <w:tbl>
      <w:tblPr>
        <w:tblW w:w="0" w:type="auto"/>
        <w:jc w:val="left"/>
        <w:tblInd w:w="103" w:type="dxa"/>
        <w:tblLayout w:type="fixed"/>
        <w:tblCellMar>
          <w:top w:w="0" w:type="dxa"/>
          <w:left w:w="0" w:type="dxa"/>
          <w:bottom w:w="0" w:type="dxa"/>
          <w:right w:w="0" w:type="dxa"/>
        </w:tblCellMar>
        <w:tblLook w:val="01E0"/>
      </w:tblPr>
      <w:tblGrid>
        <w:gridCol w:w="1700"/>
        <w:gridCol w:w="998"/>
        <w:gridCol w:w="794"/>
        <w:gridCol w:w="9429"/>
        <w:gridCol w:w="794"/>
        <w:gridCol w:w="795"/>
        <w:gridCol w:w="794"/>
      </w:tblGrid>
      <w:tr>
        <w:trPr>
          <w:trHeight w:val="371" w:hRule="exact"/>
        </w:trPr>
        <w:tc>
          <w:tcPr>
            <w:tcW w:w="1700" w:type="dxa"/>
            <w:vMerge w:val="restart"/>
            <w:tcBorders>
              <w:top w:val="single" w:sz="15" w:space="0" w:color="000000"/>
              <w:left w:val="single" w:sz="4" w:space="0" w:color="000000"/>
              <w:right w:val="single" w:sz="4" w:space="0" w:color="000000"/>
            </w:tcBorders>
            <w:shd w:val="clear" w:color="auto" w:fill="D2D2D2"/>
          </w:tcPr>
          <w:p>
            <w:pPr/>
          </w:p>
        </w:tc>
        <w:tc>
          <w:tcPr>
            <w:tcW w:w="998" w:type="dxa"/>
            <w:tcBorders>
              <w:top w:val="single" w:sz="15" w:space="0" w:color="000000"/>
              <w:left w:val="single" w:sz="4" w:space="0" w:color="000000"/>
              <w:bottom w:val="nil" w:sz="6" w:space="0" w:color="auto"/>
              <w:right w:val="single" w:sz="4" w:space="0" w:color="000000"/>
            </w:tcBorders>
          </w:tcPr>
          <w:p>
            <w:pPr/>
          </w:p>
        </w:tc>
        <w:tc>
          <w:tcPr>
            <w:tcW w:w="794" w:type="dxa"/>
            <w:tcBorders>
              <w:top w:val="single" w:sz="15" w:space="0" w:color="000000"/>
              <w:left w:val="single" w:sz="4" w:space="0" w:color="000000"/>
              <w:bottom w:val="nil" w:sz="6" w:space="0" w:color="auto"/>
              <w:right w:val="single" w:sz="4" w:space="0" w:color="000000"/>
            </w:tcBorders>
          </w:tcPr>
          <w:p>
            <w:pPr/>
          </w:p>
        </w:tc>
        <w:tc>
          <w:tcPr>
            <w:tcW w:w="942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本次重组完成后，本承诺人仍为北京君正的实际控制人。就减少及规范与与上市公司关联交易事宜，本承诺人现作出声</w:t>
            </w:r>
          </w:p>
        </w:tc>
        <w:tc>
          <w:tcPr>
            <w:tcW w:w="794" w:type="dxa"/>
            <w:tcBorders>
              <w:top w:val="single" w:sz="15" w:space="0" w:color="000000"/>
              <w:left w:val="single" w:sz="4" w:space="0" w:color="000000"/>
              <w:bottom w:val="nil" w:sz="6" w:space="0" w:color="auto"/>
              <w:right w:val="single" w:sz="4" w:space="0" w:color="000000"/>
            </w:tcBorders>
          </w:tcPr>
          <w:p>
            <w:pPr/>
          </w:p>
        </w:tc>
        <w:tc>
          <w:tcPr>
            <w:tcW w:w="795" w:type="dxa"/>
            <w:tcBorders>
              <w:top w:val="single" w:sz="15" w:space="0" w:color="000000"/>
              <w:left w:val="single" w:sz="4" w:space="0" w:color="000000"/>
              <w:bottom w:val="nil" w:sz="6" w:space="0" w:color="auto"/>
              <w:right w:val="single" w:sz="4" w:space="0" w:color="000000"/>
            </w:tcBorders>
          </w:tcPr>
          <w:p>
            <w:pPr/>
          </w:p>
        </w:tc>
        <w:tc>
          <w:tcPr>
            <w:tcW w:w="794" w:type="dxa"/>
            <w:tcBorders>
              <w:top w:val="single" w:sz="6" w:space="0" w:color="000000"/>
              <w:left w:val="single" w:sz="4" w:space="0" w:color="000000"/>
              <w:bottom w:val="nil" w:sz="6" w:space="0" w:color="auto"/>
              <w:right w:val="single" w:sz="4" w:space="0" w:color="000000"/>
            </w:tcBorders>
          </w:tcPr>
          <w:p>
            <w:pPr/>
          </w:p>
        </w:tc>
      </w:tr>
      <w:tr>
        <w:trPr>
          <w:trHeight w:val="316"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1" w:right="0"/>
              <w:jc w:val="left"/>
              <w:rPr>
                <w:rFonts w:ascii="宋体" w:hAnsi="宋体" w:cs="宋体" w:eastAsia="宋体" w:hint="default"/>
                <w:sz w:val="18"/>
                <w:szCs w:val="18"/>
              </w:rPr>
            </w:pPr>
            <w:r>
              <w:rPr>
                <w:rFonts w:ascii="宋体" w:hAnsi="宋体" w:cs="宋体" w:eastAsia="宋体" w:hint="default"/>
                <w:sz w:val="18"/>
                <w:szCs w:val="18"/>
              </w:rPr>
              <w:t>明、确认及承诺如下：</w:t>
            </w:r>
            <w:r>
              <w:rPr>
                <w:rFonts w:ascii="Times New Roman" w:hAnsi="Times New Roman" w:cs="Times New Roman" w:eastAsia="Times New Roman" w:hint="default"/>
                <w:sz w:val="18"/>
                <w:szCs w:val="18"/>
              </w:rPr>
              <w:t>1</w:t>
            </w:r>
            <w:r>
              <w:rPr>
                <w:rFonts w:ascii="宋体" w:hAnsi="宋体" w:cs="宋体" w:eastAsia="宋体" w:hint="default"/>
                <w:sz w:val="18"/>
                <w:szCs w:val="18"/>
              </w:rPr>
              <w:t>、在持有上市公司股份期间，本承诺人及本承诺人控制的其他企业将严格遵循相关法律、法规</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规章及规范性文件</w:t>
            </w:r>
            <w:r>
              <w:rPr>
                <w:rFonts w:ascii="宋体" w:hAnsi="宋体" w:cs="宋体" w:eastAsia="宋体" w:hint="default"/>
                <w:spacing w:val="-92"/>
                <w:sz w:val="18"/>
                <w:szCs w:val="18"/>
              </w:rPr>
              <w:t>、</w:t>
            </w:r>
            <w:r>
              <w:rPr>
                <w:rFonts w:ascii="宋体" w:hAnsi="宋体" w:cs="宋体" w:eastAsia="宋体" w:hint="default"/>
                <w:sz w:val="18"/>
                <w:szCs w:val="18"/>
              </w:rPr>
              <w:t>《公司章</w:t>
            </w:r>
            <w:r>
              <w:rPr>
                <w:rFonts w:ascii="宋体" w:hAnsi="宋体" w:cs="宋体" w:eastAsia="宋体" w:hint="default"/>
                <w:spacing w:val="2"/>
                <w:sz w:val="18"/>
                <w:szCs w:val="18"/>
              </w:rPr>
              <w:t>程</w:t>
            </w:r>
            <w:r>
              <w:rPr>
                <w:rFonts w:ascii="宋体" w:hAnsi="宋体" w:cs="宋体" w:eastAsia="宋体" w:hint="default"/>
                <w:spacing w:val="-92"/>
                <w:sz w:val="18"/>
                <w:szCs w:val="18"/>
              </w:rPr>
              <w:t>》</w:t>
            </w:r>
            <w:r>
              <w:rPr>
                <w:rFonts w:ascii="宋体" w:hAnsi="宋体" w:cs="宋体" w:eastAsia="宋体" w:hint="default"/>
                <w:sz w:val="18"/>
                <w:szCs w:val="18"/>
              </w:rPr>
              <w:t>、及上市公司其他内部规章</w:t>
            </w:r>
            <w:r>
              <w:rPr>
                <w:rFonts w:ascii="宋体" w:hAnsi="宋体" w:cs="宋体" w:eastAsia="宋体" w:hint="default"/>
                <w:spacing w:val="2"/>
                <w:sz w:val="18"/>
                <w:szCs w:val="18"/>
              </w:rPr>
              <w:t>制</w:t>
            </w:r>
            <w:r>
              <w:rPr>
                <w:rFonts w:ascii="宋体" w:hAnsi="宋体" w:cs="宋体" w:eastAsia="宋体" w:hint="default"/>
                <w:sz w:val="18"/>
                <w:szCs w:val="18"/>
              </w:rPr>
              <w:t>度等有关规定行使股东权利；在上市公司股东大会对涉及</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1873"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刘强、李杰</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1" w:right="41"/>
              <w:jc w:val="both"/>
              <w:rPr>
                <w:rFonts w:ascii="宋体" w:hAnsi="宋体" w:cs="宋体" w:eastAsia="宋体" w:hint="default"/>
                <w:sz w:val="18"/>
                <w:szCs w:val="18"/>
              </w:rPr>
            </w:pPr>
            <w:r>
              <w:rPr>
                <w:rFonts w:ascii="宋体" w:hAnsi="宋体" w:cs="宋体" w:eastAsia="宋体" w:hint="default"/>
                <w:sz w:val="18"/>
                <w:szCs w:val="18"/>
              </w:rPr>
              <w:t>关于减少 及规范关 联交易的 承诺函</w:t>
            </w: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21" w:right="19"/>
              <w:jc w:val="both"/>
              <w:rPr>
                <w:rFonts w:ascii="宋体" w:hAnsi="宋体" w:cs="宋体" w:eastAsia="宋体" w:hint="default"/>
                <w:sz w:val="18"/>
                <w:szCs w:val="18"/>
              </w:rPr>
            </w:pPr>
            <w:r>
              <w:rPr>
                <w:rFonts w:ascii="宋体" w:hAnsi="宋体" w:cs="宋体" w:eastAsia="宋体" w:hint="default"/>
                <w:spacing w:val="-2"/>
                <w:sz w:val="18"/>
                <w:szCs w:val="18"/>
              </w:rPr>
              <w:t>本承诺人及本承诺人控制的其他企业的关联交易进行表决时，履行关联交易决策、回避表决等公允决策程序。</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、在持有</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上市公司股份期间，本承诺人及本承诺人控制的其他企业将尽可能避免或减少与北京君正及其控制企业之间发生关联交 易；对无法避免或者有合理原因发生的关联交易，将遵循市场公正、公平、公开的原则，按照公允、合理的市场价格进 </w:t>
            </w:r>
            <w:r>
              <w:rPr>
                <w:rFonts w:ascii="宋体" w:hAnsi="宋体" w:cs="宋体" w:eastAsia="宋体" w:hint="default"/>
                <w:spacing w:val="-4"/>
                <w:sz w:val="18"/>
                <w:szCs w:val="18"/>
              </w:rPr>
              <w:t>行交易，并按相关法律、法规、规章及规范性文件、《公司章程》的规定等履行关联交易决策程序及信息披露义务；保证</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2"/>
                <w:sz w:val="18"/>
                <w:szCs w:val="18"/>
              </w:rPr>
              <w:t>不通过与北京君正及其控制企业的关联交易损害北京君正及其他股东的合法权益。</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、在持有上市公司股份期间，不利用</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控股股东地位影响或谋求北京君正及其控制企业在业务合作等方面给予优于市场第三方的权利；不利用股东地位及影响</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16" w:lineRule="auto"/>
              <w:ind w:left="24" w:right="39"/>
              <w:jc w:val="both"/>
              <w:rPr>
                <w:rFonts w:ascii="宋体" w:hAnsi="宋体" w:cs="宋体" w:eastAsia="宋体" w:hint="default"/>
                <w:sz w:val="18"/>
                <w:szCs w:val="18"/>
              </w:rPr>
            </w:pPr>
            <w:r>
              <w:rPr>
                <w:rFonts w:ascii="宋体" w:hAnsi="宋体" w:cs="宋体" w:eastAsia="宋体" w:hint="default"/>
                <w:sz w:val="18"/>
                <w:szCs w:val="18"/>
              </w:rPr>
              <w:t>此承诺期 限为长期 有效</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3" w:right="38"/>
              <w:jc w:val="left"/>
              <w:rPr>
                <w:rFonts w:ascii="宋体" w:hAnsi="宋体" w:cs="宋体" w:eastAsia="宋体" w:hint="default"/>
                <w:sz w:val="18"/>
                <w:szCs w:val="18"/>
              </w:rPr>
            </w:pPr>
            <w:r>
              <w:rPr>
                <w:rFonts w:ascii="宋体" w:hAnsi="宋体" w:cs="宋体" w:eastAsia="宋体" w:hint="default"/>
                <w:sz w:val="18"/>
                <w:szCs w:val="18"/>
              </w:rPr>
              <w:t>报告期 内，承诺 人均遵守 了所做的 承诺。</w:t>
            </w:r>
          </w:p>
        </w:tc>
      </w:tr>
      <w:tr>
        <w:trPr>
          <w:trHeight w:val="317"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2"/>
                <w:sz w:val="18"/>
                <w:szCs w:val="18"/>
              </w:rPr>
              <w:t>谋求与北京君正及其控制企业达成交易的优先权利。</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、在持有上市公司股份期间，本承诺人将杜绝一切非法占用上市公</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司的资金、资产的行为。除非本承诺人不再作为北京君正的控股股东及实际控制人，本承诺始终有效。若本承诺人因违</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94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反上述承诺而给北京君正或其控制企业造成实际损失的，由本承诺人承担赔偿责任。</w:t>
            </w:r>
          </w:p>
        </w:tc>
        <w:tc>
          <w:tcPr>
            <w:tcW w:w="794" w:type="dxa"/>
            <w:tcBorders>
              <w:top w:val="nil" w:sz="6" w:space="0" w:color="auto"/>
              <w:left w:val="single" w:sz="4" w:space="0" w:color="000000"/>
              <w:bottom w:val="single" w:sz="4" w:space="0" w:color="000000"/>
              <w:right w:val="single" w:sz="4" w:space="0" w:color="000000"/>
            </w:tcBorders>
          </w:tcPr>
          <w:p>
            <w:pPr/>
          </w:p>
        </w:tc>
        <w:tc>
          <w:tcPr>
            <w:tcW w:w="795"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700" w:type="dxa"/>
            <w:vMerge/>
            <w:tcBorders>
              <w:left w:val="single" w:sz="4" w:space="0" w:color="000000"/>
              <w:right w:val="single" w:sz="4" w:space="0" w:color="000000"/>
            </w:tcBorders>
            <w:shd w:val="clear" w:color="auto" w:fill="D2D2D2"/>
          </w:tcPr>
          <w:p>
            <w:pPr/>
          </w:p>
        </w:tc>
        <w:tc>
          <w:tcPr>
            <w:tcW w:w="998" w:type="dxa"/>
            <w:tcBorders>
              <w:top w:val="single" w:sz="4" w:space="0" w:color="000000"/>
              <w:left w:val="single" w:sz="4" w:space="0" w:color="000000"/>
              <w:bottom w:val="nil" w:sz="6" w:space="0" w:color="auto"/>
              <w:right w:val="single" w:sz="4" w:space="0" w:color="000000"/>
            </w:tcBorders>
          </w:tcPr>
          <w:p>
            <w:pPr/>
          </w:p>
        </w:tc>
        <w:tc>
          <w:tcPr>
            <w:tcW w:w="794" w:type="dxa"/>
            <w:tcBorders>
              <w:top w:val="single" w:sz="4" w:space="0" w:color="000000"/>
              <w:left w:val="single" w:sz="4" w:space="0" w:color="000000"/>
              <w:bottom w:val="nil" w:sz="6" w:space="0" w:color="auto"/>
              <w:right w:val="single" w:sz="4" w:space="0" w:color="000000"/>
            </w:tcBorders>
          </w:tcPr>
          <w:p>
            <w:pPr/>
          </w:p>
        </w:tc>
        <w:tc>
          <w:tcPr>
            <w:tcW w:w="94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本次重组完成后，本承诺人仍为北京君正的实际控制人。就避免同业竞争事项，本承诺人现作出声明、</w:t>
            </w:r>
          </w:p>
        </w:tc>
        <w:tc>
          <w:tcPr>
            <w:tcW w:w="794" w:type="dxa"/>
            <w:tcBorders>
              <w:top w:val="single" w:sz="4" w:space="0" w:color="000000"/>
              <w:left w:val="single" w:sz="4" w:space="0" w:color="000000"/>
              <w:bottom w:val="nil" w:sz="6" w:space="0" w:color="auto"/>
              <w:right w:val="single" w:sz="4" w:space="0" w:color="000000"/>
            </w:tcBorders>
          </w:tcPr>
          <w:p>
            <w:pPr/>
          </w:p>
        </w:tc>
        <w:tc>
          <w:tcPr>
            <w:tcW w:w="795" w:type="dxa"/>
            <w:tcBorders>
              <w:top w:val="single" w:sz="4" w:space="0" w:color="000000"/>
              <w:left w:val="single" w:sz="4" w:space="0" w:color="000000"/>
              <w:bottom w:val="nil" w:sz="6" w:space="0" w:color="auto"/>
              <w:right w:val="single" w:sz="4" w:space="0" w:color="000000"/>
            </w:tcBorders>
          </w:tcPr>
          <w:p>
            <w:pPr/>
          </w:p>
        </w:tc>
        <w:tc>
          <w:tcPr>
            <w:tcW w:w="794" w:type="dxa"/>
            <w:tcBorders>
              <w:top w:val="single" w:sz="4" w:space="0" w:color="000000"/>
              <w:left w:val="single" w:sz="4" w:space="0" w:color="000000"/>
              <w:bottom w:val="nil" w:sz="6" w:space="0" w:color="auto"/>
              <w:right w:val="single" w:sz="4" w:space="0" w:color="000000"/>
            </w:tcBorders>
          </w:tcPr>
          <w:p>
            <w:pPr/>
          </w:p>
        </w:tc>
      </w:tr>
      <w:tr>
        <w:trPr>
          <w:trHeight w:val="1877"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刘强、李杰</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9" w:lineRule="auto"/>
              <w:ind w:left="21" w:right="41"/>
              <w:jc w:val="both"/>
              <w:rPr>
                <w:rFonts w:ascii="宋体" w:hAnsi="宋体" w:cs="宋体" w:eastAsia="宋体" w:hint="default"/>
                <w:sz w:val="18"/>
                <w:szCs w:val="18"/>
              </w:rPr>
            </w:pPr>
            <w:r>
              <w:rPr>
                <w:rFonts w:ascii="宋体" w:hAnsi="宋体" w:cs="宋体" w:eastAsia="宋体" w:hint="default"/>
                <w:sz w:val="18"/>
                <w:szCs w:val="18"/>
              </w:rPr>
              <w:t>关于避免 同业竞争 的承诺</w:t>
            </w: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304" w:lineRule="auto" w:before="10"/>
              <w:ind w:left="21" w:right="2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、本承诺人（包括其控制的全资、控股企业或其他关联企业，下同）未经营与上市公司及北京矽成现从事的主营业务相</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同或类似的业务，与上市公司及北京矽成不构成同业竞争。而且在上市公司依法存续期间，承诺不经营前述业务，以避 </w:t>
            </w:r>
            <w:r>
              <w:rPr>
                <w:rFonts w:ascii="宋体" w:hAnsi="宋体" w:cs="宋体" w:eastAsia="宋体" w:hint="default"/>
                <w:spacing w:val="-2"/>
                <w:sz w:val="18"/>
                <w:szCs w:val="18"/>
              </w:rPr>
              <w:t>免与上市公司构成同业竞争。</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、若因本承诺人或上市公司的业务发展，而导致其经营的业务与上市公司的业务发生重合</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1"/>
                <w:sz w:val="18"/>
                <w:szCs w:val="18"/>
              </w:rPr>
              <w:t>而可能构成竞争，其同意由上市公司在同等条件下优先收购该等业务所涉资产或股权，和</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或通过合法途径促使其所控制</w:t>
            </w:r>
            <w:r>
              <w:rPr>
                <w:rFonts w:ascii="宋体" w:hAnsi="宋体" w:cs="宋体" w:eastAsia="宋体" w:hint="default"/>
                <w:spacing w:val="-76"/>
                <w:sz w:val="18"/>
                <w:szCs w:val="18"/>
              </w:rPr>
              <w:t> </w:t>
            </w:r>
            <w:r>
              <w:rPr>
                <w:rFonts w:ascii="宋体" w:hAnsi="宋体" w:cs="宋体" w:eastAsia="宋体" w:hint="default"/>
                <w:spacing w:val="-1"/>
                <w:sz w:val="18"/>
                <w:szCs w:val="18"/>
              </w:rPr>
              <w:t>的全资、控股企业或其他关联企业向上市公司转让该等资产或控股权，和</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或通过其他公平、合理的途径对其经营的业务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进行调整以避免与上市公司的业务构成同业竞争。</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、如因其未履行本承诺而给上市公司造成损失的，其对因此给上市公</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9" w:lineRule="auto"/>
              <w:ind w:left="24" w:right="39"/>
              <w:jc w:val="both"/>
              <w:rPr>
                <w:rFonts w:ascii="宋体" w:hAnsi="宋体" w:cs="宋体" w:eastAsia="宋体" w:hint="default"/>
                <w:sz w:val="18"/>
                <w:szCs w:val="18"/>
              </w:rPr>
            </w:pPr>
            <w:r>
              <w:rPr>
                <w:rFonts w:ascii="宋体" w:hAnsi="宋体" w:cs="宋体" w:eastAsia="宋体" w:hint="default"/>
                <w:sz w:val="18"/>
                <w:szCs w:val="18"/>
              </w:rPr>
              <w:t>此承诺期 限为长期 有效</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3" w:right="38"/>
              <w:jc w:val="left"/>
              <w:rPr>
                <w:rFonts w:ascii="宋体" w:hAnsi="宋体" w:cs="宋体" w:eastAsia="宋体" w:hint="default"/>
                <w:sz w:val="18"/>
                <w:szCs w:val="18"/>
              </w:rPr>
            </w:pPr>
            <w:r>
              <w:rPr>
                <w:rFonts w:ascii="宋体" w:hAnsi="宋体" w:cs="宋体" w:eastAsia="宋体" w:hint="default"/>
                <w:sz w:val="18"/>
                <w:szCs w:val="18"/>
              </w:rPr>
              <w:t>报告期 内，承诺 人均遵守 了所做的 承诺。</w:t>
            </w:r>
          </w:p>
        </w:tc>
      </w:tr>
      <w:tr>
        <w:trPr>
          <w:trHeight w:val="355" w:hRule="exact"/>
        </w:trPr>
        <w:tc>
          <w:tcPr>
            <w:tcW w:w="1700" w:type="dxa"/>
            <w:vMerge/>
            <w:tcBorders>
              <w:left w:val="single" w:sz="4" w:space="0" w:color="000000"/>
              <w:bottom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94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司造成的损失予以赔偿。</w:t>
            </w:r>
          </w:p>
        </w:tc>
        <w:tc>
          <w:tcPr>
            <w:tcW w:w="794" w:type="dxa"/>
            <w:tcBorders>
              <w:top w:val="nil" w:sz="6" w:space="0" w:color="auto"/>
              <w:left w:val="single" w:sz="4" w:space="0" w:color="000000"/>
              <w:bottom w:val="single" w:sz="4" w:space="0" w:color="000000"/>
              <w:right w:val="single" w:sz="4" w:space="0" w:color="000000"/>
            </w:tcBorders>
          </w:tcPr>
          <w:p>
            <w:pPr/>
          </w:p>
        </w:tc>
        <w:tc>
          <w:tcPr>
            <w:tcW w:w="795"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660" w:right="640"/>
        </w:sectPr>
      </w:pPr>
    </w:p>
    <w:p>
      <w:pPr>
        <w:spacing w:line="240" w:lineRule="auto" w:before="2"/>
        <w:rPr>
          <w:rFonts w:ascii="Times New Roman" w:hAnsi="Times New Roman" w:cs="Times New Roman" w:eastAsia="Times New Roman" w:hint="default"/>
          <w:sz w:val="3"/>
          <w:szCs w:val="3"/>
        </w:rPr>
      </w:pPr>
      <w:r>
        <w:rPr/>
        <w:pict>
          <v:shape style="position:absolute;margin-left:588.460022pt;margin-top:57.240005pt;width:135.5pt;height:179.45pt;mso-position-horizontal-relative:page;mso-position-vertical-relative:page;z-index:-16123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2"/>
                    <w:ind w:left="0" w:right="0"/>
                    <w:jc w:val="left"/>
                  </w:pPr>
                  <w:r>
                    <w:rPr/>
                    <w:t>保证北京君正的总经理、</w:t>
                  </w:r>
                </w:p>
              </w:txbxContent>
            </v:textbox>
            <w10:wrap type="none"/>
          </v:shape>
        </w:pict>
      </w:r>
      <w:r>
        <w:rPr/>
        <w:pict>
          <v:group style="position:absolute;margin-left:684.700012pt;margin-top:57.240005pt;width:39.25pt;height:179.45pt;mso-position-horizontal-relative:page;mso-position-vertical-relative:page;z-index:-1612360" coordorigin="13694,1145" coordsize="785,3589">
            <v:shape style="position:absolute;left:13694;top:1145;width:785;height:3589" coordorigin="13694,1145" coordsize="785,3589" path="m13694,4734l14479,4734,14479,1145,13694,1145,13694,4734xe" filled="true" fillcolor="#ffffff" stroked="false">
              <v:path arrowok="t"/>
              <v:fill type="solid"/>
            </v:shape>
            <w10:wrap type="none"/>
          </v:group>
        </w:pict>
      </w:r>
      <w:r>
        <w:rPr/>
        <w:pict>
          <v:group style="position:absolute;margin-left:684.700012pt;margin-top:287.450012pt;width:39.25pt;height:179.45pt;mso-position-horizontal-relative:page;mso-position-vertical-relative:page;z-index:-1612336" coordorigin="13694,5749" coordsize="785,3589">
            <v:shape style="position:absolute;left:13694;top:5749;width:785;height:3589" coordorigin="13694,5749" coordsize="785,3589" path="m13694,9338l14479,9338,14479,5749,13694,5749,13694,9338xe" filled="true" fillcolor="#ffffff" stroked="false">
              <v:path arrowok="t"/>
              <v:fill type="solid"/>
            </v:shape>
            <w10:wrap type="none"/>
          </v:group>
        </w:pict>
      </w:r>
    </w:p>
    <w:tbl>
      <w:tblPr>
        <w:tblW w:w="0" w:type="auto"/>
        <w:jc w:val="left"/>
        <w:tblInd w:w="103" w:type="dxa"/>
        <w:tblLayout w:type="fixed"/>
        <w:tblCellMar>
          <w:top w:w="0" w:type="dxa"/>
          <w:left w:w="0" w:type="dxa"/>
          <w:bottom w:w="0" w:type="dxa"/>
          <w:right w:w="0" w:type="dxa"/>
        </w:tblCellMar>
        <w:tblLook w:val="01E0"/>
      </w:tblPr>
      <w:tblGrid>
        <w:gridCol w:w="1700"/>
        <w:gridCol w:w="998"/>
        <w:gridCol w:w="794"/>
        <w:gridCol w:w="9429"/>
        <w:gridCol w:w="794"/>
        <w:gridCol w:w="795"/>
        <w:gridCol w:w="794"/>
      </w:tblGrid>
      <w:tr>
        <w:trPr>
          <w:trHeight w:val="371" w:hRule="exact"/>
        </w:trPr>
        <w:tc>
          <w:tcPr>
            <w:tcW w:w="1700" w:type="dxa"/>
            <w:vMerge w:val="restart"/>
            <w:tcBorders>
              <w:top w:val="single" w:sz="15" w:space="0" w:color="000000"/>
              <w:left w:val="single" w:sz="4" w:space="0" w:color="000000"/>
              <w:right w:val="single" w:sz="4" w:space="0" w:color="000000"/>
            </w:tcBorders>
            <w:shd w:val="clear" w:color="auto" w:fill="D2D2D2"/>
          </w:tcPr>
          <w:p>
            <w:pPr/>
          </w:p>
        </w:tc>
        <w:tc>
          <w:tcPr>
            <w:tcW w:w="998" w:type="dxa"/>
            <w:tcBorders>
              <w:top w:val="single" w:sz="15" w:space="0" w:color="000000"/>
              <w:left w:val="single" w:sz="4" w:space="0" w:color="000000"/>
              <w:bottom w:val="nil" w:sz="6" w:space="0" w:color="auto"/>
              <w:right w:val="single" w:sz="4" w:space="0" w:color="000000"/>
            </w:tcBorders>
          </w:tcPr>
          <w:p>
            <w:pPr/>
          </w:p>
        </w:tc>
        <w:tc>
          <w:tcPr>
            <w:tcW w:w="794" w:type="dxa"/>
            <w:tcBorders>
              <w:top w:val="single" w:sz="15" w:space="0" w:color="000000"/>
              <w:left w:val="single" w:sz="4" w:space="0" w:color="000000"/>
              <w:bottom w:val="nil" w:sz="6" w:space="0" w:color="auto"/>
              <w:right w:val="single" w:sz="4" w:space="0" w:color="000000"/>
            </w:tcBorders>
          </w:tcPr>
          <w:p>
            <w:pPr/>
          </w:p>
        </w:tc>
        <w:tc>
          <w:tcPr>
            <w:tcW w:w="942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本次重组完成后，刘强、李杰仍为北京君正的实际控制人。为了保持北京君正的独立性，保护北京君正其他股东尤其是</w:t>
            </w:r>
          </w:p>
        </w:tc>
        <w:tc>
          <w:tcPr>
            <w:tcW w:w="794" w:type="dxa"/>
            <w:tcBorders>
              <w:top w:val="single" w:sz="15" w:space="0" w:color="000000"/>
              <w:left w:val="single" w:sz="4" w:space="0" w:color="000000"/>
              <w:bottom w:val="nil" w:sz="6" w:space="0" w:color="auto"/>
              <w:right w:val="single" w:sz="4" w:space="0" w:color="000000"/>
            </w:tcBorders>
          </w:tcPr>
          <w:p>
            <w:pPr/>
          </w:p>
        </w:tc>
        <w:tc>
          <w:tcPr>
            <w:tcW w:w="795" w:type="dxa"/>
            <w:tcBorders>
              <w:top w:val="single" w:sz="15" w:space="0" w:color="000000"/>
              <w:left w:val="single" w:sz="4" w:space="0" w:color="000000"/>
              <w:bottom w:val="nil" w:sz="6" w:space="0" w:color="auto"/>
              <w:right w:val="single" w:sz="4" w:space="0" w:color="000000"/>
            </w:tcBorders>
          </w:tcPr>
          <w:p>
            <w:pPr/>
          </w:p>
        </w:tc>
        <w:tc>
          <w:tcPr>
            <w:tcW w:w="794" w:type="dxa"/>
            <w:tcBorders>
              <w:top w:val="single" w:sz="6" w:space="0" w:color="000000"/>
              <w:left w:val="single" w:sz="4" w:space="0" w:color="000000"/>
              <w:bottom w:val="nil" w:sz="6" w:space="0" w:color="auto"/>
              <w:right w:val="single" w:sz="4" w:space="0" w:color="000000"/>
            </w:tcBorders>
          </w:tcPr>
          <w:p>
            <w:pPr/>
          </w:p>
        </w:tc>
      </w:tr>
      <w:tr>
        <w:trPr>
          <w:trHeight w:val="316"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1" w:right="0"/>
              <w:jc w:val="left"/>
              <w:rPr>
                <w:rFonts w:ascii="宋体" w:hAnsi="宋体" w:cs="宋体" w:eastAsia="宋体" w:hint="default"/>
                <w:sz w:val="18"/>
                <w:szCs w:val="18"/>
              </w:rPr>
            </w:pPr>
            <w:r>
              <w:rPr>
                <w:rFonts w:ascii="宋体" w:hAnsi="宋体" w:cs="宋体" w:eastAsia="宋体" w:hint="default"/>
                <w:spacing w:val="-4"/>
                <w:sz w:val="18"/>
                <w:szCs w:val="18"/>
              </w:rPr>
              <w:t>中小股东的合法权益，本承诺人现作出声明、确认及承诺如下：一、关于上市公司人员独立：</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副总经理、财务负责人、董事会秘书及其他高级管理人员专职在北京君正工作、不在本承诺人控制的其他企业担任除董</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2"/>
                <w:sz w:val="18"/>
                <w:szCs w:val="18"/>
              </w:rPr>
              <w:t>事、监事以外的其他职务，且不在本承诺人控制的其他企业领取薪酬。</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、保证北京君正的财务人员独立，不在本承诺人</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2"/>
                <w:sz w:val="18"/>
                <w:szCs w:val="18"/>
              </w:rPr>
              <w:t>控制的其他企业中兼职或领取报酬。</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、保证本承诺人推荐出任北京君正董事、监事的人选都通过合法的程序进行，本承</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2"/>
                <w:sz w:val="18"/>
                <w:szCs w:val="18"/>
              </w:rPr>
              <w:t>诺人不干预北京君正董事会和股东大会已经做出的人事任免决定。二、关于上市公司财务独立：</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、保证北京君正建立独</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2"/>
                <w:sz w:val="18"/>
                <w:szCs w:val="18"/>
              </w:rPr>
              <w:t>立的财务会计部门和独立的财务核算体系。</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、保证北京君正具有规范、独立的财务会计制度和对分公司、子公司的财务</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2"/>
                <w:sz w:val="18"/>
                <w:szCs w:val="18"/>
              </w:rPr>
              <w:t>管理制度。</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、保证北京君正及其子公司能够独立做出财务决策，本承诺人及本承诺人控制的其他企业不干预北京君正的</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pacing w:val="-2"/>
                <w:sz w:val="18"/>
                <w:szCs w:val="18"/>
              </w:rPr>
              <w:t>资金使用、调度。</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、保证北京君正及其子公司独立在银行开户，不与本承诺人及本承诺人控制的其他企业共用一个银行</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1"/>
                <w:sz w:val="18"/>
                <w:szCs w:val="18"/>
              </w:rPr>
              <w:t>账户。</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保证北京君正及其子公司依法独立纳税。三、关于上市公司机构独立：</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、保证北京君正依法建立和完善法人治</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刘强、李杰</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1" w:right="41"/>
              <w:jc w:val="both"/>
              <w:rPr>
                <w:rFonts w:ascii="宋体" w:hAnsi="宋体" w:cs="宋体" w:eastAsia="宋体" w:hint="default"/>
                <w:sz w:val="18"/>
                <w:szCs w:val="18"/>
              </w:rPr>
            </w:pPr>
            <w:r>
              <w:rPr>
                <w:rFonts w:ascii="宋体" w:hAnsi="宋体" w:cs="宋体" w:eastAsia="宋体" w:hint="default"/>
                <w:sz w:val="18"/>
                <w:szCs w:val="18"/>
              </w:rPr>
              <w:t>关于保证 上市公司 独立性的 承诺</w:t>
            </w: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304" w:lineRule="auto" w:before="5"/>
              <w:ind w:left="21" w:right="22"/>
              <w:jc w:val="both"/>
              <w:rPr>
                <w:rFonts w:ascii="宋体" w:hAnsi="宋体" w:cs="宋体" w:eastAsia="宋体" w:hint="default"/>
                <w:sz w:val="18"/>
                <w:szCs w:val="18"/>
              </w:rPr>
            </w:pPr>
            <w:r>
              <w:rPr>
                <w:rFonts w:ascii="宋体" w:hAnsi="宋体" w:cs="宋体" w:eastAsia="宋体" w:hint="default"/>
                <w:spacing w:val="-2"/>
                <w:sz w:val="18"/>
                <w:szCs w:val="18"/>
              </w:rPr>
              <w:t>理结构，建立独立、完整的组织机构。</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、保证北京君正的股东大会、董事会、独立董事、监事会、高级管理人员等依照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w w:val="99"/>
                <w:sz w:val="18"/>
                <w:szCs w:val="18"/>
              </w:rPr>
              <w:t>法律、法规和《北京君正集成电路股份有限公司章程》（以下简称</w:t>
            </w:r>
            <w:r>
              <w:rPr>
                <w:rFonts w:ascii="Times New Roman" w:hAnsi="Times New Roman" w:cs="Times New Roman" w:eastAsia="Times New Roman" w:hint="default"/>
                <w:spacing w:val="-2"/>
                <w:w w:val="99"/>
                <w:sz w:val="18"/>
                <w:szCs w:val="18"/>
              </w:rPr>
              <w:t>"</w:t>
            </w:r>
            <w:r>
              <w:rPr>
                <w:rFonts w:ascii="宋体" w:hAnsi="宋体" w:cs="宋体" w:eastAsia="宋体" w:hint="default"/>
                <w:spacing w:val="-2"/>
                <w:w w:val="99"/>
                <w:sz w:val="18"/>
                <w:szCs w:val="18"/>
              </w:rPr>
              <w:t>《公司章程》</w:t>
            </w:r>
            <w:r>
              <w:rPr>
                <w:rFonts w:ascii="Times New Roman" w:hAnsi="Times New Roman" w:cs="Times New Roman" w:eastAsia="Times New Roman" w:hint="default"/>
                <w:spacing w:val="-2"/>
                <w:w w:val="99"/>
                <w:sz w:val="18"/>
                <w:szCs w:val="18"/>
              </w:rPr>
              <w:t>"</w:t>
            </w:r>
            <w:r>
              <w:rPr>
                <w:rFonts w:ascii="宋体" w:hAnsi="宋体" w:cs="宋体" w:eastAsia="宋体" w:hint="default"/>
                <w:spacing w:val="-2"/>
                <w:w w:val="99"/>
                <w:sz w:val="18"/>
                <w:szCs w:val="18"/>
              </w:rPr>
              <w:t>）独立行使职权。</w:t>
            </w:r>
            <w:r>
              <w:rPr>
                <w:rFonts w:ascii="Times New Roman" w:hAnsi="Times New Roman" w:cs="Times New Roman" w:eastAsia="Times New Roman" w:hint="default"/>
                <w:spacing w:val="-2"/>
                <w:w w:val="99"/>
                <w:sz w:val="18"/>
                <w:szCs w:val="18"/>
              </w:rPr>
              <w:t>3</w:t>
            </w:r>
            <w:r>
              <w:rPr>
                <w:rFonts w:ascii="宋体" w:hAnsi="宋体" w:cs="宋体" w:eastAsia="宋体" w:hint="default"/>
                <w:spacing w:val="-2"/>
                <w:w w:val="99"/>
                <w:sz w:val="18"/>
                <w:szCs w:val="18"/>
              </w:rPr>
              <w:t>、保证北京君正及</w:t>
            </w:r>
            <w:r>
              <w:rPr>
                <w:rFonts w:ascii="宋体" w:hAnsi="宋体" w:cs="宋体" w:eastAsia="宋体" w:hint="default"/>
                <w:spacing w:val="-72"/>
                <w:w w:val="99"/>
                <w:sz w:val="18"/>
                <w:szCs w:val="18"/>
              </w:rPr>
              <w:t> </w:t>
            </w:r>
            <w:r>
              <w:rPr>
                <w:rFonts w:ascii="宋体" w:hAnsi="宋体" w:cs="宋体" w:eastAsia="宋体" w:hint="default"/>
                <w:spacing w:val="-2"/>
                <w:sz w:val="18"/>
                <w:szCs w:val="18"/>
              </w:rPr>
              <w:t>其子公司与本承诺人控制的其他企业之间在办公机构和生产经营场所等方面完全分开，不存在机构混同的情形。</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、保证</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北京君正及其子公司独立自主地运作，本承诺人不会超越股东大会直接或间接干预上市公司的决策和经营。四、关于上 市公司资产独立、完整：</w:t>
            </w:r>
            <w:r>
              <w:rPr>
                <w:rFonts w:ascii="Times New Roman" w:hAnsi="Times New Roman" w:cs="Times New Roman" w:eastAsia="Times New Roman" w:hint="default"/>
                <w:sz w:val="18"/>
                <w:szCs w:val="18"/>
              </w:rPr>
              <w:t>1</w:t>
            </w:r>
            <w:r>
              <w:rPr>
                <w:rFonts w:ascii="宋体" w:hAnsi="宋体" w:cs="宋体" w:eastAsia="宋体" w:hint="default"/>
                <w:sz w:val="18"/>
                <w:szCs w:val="18"/>
              </w:rPr>
              <w:t>、保证北京君正具有独立、完整的经营性资产。</w:t>
            </w:r>
            <w:r>
              <w:rPr>
                <w:rFonts w:ascii="Times New Roman" w:hAnsi="Times New Roman" w:cs="Times New Roman" w:eastAsia="Times New Roman" w:hint="default"/>
                <w:sz w:val="18"/>
                <w:szCs w:val="18"/>
              </w:rPr>
              <w:t>2</w:t>
            </w:r>
            <w:r>
              <w:rPr>
                <w:rFonts w:ascii="宋体" w:hAnsi="宋体" w:cs="宋体" w:eastAsia="宋体" w:hint="default"/>
                <w:sz w:val="18"/>
                <w:szCs w:val="18"/>
              </w:rPr>
              <w:t>、保证本承诺人及本承诺人控制的其他企业 </w:t>
            </w:r>
            <w:r>
              <w:rPr>
                <w:rFonts w:ascii="宋体" w:hAnsi="宋体" w:cs="宋体" w:eastAsia="宋体" w:hint="default"/>
                <w:spacing w:val="-2"/>
                <w:sz w:val="18"/>
                <w:szCs w:val="18"/>
              </w:rPr>
              <w:t>不违规占用北京君正的资金、资产及其他资源。</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、保证不以北京君正的资产为本承诺人及本承诺人控制的其他企业的债</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4" w:right="39"/>
              <w:jc w:val="both"/>
              <w:rPr>
                <w:rFonts w:ascii="宋体" w:hAnsi="宋体" w:cs="宋体" w:eastAsia="宋体" w:hint="default"/>
                <w:sz w:val="18"/>
                <w:szCs w:val="18"/>
              </w:rPr>
            </w:pPr>
            <w:r>
              <w:rPr>
                <w:rFonts w:ascii="宋体" w:hAnsi="宋体" w:cs="宋体" w:eastAsia="宋体" w:hint="default"/>
                <w:sz w:val="18"/>
                <w:szCs w:val="18"/>
              </w:rPr>
              <w:t>此承诺期 限为长期 有效</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38"/>
              <w:jc w:val="left"/>
              <w:rPr>
                <w:rFonts w:ascii="宋体" w:hAnsi="宋体" w:cs="宋体" w:eastAsia="宋体" w:hint="default"/>
                <w:sz w:val="18"/>
                <w:szCs w:val="18"/>
              </w:rPr>
            </w:pPr>
            <w:r>
              <w:rPr>
                <w:rFonts w:ascii="宋体" w:hAnsi="宋体" w:cs="宋体" w:eastAsia="宋体" w:hint="default"/>
                <w:sz w:val="18"/>
                <w:szCs w:val="18"/>
              </w:rPr>
              <w:t>报告期 内，承诺 人均遵守 了所做的 承诺。</w:t>
            </w: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2"/>
                <w:sz w:val="18"/>
                <w:szCs w:val="18"/>
              </w:rPr>
              <w:t>务违规提供担保。五、关于上市公司业务独立：</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、保证北京君正拥有独立开展经营活动的资产、人员、资质以及具有独</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2"/>
                <w:sz w:val="18"/>
                <w:szCs w:val="18"/>
              </w:rPr>
              <w:t>立面向市场自主经营的能力，在产、供、销等环节不依赖本承诺人及本承诺人控制的其他企业。</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、保证严格控制关联交</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易事项，尽量避免或减少北京君正与本承诺人及本承诺人控制的其他企业之间发生关联交易；对无法避免或者有合理原</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因发生的关联交易，将遵循市场公正、公平、公开的原则，按照公允、合理的市场价格进行交易，并按相关法律、法规</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规章及规范性文件</w:t>
            </w:r>
            <w:r>
              <w:rPr>
                <w:rFonts w:ascii="宋体" w:hAnsi="宋体" w:cs="宋体" w:eastAsia="宋体" w:hint="default"/>
                <w:spacing w:val="-118"/>
                <w:sz w:val="18"/>
                <w:szCs w:val="18"/>
              </w:rPr>
              <w:t>、</w:t>
            </w:r>
            <w:r>
              <w:rPr>
                <w:rFonts w:ascii="宋体" w:hAnsi="宋体" w:cs="宋体" w:eastAsia="宋体" w:hint="default"/>
                <w:sz w:val="18"/>
                <w:szCs w:val="18"/>
              </w:rPr>
              <w:t>《公司章</w:t>
            </w:r>
            <w:r>
              <w:rPr>
                <w:rFonts w:ascii="宋体" w:hAnsi="宋体" w:cs="宋体" w:eastAsia="宋体" w:hint="default"/>
                <w:spacing w:val="2"/>
                <w:sz w:val="18"/>
                <w:szCs w:val="18"/>
              </w:rPr>
              <w:t>程</w:t>
            </w:r>
            <w:r>
              <w:rPr>
                <w:rFonts w:ascii="宋体" w:hAnsi="宋体" w:cs="宋体" w:eastAsia="宋体" w:hint="default"/>
                <w:spacing w:val="-27"/>
                <w:sz w:val="18"/>
                <w:szCs w:val="18"/>
              </w:rPr>
              <w:t>》</w:t>
            </w:r>
            <w:r>
              <w:rPr>
                <w:rFonts w:ascii="宋体" w:hAnsi="宋体" w:cs="宋体" w:eastAsia="宋体" w:hint="default"/>
                <w:sz w:val="18"/>
                <w:szCs w:val="18"/>
              </w:rPr>
              <w:t>的规定等履行关联交易决策程序及信息披露义务</w:t>
            </w:r>
            <w:r>
              <w:rPr>
                <w:rFonts w:ascii="宋体" w:hAnsi="宋体" w:cs="宋体" w:eastAsia="宋体" w:hint="default"/>
                <w:spacing w:val="-27"/>
                <w:sz w:val="18"/>
                <w:szCs w:val="18"/>
              </w:rPr>
              <w:t>；</w:t>
            </w:r>
            <w:r>
              <w:rPr>
                <w:rFonts w:ascii="宋体" w:hAnsi="宋体" w:cs="宋体" w:eastAsia="宋体" w:hint="default"/>
                <w:sz w:val="18"/>
                <w:szCs w:val="18"/>
              </w:rPr>
              <w:t>保证不通过与北京君正及其控制企业</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2"/>
                <w:sz w:val="18"/>
                <w:szCs w:val="18"/>
              </w:rPr>
              <w:t>的关联交易损害北京君正及其他股东的合法权益。</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、保证本承诺人及本承诺人控制的其他企业不从事与北京君正主营业</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务直接相竞争的业务。本承诺人保证不通过单独或一致行动的途径，以依法行使股东权利以外的任何方式，干预北京君</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正的重大决策事项，影响上市公司在人员、财务、机构、资产、业务方面的独立性；保证北京君正在其他方面与本承诺</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人及本承诺人控制的其他企业保持独立。除非本承诺人不再作为北京君正的控股股东及实际控制人，本承诺持续有效且</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700" w:type="dxa"/>
            <w:vMerge/>
            <w:tcBorders>
              <w:left w:val="single" w:sz="4" w:space="0" w:color="000000"/>
              <w:bottom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94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不可变更或撤销。若本承诺人违反上述承诺给北京君正及其他股东造成损失，一切损失将由本承诺人承担。</w:t>
            </w:r>
          </w:p>
        </w:tc>
        <w:tc>
          <w:tcPr>
            <w:tcW w:w="794" w:type="dxa"/>
            <w:tcBorders>
              <w:top w:val="nil" w:sz="6" w:space="0" w:color="auto"/>
              <w:left w:val="single" w:sz="4" w:space="0" w:color="000000"/>
              <w:bottom w:val="single" w:sz="4" w:space="0" w:color="000000"/>
              <w:right w:val="single" w:sz="4" w:space="0" w:color="000000"/>
            </w:tcBorders>
          </w:tcPr>
          <w:p>
            <w:pPr/>
          </w:p>
        </w:tc>
        <w:tc>
          <w:tcPr>
            <w:tcW w:w="795"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660" w:right="640"/>
        </w:sectPr>
      </w:pPr>
    </w:p>
    <w:p>
      <w:pPr>
        <w:spacing w:line="240" w:lineRule="auto" w:before="2"/>
        <w:rPr>
          <w:rFonts w:ascii="Times New Roman" w:hAnsi="Times New Roman" w:cs="Times New Roman" w:eastAsia="Times New Roman" w:hint="default"/>
          <w:sz w:val="3"/>
          <w:szCs w:val="3"/>
        </w:rPr>
      </w:pPr>
      <w:r>
        <w:rPr/>
        <w:pict>
          <v:shape style="position:absolute;margin-left:149.417007pt;margin-top:139.706009pt;width:63.25pt;height:70.25pt;mso-position-horizontal-relative:page;mso-position-vertical-relative:page;z-index:-16123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8"/>
                      <w:szCs w:val="18"/>
                    </w:rPr>
                  </w:pPr>
                </w:p>
                <w:p>
                  <w:pPr>
                    <w:pStyle w:val="BodyText"/>
                    <w:spacing w:line="240" w:lineRule="auto"/>
                    <w:ind w:left="0" w:right="0"/>
                    <w:jc w:val="left"/>
                  </w:pPr>
                  <w:r>
                    <w:rPr/>
                    <w:t>李杰、</w:t>
                  </w:r>
                </w:p>
              </w:txbxContent>
            </v:textbox>
            <w10:wrap type="none"/>
          </v:shape>
        </w:pict>
      </w:r>
      <w:r>
        <w:rPr/>
        <w:pict>
          <v:shape style="position:absolute;margin-left:149.417007pt;margin-top:362.710022pt;width:63.25pt;height:31.2pt;mso-position-horizontal-relative:page;mso-position-vertical-relative:page;z-index:-1612288" type="#_x0000_t202" filled="false" stroked="false">
            <v:textbox inset="0,0,0,0">
              <w:txbxContent>
                <w:p>
                  <w:pPr>
                    <w:pStyle w:val="BodyText"/>
                    <w:spacing w:line="240" w:lineRule="auto" w:before="49"/>
                    <w:ind w:left="0" w:right="0"/>
                    <w:jc w:val="left"/>
                  </w:pPr>
                  <w:r>
                    <w:rPr/>
                    <w:t>李杰、</w:t>
                  </w:r>
                </w:p>
              </w:txbxContent>
            </v:textbox>
            <w10:wrap type="none"/>
          </v:shape>
        </w:pict>
      </w:r>
      <w:r>
        <w:rPr/>
        <w:pict>
          <v:group style="position:absolute;margin-left:685.900024pt;margin-top:98.180008pt;width:36.85pt;height:17.650pt;mso-position-horizontal-relative:page;mso-position-vertical-relative:page;z-index:-1612264" coordorigin="13718,1964" coordsize="737,353">
            <v:shape style="position:absolute;left:13718;top:1964;width:737;height:353" coordorigin="13718,1964" coordsize="737,353" path="m13718,2316l14455,2316,14455,1964,13718,1964,13718,2316xe" filled="true" fillcolor="#ffffff" stroked="false">
              <v:path arrowok="t"/>
              <v:fill type="solid"/>
            </v:shape>
            <w10:wrap type="none"/>
          </v:group>
        </w:pict>
      </w:r>
      <w:r>
        <w:rPr/>
        <w:pict>
          <v:group style="position:absolute;margin-left:173.539993pt;margin-top:139.706009pt;width:39.15pt;height:87.9pt;mso-position-horizontal-relative:page;mso-position-vertical-relative:page;z-index:-1612240" coordorigin="3471,2794" coordsize="783,1758">
            <v:group style="position:absolute;left:3471;top:2794;width:783;height:1405" coordorigin="3471,2794" coordsize="783,1405">
              <v:shape style="position:absolute;left:3471;top:2794;width:783;height:1405" coordorigin="3471,2794" coordsize="783,1405" path="m3471,4199l4253,4199,4253,2794,3471,2794,3471,4199xe" filled="true" fillcolor="#ffffff" stroked="false">
                <v:path arrowok="t"/>
                <v:fill type="solid"/>
              </v:shape>
            </v:group>
            <v:group style="position:absolute;left:3492;top:4199;width:740;height:353" coordorigin="3492,4199" coordsize="740,353">
              <v:shape style="position:absolute;left:3492;top:4199;width:740;height:353" coordorigin="3492,4199" coordsize="740,353" path="m3492,4551l4232,4551,4232,4199,3492,4199,3492,4551xe" filled="true" fillcolor="#ffffff" stroked="false">
                <v:path arrowok="t"/>
                <v:fill type="solid"/>
              </v:shape>
            </v:group>
            <w10:wrap type="none"/>
          </v:group>
        </w:pict>
      </w:r>
      <w:r>
        <w:rPr/>
        <w:pict>
          <v:group style="position:absolute;margin-left:685.900024pt;margin-top:225.530014pt;width:36.85pt;height:33.25pt;mso-position-horizontal-relative:page;mso-position-vertical-relative:page;z-index:-1612216" coordorigin="13718,4511" coordsize="737,665">
            <v:group style="position:absolute;left:13718;top:4511;width:737;height:353" coordorigin="13718,4511" coordsize="737,353">
              <v:shape style="position:absolute;left:13718;top:4511;width:737;height:353" coordorigin="13718,4511" coordsize="737,353" path="m13718,4863l14455,4863,14455,4511,13718,4511,13718,4863xe" filled="true" fillcolor="#ffffff" stroked="false">
                <v:path arrowok="t"/>
                <v:fill type="solid"/>
              </v:shape>
            </v:group>
            <v:group style="position:absolute;left:13718;top:4863;width:737;height:312" coordorigin="13718,4863" coordsize="737,312">
              <v:shape style="position:absolute;left:13718;top:4863;width:737;height:312" coordorigin="13718,4863" coordsize="737,312" path="m13718,5175l14455,5175,14455,4863,13718,4863,13718,5175xe" filled="true" fillcolor="#ffffff" stroked="false">
                <v:path arrowok="t"/>
                <v:fill type="solid"/>
              </v:shape>
            </v:group>
            <w10:wrap type="none"/>
          </v:group>
        </w:pict>
      </w:r>
      <w:r>
        <w:rPr/>
        <w:pict>
          <v:group style="position:absolute;margin-left:173.539993pt;margin-top:362.710022pt;width:39.15pt;height:48.75pt;mso-position-horizontal-relative:page;mso-position-vertical-relative:page;z-index:-1612192" coordorigin="3471,7254" coordsize="783,975">
            <v:group style="position:absolute;left:3471;top:7254;width:783;height:624" coordorigin="3471,7254" coordsize="783,624">
              <v:shape style="position:absolute;left:3471;top:7254;width:783;height:624" coordorigin="3471,7254" coordsize="783,624" path="m3471,7878l4253,7878,4253,7254,3471,7254,3471,7878xe" filled="true" fillcolor="#ffffff" stroked="false">
                <v:path arrowok="t"/>
                <v:fill type="solid"/>
              </v:shape>
            </v:group>
            <v:group style="position:absolute;left:3492;top:7878;width:740;height:351" coordorigin="3492,7878" coordsize="740,351">
              <v:shape style="position:absolute;left:3492;top:7878;width:740;height:351" coordorigin="3492,7878" coordsize="740,351" path="m3492,8229l4232,8229,4232,7878,3492,7878,3492,8229xe" filled="true" fillcolor="#ffffff" stroked="false">
                <v:path arrowok="t"/>
                <v:fill type="solid"/>
              </v:shape>
            </v:group>
            <w10:wrap type="none"/>
          </v:group>
        </w:pict>
      </w:r>
    </w:p>
    <w:tbl>
      <w:tblPr>
        <w:tblW w:w="0" w:type="auto"/>
        <w:jc w:val="left"/>
        <w:tblInd w:w="103" w:type="dxa"/>
        <w:tblLayout w:type="fixed"/>
        <w:tblCellMar>
          <w:top w:w="0" w:type="dxa"/>
          <w:left w:w="0" w:type="dxa"/>
          <w:bottom w:w="0" w:type="dxa"/>
          <w:right w:w="0" w:type="dxa"/>
        </w:tblCellMar>
        <w:tblLook w:val="01E0"/>
      </w:tblPr>
      <w:tblGrid>
        <w:gridCol w:w="1700"/>
        <w:gridCol w:w="998"/>
        <w:gridCol w:w="794"/>
        <w:gridCol w:w="9429"/>
        <w:gridCol w:w="794"/>
        <w:gridCol w:w="795"/>
        <w:gridCol w:w="794"/>
      </w:tblGrid>
      <w:tr>
        <w:trPr>
          <w:trHeight w:val="371" w:hRule="exact"/>
        </w:trPr>
        <w:tc>
          <w:tcPr>
            <w:tcW w:w="1700" w:type="dxa"/>
            <w:vMerge w:val="restart"/>
            <w:tcBorders>
              <w:top w:val="single" w:sz="15" w:space="0" w:color="000000"/>
              <w:left w:val="single" w:sz="4" w:space="0" w:color="000000"/>
              <w:right w:val="single" w:sz="4" w:space="0" w:color="000000"/>
            </w:tcBorders>
            <w:shd w:val="clear" w:color="auto" w:fill="D2D2D2"/>
          </w:tcPr>
          <w:p>
            <w:pPr/>
          </w:p>
        </w:tc>
        <w:tc>
          <w:tcPr>
            <w:tcW w:w="998" w:type="dxa"/>
            <w:tcBorders>
              <w:top w:val="single" w:sz="15" w:space="0" w:color="000000"/>
              <w:left w:val="single" w:sz="4" w:space="0" w:color="000000"/>
              <w:bottom w:val="nil" w:sz="6" w:space="0" w:color="auto"/>
              <w:right w:val="single" w:sz="4" w:space="0" w:color="000000"/>
            </w:tcBorders>
          </w:tcPr>
          <w:p>
            <w:pPr/>
          </w:p>
        </w:tc>
        <w:tc>
          <w:tcPr>
            <w:tcW w:w="794"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关于保持</w:t>
            </w:r>
          </w:p>
        </w:tc>
        <w:tc>
          <w:tcPr>
            <w:tcW w:w="9429" w:type="dxa"/>
            <w:tcBorders>
              <w:top w:val="single" w:sz="15" w:space="0" w:color="000000"/>
              <w:left w:val="single" w:sz="4" w:space="0" w:color="000000"/>
              <w:bottom w:val="nil" w:sz="6" w:space="0" w:color="auto"/>
              <w:right w:val="single" w:sz="4" w:space="0" w:color="000000"/>
            </w:tcBorders>
          </w:tcPr>
          <w:p>
            <w:pPr/>
          </w:p>
        </w:tc>
        <w:tc>
          <w:tcPr>
            <w:tcW w:w="794" w:type="dxa"/>
            <w:tcBorders>
              <w:top w:val="single" w:sz="15" w:space="0" w:color="000000"/>
              <w:left w:val="single" w:sz="4" w:space="0" w:color="000000"/>
              <w:bottom w:val="nil" w:sz="6" w:space="0" w:color="auto"/>
              <w:right w:val="single" w:sz="4" w:space="0" w:color="000000"/>
            </w:tcBorders>
          </w:tcPr>
          <w:p>
            <w:pPr/>
          </w:p>
        </w:tc>
        <w:tc>
          <w:tcPr>
            <w:tcW w:w="795"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此承诺期</w:t>
            </w:r>
          </w:p>
        </w:tc>
        <w:tc>
          <w:tcPr>
            <w:tcW w:w="794"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报告期</w:t>
            </w:r>
          </w:p>
        </w:tc>
      </w:tr>
      <w:tr>
        <w:trPr>
          <w:trHeight w:val="940"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刘强、李杰</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1" w:right="41"/>
              <w:jc w:val="both"/>
              <w:rPr>
                <w:rFonts w:ascii="宋体" w:hAnsi="宋体" w:cs="宋体" w:eastAsia="宋体" w:hint="default"/>
                <w:sz w:val="18"/>
                <w:szCs w:val="18"/>
              </w:rPr>
            </w:pPr>
            <w:r>
              <w:rPr>
                <w:rFonts w:ascii="宋体" w:hAnsi="宋体" w:cs="宋体" w:eastAsia="宋体" w:hint="default"/>
                <w:sz w:val="18"/>
                <w:szCs w:val="18"/>
              </w:rPr>
              <w:t>一致行动 关系的声 明及确认</w:t>
            </w:r>
          </w:p>
        </w:tc>
        <w:tc>
          <w:tcPr>
            <w:tcW w:w="9429" w:type="dxa"/>
            <w:tcBorders>
              <w:top w:val="nil" w:sz="6" w:space="0" w:color="auto"/>
              <w:left w:val="single" w:sz="4" w:space="0" w:color="000000"/>
              <w:bottom w:val="nil" w:sz="6" w:space="0" w:color="auto"/>
              <w:right w:val="single" w:sz="13" w:space="0" w:color="FFFFFF"/>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97" w:lineRule="auto"/>
              <w:ind w:left="21" w:right="-46"/>
              <w:jc w:val="left"/>
              <w:rPr>
                <w:rFonts w:ascii="宋体" w:hAnsi="宋体" w:cs="宋体" w:eastAsia="宋体" w:hint="default"/>
                <w:sz w:val="18"/>
                <w:szCs w:val="18"/>
              </w:rPr>
            </w:pPr>
            <w:r>
              <w:rPr>
                <w:rFonts w:ascii="宋体" w:hAnsi="宋体" w:cs="宋体" w:eastAsia="宋体" w:hint="default"/>
                <w:sz w:val="18"/>
                <w:szCs w:val="18"/>
              </w:rPr>
              <w:t>于本次交易完成之日起</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个月内，任一方均不会向对方或北京君正提出终止双方之间的一致行动关系。本承诺函自作出 </w:t>
            </w:r>
            <w:r>
              <w:rPr>
                <w:rFonts w:ascii="宋体" w:hAnsi="宋体" w:cs="宋体" w:eastAsia="宋体" w:hint="default"/>
                <w:spacing w:val="-3"/>
                <w:sz w:val="18"/>
                <w:szCs w:val="18"/>
              </w:rPr>
              <w:t>之日起生效且不可撤销，生效后即构成对承诺人有约束力的法律文件。如违反本承诺，承诺人愿意承担相应的法律责任。</w:t>
            </w:r>
            <w:r>
              <w:rPr>
                <w:rFonts w:ascii="宋体" w:hAnsi="宋体" w:cs="宋体" w:eastAsia="宋体" w:hint="default"/>
                <w:sz w:val="18"/>
                <w:szCs w:val="18"/>
              </w:rPr>
            </w:r>
          </w:p>
        </w:tc>
        <w:tc>
          <w:tcPr>
            <w:tcW w:w="794" w:type="dxa"/>
            <w:tcBorders>
              <w:top w:val="nil" w:sz="6" w:space="0" w:color="auto"/>
              <w:left w:val="single" w:sz="13" w:space="0" w:color="FFFFFF"/>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1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795"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39"/>
              <w:jc w:val="both"/>
              <w:rPr>
                <w:rFonts w:ascii="宋体" w:hAnsi="宋体" w:cs="宋体" w:eastAsia="宋体" w:hint="default"/>
                <w:sz w:val="18"/>
                <w:szCs w:val="18"/>
              </w:rPr>
            </w:pPr>
            <w:r>
              <w:rPr>
                <w:rFonts w:ascii="宋体" w:hAnsi="宋体" w:cs="宋体" w:eastAsia="宋体" w:hint="default"/>
                <w:sz w:val="18"/>
                <w:szCs w:val="18"/>
              </w:rPr>
              <w:t>限为交易 完成之日 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3" w:right="38"/>
              <w:jc w:val="both"/>
              <w:rPr>
                <w:rFonts w:ascii="宋体" w:hAnsi="宋体" w:cs="宋体" w:eastAsia="宋体" w:hint="default"/>
                <w:sz w:val="18"/>
                <w:szCs w:val="18"/>
              </w:rPr>
            </w:pPr>
            <w:r>
              <w:rPr>
                <w:rFonts w:ascii="宋体" w:hAnsi="宋体" w:cs="宋体" w:eastAsia="宋体" w:hint="default"/>
                <w:sz w:val="18"/>
                <w:szCs w:val="18"/>
              </w:rPr>
              <w:t>内，承诺 人遵守了 所做的承</w:t>
            </w:r>
          </w:p>
        </w:tc>
      </w:tr>
      <w:tr>
        <w:trPr>
          <w:trHeight w:val="355"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函</w:t>
            </w:r>
          </w:p>
        </w:tc>
        <w:tc>
          <w:tcPr>
            <w:tcW w:w="9429"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7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月内</w:t>
            </w:r>
          </w:p>
        </w:tc>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诺。</w:t>
            </w:r>
          </w:p>
        </w:tc>
      </w:tr>
      <w:tr>
        <w:trPr>
          <w:trHeight w:val="360" w:hRule="exact"/>
        </w:trPr>
        <w:tc>
          <w:tcPr>
            <w:tcW w:w="1700" w:type="dxa"/>
            <w:vMerge/>
            <w:tcBorders>
              <w:left w:val="single" w:sz="4" w:space="0" w:color="000000"/>
              <w:right w:val="single" w:sz="4" w:space="0" w:color="000000"/>
            </w:tcBorders>
            <w:shd w:val="clear" w:color="auto" w:fill="D2D2D2"/>
          </w:tcPr>
          <w:p>
            <w:pPr/>
          </w:p>
        </w:tc>
        <w:tc>
          <w:tcPr>
            <w:tcW w:w="998" w:type="dxa"/>
            <w:tcBorders>
              <w:top w:val="single" w:sz="4" w:space="0" w:color="000000"/>
              <w:left w:val="single" w:sz="4" w:space="0" w:color="000000"/>
              <w:bottom w:val="nil" w:sz="6" w:space="0" w:color="auto"/>
              <w:right w:val="single" w:sz="4" w:space="0" w:color="000000"/>
            </w:tcBorders>
          </w:tcPr>
          <w:p>
            <w:pPr/>
          </w:p>
        </w:tc>
        <w:tc>
          <w:tcPr>
            <w:tcW w:w="794" w:type="dxa"/>
            <w:tcBorders>
              <w:top w:val="single" w:sz="4" w:space="0" w:color="000000"/>
              <w:left w:val="single" w:sz="4" w:space="0" w:color="000000"/>
              <w:bottom w:val="nil" w:sz="6" w:space="0" w:color="auto"/>
              <w:right w:val="single" w:sz="4" w:space="0" w:color="000000"/>
            </w:tcBorders>
          </w:tcPr>
          <w:p>
            <w:pPr/>
          </w:p>
        </w:tc>
        <w:tc>
          <w:tcPr>
            <w:tcW w:w="94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、本承诺人已向上市公司及为本次重组提供审计、评估、法律及财务顾问专业服务的中介机构提供了与本次重组相关的</w:t>
            </w:r>
          </w:p>
        </w:tc>
        <w:tc>
          <w:tcPr>
            <w:tcW w:w="794" w:type="dxa"/>
            <w:vMerge w:val="restart"/>
            <w:tcBorders>
              <w:top w:val="single" w:sz="4" w:space="0" w:color="000000"/>
              <w:left w:val="single" w:sz="10" w:space="0" w:color="FFFFFF"/>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03" w:lineRule="exact" w:before="109"/>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149" w:lineRule="exact"/>
              <w:ind w:left="-13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5" w:type="dxa"/>
            <w:tcBorders>
              <w:top w:val="single" w:sz="4" w:space="0" w:color="000000"/>
              <w:left w:val="single" w:sz="4" w:space="0" w:color="000000"/>
              <w:bottom w:val="nil" w:sz="6" w:space="0" w:color="auto"/>
              <w:right w:val="single" w:sz="4" w:space="0" w:color="000000"/>
            </w:tcBorders>
          </w:tcPr>
          <w:p>
            <w:pPr/>
          </w:p>
        </w:tc>
        <w:tc>
          <w:tcPr>
            <w:tcW w:w="794"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信息和文件资</w:t>
            </w:r>
            <w:r>
              <w:rPr>
                <w:rFonts w:ascii="宋体" w:hAnsi="宋体" w:cs="宋体" w:eastAsia="宋体" w:hint="default"/>
                <w:spacing w:val="-27"/>
                <w:sz w:val="18"/>
                <w:szCs w:val="18"/>
              </w:rPr>
              <w:t>料</w:t>
            </w:r>
            <w:r>
              <w:rPr>
                <w:rFonts w:ascii="宋体" w:hAnsi="宋体" w:cs="宋体" w:eastAsia="宋体" w:hint="default"/>
                <w:sz w:val="18"/>
                <w:szCs w:val="18"/>
              </w:rPr>
              <w:t>（包括但不限于原始书面材料</w:t>
            </w:r>
            <w:r>
              <w:rPr>
                <w:rFonts w:ascii="宋体" w:hAnsi="宋体" w:cs="宋体" w:eastAsia="宋体" w:hint="default"/>
                <w:spacing w:val="-27"/>
                <w:sz w:val="18"/>
                <w:szCs w:val="18"/>
              </w:rPr>
              <w:t>、</w:t>
            </w:r>
            <w:r>
              <w:rPr>
                <w:rFonts w:ascii="宋体" w:hAnsi="宋体" w:cs="宋体" w:eastAsia="宋体" w:hint="default"/>
                <w:sz w:val="18"/>
                <w:szCs w:val="18"/>
              </w:rPr>
              <w:t>副本材料或口头信息等</w:t>
            </w:r>
            <w:r>
              <w:rPr>
                <w:rFonts w:ascii="宋体" w:hAnsi="宋体" w:cs="宋体" w:eastAsia="宋体" w:hint="default"/>
                <w:spacing w:val="-92"/>
                <w:sz w:val="18"/>
                <w:szCs w:val="18"/>
              </w:rPr>
              <w:t>）</w:t>
            </w:r>
            <w:r>
              <w:rPr>
                <w:rFonts w:ascii="宋体" w:hAnsi="宋体" w:cs="宋体" w:eastAsia="宋体" w:hint="default"/>
                <w:spacing w:val="-27"/>
                <w:sz w:val="18"/>
                <w:szCs w:val="18"/>
              </w:rPr>
              <w:t>，</w:t>
            </w:r>
            <w:r>
              <w:rPr>
                <w:rFonts w:ascii="宋体" w:hAnsi="宋体" w:cs="宋体" w:eastAsia="宋体" w:hint="default"/>
                <w:sz w:val="18"/>
                <w:szCs w:val="18"/>
              </w:rPr>
              <w:t>本承诺人保证</w:t>
            </w:r>
            <w:r>
              <w:rPr>
                <w:rFonts w:ascii="宋体" w:hAnsi="宋体" w:cs="宋体" w:eastAsia="宋体" w:hint="default"/>
                <w:spacing w:val="2"/>
                <w:sz w:val="18"/>
                <w:szCs w:val="18"/>
              </w:rPr>
              <w:t>所</w:t>
            </w:r>
            <w:r>
              <w:rPr>
                <w:rFonts w:ascii="宋体" w:hAnsi="宋体" w:cs="宋体" w:eastAsia="宋体" w:hint="default"/>
                <w:sz w:val="18"/>
                <w:szCs w:val="18"/>
              </w:rPr>
              <w:t>提供的文件资料的副本或复印</w:t>
            </w:r>
          </w:p>
        </w:tc>
        <w:tc>
          <w:tcPr>
            <w:tcW w:w="794" w:type="dxa"/>
            <w:vMerge/>
            <w:tcBorders>
              <w:left w:val="single" w:sz="10" w:space="0" w:color="FFFFFF"/>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21"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9" w:space="0" w:color="FFFFFF"/>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38"/>
              <w:jc w:val="left"/>
              <w:rPr>
                <w:rFonts w:ascii="宋体" w:hAnsi="宋体" w:cs="宋体" w:eastAsia="宋体" w:hint="default"/>
                <w:sz w:val="18"/>
                <w:szCs w:val="18"/>
              </w:rPr>
            </w:pPr>
            <w:r>
              <w:rPr>
                <w:rFonts w:ascii="宋体" w:hAnsi="宋体" w:cs="宋体" w:eastAsia="宋体" w:hint="default"/>
                <w:sz w:val="18"/>
                <w:szCs w:val="18"/>
              </w:rPr>
              <w:t>刘强、 张紧、冼永 </w:t>
            </w:r>
            <w:r>
              <w:rPr>
                <w:rFonts w:ascii="宋体" w:hAnsi="宋体" w:cs="宋体" w:eastAsia="宋体" w:hint="default"/>
                <w:spacing w:val="-15"/>
                <w:sz w:val="18"/>
                <w:szCs w:val="18"/>
              </w:rPr>
              <w:t>辉、梁云凤、</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王艳辉、张</w:t>
            </w:r>
            <w:r>
              <w:rPr>
                <w:rFonts w:ascii="宋体" w:hAnsi="宋体" w:cs="宋体" w:eastAsia="宋体" w:hint="default"/>
                <w:sz w:val="18"/>
                <w:szCs w:val="18"/>
              </w:rPr>
              <w:t> 燕祥、许志 鹏、周悦、 张敏、周生 雷、叶飞、 黄磊、刘将</w:t>
            </w:r>
          </w:p>
        </w:tc>
        <w:tc>
          <w:tcPr>
            <w:tcW w:w="794" w:type="dxa"/>
            <w:tcBorders>
              <w:top w:val="nil" w:sz="6" w:space="0" w:color="auto"/>
              <w:left w:val="single" w:sz="9"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15" w:right="41"/>
              <w:jc w:val="both"/>
              <w:rPr>
                <w:rFonts w:ascii="宋体" w:hAnsi="宋体" w:cs="宋体" w:eastAsia="宋体" w:hint="default"/>
                <w:sz w:val="18"/>
                <w:szCs w:val="18"/>
              </w:rPr>
            </w:pPr>
            <w:r>
              <w:rPr>
                <w:rFonts w:ascii="宋体" w:hAnsi="宋体" w:cs="宋体" w:eastAsia="宋体" w:hint="default"/>
                <w:sz w:val="18"/>
                <w:szCs w:val="18"/>
              </w:rPr>
              <w:t>关于提供 信息真实 性、准确 性和完整 性承诺</w:t>
            </w:r>
          </w:p>
        </w:tc>
        <w:tc>
          <w:tcPr>
            <w:tcW w:w="9429" w:type="dxa"/>
            <w:tcBorders>
              <w:top w:val="nil" w:sz="6" w:space="0" w:color="auto"/>
              <w:left w:val="single" w:sz="4" w:space="0" w:color="000000"/>
              <w:bottom w:val="nil" w:sz="6" w:space="0" w:color="auto"/>
              <w:right w:val="single" w:sz="13" w:space="0" w:color="FFFFFF"/>
            </w:tcBorders>
          </w:tcPr>
          <w:p>
            <w:pPr>
              <w:pStyle w:val="TableParagraph"/>
              <w:spacing w:line="314" w:lineRule="auto" w:before="10"/>
              <w:ind w:left="21" w:right="8"/>
              <w:jc w:val="left"/>
              <w:rPr>
                <w:rFonts w:ascii="宋体" w:hAnsi="宋体" w:cs="宋体" w:eastAsia="宋体" w:hint="default"/>
                <w:sz w:val="18"/>
                <w:szCs w:val="18"/>
              </w:rPr>
            </w:pPr>
            <w:r>
              <w:rPr>
                <w:rFonts w:ascii="宋体" w:hAnsi="宋体" w:cs="宋体" w:eastAsia="宋体" w:hint="default"/>
                <w:sz w:val="18"/>
                <w:szCs w:val="18"/>
              </w:rPr>
              <w:t>件与正本或原件一致，且该等文件资料的签字与印章都是真实的，该等文件的签署人已经合法授权并有效签署该文件； 保证所提供的信息和文件资料的真实性、准确性和完整性，保证不存在虚假记载、误导性陈述或者重大遗漏，并承诺承 </w:t>
            </w:r>
            <w:r>
              <w:rPr>
                <w:rFonts w:ascii="宋体" w:hAnsi="宋体" w:cs="宋体" w:eastAsia="宋体" w:hint="default"/>
                <w:spacing w:val="-2"/>
                <w:sz w:val="18"/>
                <w:szCs w:val="18"/>
              </w:rPr>
              <w:t>担个别和连带的法律责任。</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、在本次重组期间，本承诺人将依照相关法律法规、中国证监会和深交所的有关规定，及时</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向上市公司披露有关本次重组的信息，并保证本次重组信息披露和申请文件的真实性、准确性和完整性，如因信息披露 </w:t>
            </w:r>
            <w:r>
              <w:rPr>
                <w:rFonts w:ascii="宋体" w:hAnsi="宋体" w:cs="宋体" w:eastAsia="宋体" w:hint="default"/>
                <w:spacing w:val="-2"/>
                <w:sz w:val="18"/>
                <w:szCs w:val="18"/>
              </w:rPr>
              <w:t>和申请文件存在虚假记载、误导性陈述或者重大遗漏，给上市公司或投资者造成损失的，本承诺人将依法承担赔偿责任</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、本承诺人保证，如本次交易所提供或披露的信息涉嫌虚假记载、误导性陈述或者重大遗漏，被司法机关立案侦查或者</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被中国证监会立案调查的，在形成调查结论以前，本承诺人不转让在上市公司拥有权益的股份（如有），并于收到立案稽</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查通知的两个交易日内将暂停转让的书面申请和股票账户提交上市公司董事会，由上市公司董事会代本承诺人向深交所 和中登公司申请锁定；未在两个交易日内提交锁定申请的，本承诺人授权上市公司董事会核实后直接向深交所和中登公 司报送本承诺人的身份信息和账户信息并申请锁定；上市公司董事会未向深交所和中登公司报送本承诺人的身份信息和</w:t>
            </w:r>
          </w:p>
        </w:tc>
        <w:tc>
          <w:tcPr>
            <w:tcW w:w="794" w:type="dxa"/>
            <w:vMerge/>
            <w:tcBorders>
              <w:left w:val="single" w:sz="10" w:space="0" w:color="FFFFFF"/>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6" w:lineRule="auto"/>
              <w:ind w:left="24" w:right="39"/>
              <w:jc w:val="left"/>
              <w:rPr>
                <w:rFonts w:ascii="宋体" w:hAnsi="宋体" w:cs="宋体" w:eastAsia="宋体" w:hint="default"/>
                <w:sz w:val="18"/>
                <w:szCs w:val="18"/>
              </w:rPr>
            </w:pPr>
            <w:r>
              <w:rPr>
                <w:rFonts w:ascii="宋体" w:hAnsi="宋体" w:cs="宋体" w:eastAsia="宋体" w:hint="default"/>
                <w:sz w:val="18"/>
                <w:szCs w:val="18"/>
              </w:rPr>
              <w:t>无承诺期 限</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3" w:right="38"/>
              <w:jc w:val="left"/>
              <w:rPr>
                <w:rFonts w:ascii="宋体" w:hAnsi="宋体" w:cs="宋体" w:eastAsia="宋体" w:hint="default"/>
                <w:sz w:val="18"/>
                <w:szCs w:val="18"/>
              </w:rPr>
            </w:pPr>
            <w:r>
              <w:rPr>
                <w:rFonts w:ascii="宋体" w:hAnsi="宋体" w:cs="宋体" w:eastAsia="宋体" w:hint="default"/>
                <w:sz w:val="18"/>
                <w:szCs w:val="18"/>
              </w:rPr>
              <w:t>报告期 内，承诺 人均遵守 了所做的 承诺。</w:t>
            </w: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账户信息的，本承诺人授权深交所和中登公司直接锁定相关股份。如调查结论发现存在违法违规情节，本承诺人承诺锁</w:t>
            </w:r>
          </w:p>
        </w:tc>
        <w:tc>
          <w:tcPr>
            <w:tcW w:w="794" w:type="dxa"/>
            <w:vMerge/>
            <w:tcBorders>
              <w:left w:val="single" w:sz="10" w:space="0" w:color="FFFFFF"/>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94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定股份自愿用于相关投资者赔偿安排。</w:t>
            </w:r>
          </w:p>
        </w:tc>
        <w:tc>
          <w:tcPr>
            <w:tcW w:w="794" w:type="dxa"/>
            <w:vMerge/>
            <w:tcBorders>
              <w:left w:val="single" w:sz="10" w:space="0" w:color="FFFFFF"/>
              <w:bottom w:val="single" w:sz="4" w:space="0" w:color="000000"/>
              <w:right w:val="single" w:sz="4" w:space="0" w:color="000000"/>
            </w:tcBorders>
          </w:tcPr>
          <w:p>
            <w:pPr/>
          </w:p>
        </w:tc>
        <w:tc>
          <w:tcPr>
            <w:tcW w:w="795"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700" w:type="dxa"/>
            <w:vMerge/>
            <w:tcBorders>
              <w:left w:val="single" w:sz="4" w:space="0" w:color="000000"/>
              <w:right w:val="single" w:sz="4" w:space="0" w:color="000000"/>
            </w:tcBorders>
            <w:shd w:val="clear" w:color="auto" w:fill="D2D2D2"/>
          </w:tcPr>
          <w:p>
            <w:pPr/>
          </w:p>
        </w:tc>
        <w:tc>
          <w:tcPr>
            <w:tcW w:w="9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刘强、</w:t>
            </w:r>
          </w:p>
        </w:tc>
        <w:tc>
          <w:tcPr>
            <w:tcW w:w="794" w:type="dxa"/>
            <w:tcBorders>
              <w:top w:val="single" w:sz="4" w:space="0" w:color="000000"/>
              <w:left w:val="single" w:sz="4" w:space="0" w:color="000000"/>
              <w:bottom w:val="nil" w:sz="6" w:space="0" w:color="auto"/>
              <w:right w:val="single" w:sz="4" w:space="0" w:color="000000"/>
            </w:tcBorders>
          </w:tcPr>
          <w:p>
            <w:pPr/>
          </w:p>
        </w:tc>
        <w:tc>
          <w:tcPr>
            <w:tcW w:w="94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、本承诺人不存在《中华人民共和国公司法》规定的不得担任公司董事、监事、高级管理人员的情形，不存在违反《中</w:t>
            </w:r>
          </w:p>
        </w:tc>
        <w:tc>
          <w:tcPr>
            <w:tcW w:w="794" w:type="dxa"/>
            <w:tcBorders>
              <w:top w:val="single" w:sz="4" w:space="0" w:color="000000"/>
              <w:left w:val="single" w:sz="4" w:space="0" w:color="000000"/>
              <w:bottom w:val="nil" w:sz="6" w:space="0" w:color="auto"/>
              <w:right w:val="single" w:sz="4" w:space="0" w:color="000000"/>
            </w:tcBorders>
          </w:tcPr>
          <w:p>
            <w:pPr/>
          </w:p>
        </w:tc>
        <w:tc>
          <w:tcPr>
            <w:tcW w:w="795" w:type="dxa"/>
            <w:tcBorders>
              <w:top w:val="single" w:sz="4" w:space="0" w:color="000000"/>
              <w:left w:val="single" w:sz="4" w:space="0" w:color="000000"/>
              <w:bottom w:val="nil" w:sz="6" w:space="0" w:color="auto"/>
              <w:right w:val="single" w:sz="4" w:space="0" w:color="000000"/>
            </w:tcBorders>
          </w:tcPr>
          <w:p>
            <w:pPr/>
          </w:p>
        </w:tc>
        <w:tc>
          <w:tcPr>
            <w:tcW w:w="794"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张紧、冼永</w:t>
            </w: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1" w:right="0"/>
              <w:jc w:val="left"/>
              <w:rPr>
                <w:rFonts w:ascii="宋体" w:hAnsi="宋体" w:cs="宋体" w:eastAsia="宋体" w:hint="default"/>
                <w:sz w:val="18"/>
                <w:szCs w:val="18"/>
              </w:rPr>
            </w:pPr>
            <w:r>
              <w:rPr>
                <w:rFonts w:ascii="宋体" w:hAnsi="宋体" w:cs="宋体" w:eastAsia="宋体" w:hint="default"/>
                <w:spacing w:val="-2"/>
                <w:sz w:val="18"/>
                <w:szCs w:val="18"/>
              </w:rPr>
              <w:t>华人民共和国公司法》第一百四十七条、第一百四十八条规定的行为。</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、截至本函出具日，本承诺人不存在因涉嫌犯罪</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9" w:space="0" w:color="FFFFFF"/>
            </w:tcBorders>
          </w:tcPr>
          <w:p>
            <w:pPr>
              <w:pStyle w:val="TableParagraph"/>
              <w:spacing w:line="240" w:lineRule="auto" w:before="5"/>
              <w:ind w:left="23" w:right="-38"/>
              <w:jc w:val="left"/>
              <w:rPr>
                <w:rFonts w:ascii="宋体" w:hAnsi="宋体" w:cs="宋体" w:eastAsia="宋体" w:hint="default"/>
                <w:sz w:val="18"/>
                <w:szCs w:val="18"/>
              </w:rPr>
            </w:pPr>
            <w:r>
              <w:rPr>
                <w:rFonts w:ascii="宋体" w:hAnsi="宋体" w:cs="宋体" w:eastAsia="宋体" w:hint="default"/>
                <w:spacing w:val="-15"/>
                <w:sz w:val="18"/>
                <w:szCs w:val="18"/>
              </w:rPr>
              <w:t>辉、梁云凤、</w:t>
            </w:r>
            <w:r>
              <w:rPr>
                <w:rFonts w:ascii="宋体" w:hAnsi="宋体" w:cs="宋体" w:eastAsia="宋体" w:hint="default"/>
                <w:sz w:val="18"/>
                <w:szCs w:val="18"/>
              </w:rPr>
            </w:r>
          </w:p>
        </w:tc>
        <w:tc>
          <w:tcPr>
            <w:tcW w:w="794" w:type="dxa"/>
            <w:tcBorders>
              <w:top w:val="nil" w:sz="6" w:space="0" w:color="auto"/>
              <w:left w:val="single" w:sz="9" w:space="0" w:color="FFFFFF"/>
              <w:bottom w:val="nil" w:sz="6" w:space="0" w:color="auto"/>
              <w:right w:val="single" w:sz="4" w:space="0" w:color="000000"/>
            </w:tcBorders>
          </w:tcPr>
          <w:p>
            <w:pPr>
              <w:pStyle w:val="TableParagraph"/>
              <w:spacing w:line="240" w:lineRule="auto" w:before="8"/>
              <w:ind w:left="15" w:right="0"/>
              <w:jc w:val="left"/>
              <w:rPr>
                <w:rFonts w:ascii="宋体" w:hAnsi="宋体" w:cs="宋体" w:eastAsia="宋体" w:hint="default"/>
                <w:sz w:val="18"/>
                <w:szCs w:val="18"/>
              </w:rPr>
            </w:pPr>
            <w:r>
              <w:rPr>
                <w:rFonts w:ascii="宋体" w:hAnsi="宋体" w:cs="宋体" w:eastAsia="宋体" w:hint="default"/>
                <w:sz w:val="18"/>
                <w:szCs w:val="18"/>
              </w:rPr>
              <w:t>关于合</w:t>
            </w: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2"/>
                <w:sz w:val="18"/>
                <w:szCs w:val="18"/>
              </w:rPr>
              <w:t>被司法机关立案侦查或涉嫌违法违规被中国证监会立案调查的情况。</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、截至本函出具日，本承诺人最近</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年内未受到行</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报告期</w:t>
            </w:r>
          </w:p>
        </w:tc>
      </w:tr>
      <w:tr>
        <w:trPr>
          <w:trHeight w:val="937"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9" w:space="0" w:color="FFFFFF"/>
            </w:tcBorders>
          </w:tcPr>
          <w:p>
            <w:pPr>
              <w:pStyle w:val="TableParagraph"/>
              <w:spacing w:line="319" w:lineRule="auto" w:before="5"/>
              <w:ind w:left="23" w:right="56"/>
              <w:jc w:val="both"/>
              <w:rPr>
                <w:rFonts w:ascii="宋体" w:hAnsi="宋体" w:cs="宋体" w:eastAsia="宋体" w:hint="default"/>
                <w:sz w:val="18"/>
                <w:szCs w:val="18"/>
              </w:rPr>
            </w:pPr>
            <w:r>
              <w:rPr>
                <w:rFonts w:ascii="宋体" w:hAnsi="宋体" w:cs="宋体" w:eastAsia="宋体" w:hint="default"/>
                <w:sz w:val="18"/>
                <w:szCs w:val="18"/>
              </w:rPr>
              <w:t>王艳辉、张 燕祥、许志 鹏、周悦、</w:t>
            </w:r>
          </w:p>
        </w:tc>
        <w:tc>
          <w:tcPr>
            <w:tcW w:w="794" w:type="dxa"/>
            <w:tcBorders>
              <w:top w:val="nil" w:sz="6" w:space="0" w:color="auto"/>
              <w:left w:val="single" w:sz="9" w:space="0" w:color="FFFFFF"/>
              <w:bottom w:val="nil" w:sz="6" w:space="0" w:color="auto"/>
              <w:right w:val="single" w:sz="4" w:space="0" w:color="000000"/>
            </w:tcBorders>
          </w:tcPr>
          <w:p>
            <w:pPr>
              <w:pStyle w:val="TableParagraph"/>
              <w:spacing w:line="319" w:lineRule="auto" w:before="5"/>
              <w:ind w:left="15" w:right="41"/>
              <w:jc w:val="both"/>
              <w:rPr>
                <w:rFonts w:ascii="宋体" w:hAnsi="宋体" w:cs="宋体" w:eastAsia="宋体" w:hint="default"/>
                <w:sz w:val="18"/>
                <w:szCs w:val="18"/>
              </w:rPr>
            </w:pPr>
            <w:r>
              <w:rPr>
                <w:rFonts w:ascii="宋体" w:hAnsi="宋体" w:cs="宋体" w:eastAsia="宋体" w:hint="default"/>
                <w:sz w:val="18"/>
                <w:szCs w:val="18"/>
              </w:rPr>
              <w:t>法、合规 及诚信的 声明及承</w:t>
            </w: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21" w:right="17"/>
              <w:jc w:val="both"/>
              <w:rPr>
                <w:rFonts w:ascii="宋体" w:hAnsi="宋体" w:cs="宋体" w:eastAsia="宋体" w:hint="default"/>
                <w:sz w:val="18"/>
                <w:szCs w:val="18"/>
              </w:rPr>
            </w:pPr>
            <w:r>
              <w:rPr>
                <w:rFonts w:ascii="宋体" w:hAnsi="宋体" w:cs="宋体" w:eastAsia="宋体" w:hint="default"/>
                <w:spacing w:val="-2"/>
                <w:sz w:val="18"/>
                <w:szCs w:val="18"/>
              </w:rPr>
              <w:t>政处罚（与证券市场明显无关的除外）或者刑事处罚；最近</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pacing w:val="-2"/>
                <w:sz w:val="18"/>
                <w:szCs w:val="18"/>
              </w:rPr>
              <w:t>年内诚信情况良好，未受到证券交易所公开谴责。</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、截至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本函出具日，本承诺人不存在因涉嫌与任何重大资产重组相关的内幕交易被立案调查或者立案侦查且尚未结案的情形， 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个月内不存在因与任何重大资产重组相关的内幕交易被中国证监会作出行政处罚或被司法机关依法追究刑事责</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5"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4" w:right="39"/>
              <w:jc w:val="left"/>
              <w:rPr>
                <w:rFonts w:ascii="宋体" w:hAnsi="宋体" w:cs="宋体" w:eastAsia="宋体" w:hint="default"/>
                <w:sz w:val="18"/>
                <w:szCs w:val="18"/>
              </w:rPr>
            </w:pPr>
            <w:r>
              <w:rPr>
                <w:rFonts w:ascii="宋体" w:hAnsi="宋体" w:cs="宋体" w:eastAsia="宋体" w:hint="default"/>
                <w:sz w:val="18"/>
                <w:szCs w:val="18"/>
              </w:rPr>
              <w:t>无承诺期 限</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319" w:lineRule="auto" w:before="5"/>
              <w:ind w:left="23" w:right="38"/>
              <w:jc w:val="both"/>
              <w:rPr>
                <w:rFonts w:ascii="宋体" w:hAnsi="宋体" w:cs="宋体" w:eastAsia="宋体" w:hint="default"/>
                <w:sz w:val="18"/>
                <w:szCs w:val="18"/>
              </w:rPr>
            </w:pPr>
            <w:r>
              <w:rPr>
                <w:rFonts w:ascii="宋体" w:hAnsi="宋体" w:cs="宋体" w:eastAsia="宋体" w:hint="default"/>
                <w:sz w:val="18"/>
                <w:szCs w:val="18"/>
              </w:rPr>
              <w:t>内，承诺 人均遵守 了所做的</w:t>
            </w:r>
          </w:p>
        </w:tc>
      </w:tr>
      <w:tr>
        <w:trPr>
          <w:trHeight w:val="307"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9" w:space="0" w:color="FFFFFF"/>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张敏、周生</w:t>
            </w:r>
          </w:p>
        </w:tc>
        <w:tc>
          <w:tcPr>
            <w:tcW w:w="794" w:type="dxa"/>
            <w:tcBorders>
              <w:top w:val="nil" w:sz="6" w:space="0" w:color="auto"/>
              <w:left w:val="single" w:sz="9" w:space="0" w:color="FFFFFF"/>
              <w:bottom w:val="nil" w:sz="6" w:space="0" w:color="auto"/>
              <w:right w:val="single" w:sz="4" w:space="0" w:color="000000"/>
            </w:tcBorders>
          </w:tcPr>
          <w:p>
            <w:pPr>
              <w:pStyle w:val="TableParagraph"/>
              <w:spacing w:line="240" w:lineRule="auto" w:before="5"/>
              <w:ind w:left="15" w:right="0"/>
              <w:jc w:val="left"/>
              <w:rPr>
                <w:rFonts w:ascii="宋体" w:hAnsi="宋体" w:cs="宋体" w:eastAsia="宋体" w:hint="default"/>
                <w:sz w:val="18"/>
                <w:szCs w:val="18"/>
              </w:rPr>
            </w:pPr>
            <w:r>
              <w:rPr>
                <w:rFonts w:ascii="宋体" w:hAnsi="宋体" w:cs="宋体" w:eastAsia="宋体" w:hint="default"/>
                <w:sz w:val="18"/>
                <w:szCs w:val="18"/>
              </w:rPr>
              <w:t>诺</w:t>
            </w: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任的情形，不存在《关于加强与上市公司重大资产重组相关股票异常交易监管的暂行规定》第十三条规定中不得参与上</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承诺。</w:t>
            </w:r>
          </w:p>
        </w:tc>
      </w:tr>
      <w:tr>
        <w:trPr>
          <w:trHeight w:val="317"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雷、叶飞、</w:t>
            </w:r>
          </w:p>
        </w:tc>
        <w:tc>
          <w:tcPr>
            <w:tcW w:w="794" w:type="dxa"/>
            <w:tcBorders>
              <w:top w:val="nil" w:sz="6" w:space="0" w:color="auto"/>
              <w:left w:val="single" w:sz="4" w:space="0" w:color="000000"/>
              <w:bottom w:val="nil" w:sz="6" w:space="0" w:color="auto"/>
              <w:right w:val="single" w:sz="4" w:space="0" w:color="000000"/>
            </w:tcBorders>
          </w:tcPr>
          <w:p>
            <w:pP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2"/>
                <w:sz w:val="18"/>
                <w:szCs w:val="18"/>
              </w:rPr>
              <w:t>市公司重大资产重组情形。</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、本承诺人承诺，自上市公司本次重组首次董事会召开之日起至本次重组实施完毕或终止期</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700" w:type="dxa"/>
            <w:vMerge/>
            <w:tcBorders>
              <w:left w:val="single" w:sz="4" w:space="0" w:color="000000"/>
              <w:bottom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黄磊、刘将</w:t>
            </w:r>
          </w:p>
        </w:tc>
        <w:tc>
          <w:tcPr>
            <w:tcW w:w="794" w:type="dxa"/>
            <w:tcBorders>
              <w:top w:val="nil" w:sz="6" w:space="0" w:color="auto"/>
              <w:left w:val="single" w:sz="4" w:space="0" w:color="000000"/>
              <w:bottom w:val="single" w:sz="4" w:space="0" w:color="000000"/>
              <w:right w:val="single" w:sz="4" w:space="0" w:color="000000"/>
            </w:tcBorders>
          </w:tcPr>
          <w:p>
            <w:pPr/>
          </w:p>
        </w:tc>
        <w:tc>
          <w:tcPr>
            <w:tcW w:w="94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间，暂不存在减持上市公司股份的计划。</w:t>
            </w:r>
          </w:p>
        </w:tc>
        <w:tc>
          <w:tcPr>
            <w:tcW w:w="794" w:type="dxa"/>
            <w:tcBorders>
              <w:top w:val="nil" w:sz="6" w:space="0" w:color="auto"/>
              <w:left w:val="single" w:sz="4" w:space="0" w:color="000000"/>
              <w:bottom w:val="single" w:sz="4" w:space="0" w:color="000000"/>
              <w:right w:val="single" w:sz="4" w:space="0" w:color="000000"/>
            </w:tcBorders>
          </w:tcPr>
          <w:p>
            <w:pPr/>
          </w:p>
        </w:tc>
        <w:tc>
          <w:tcPr>
            <w:tcW w:w="795"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660" w:right="640"/>
        </w:sectPr>
      </w:pPr>
    </w:p>
    <w:p>
      <w:pPr>
        <w:spacing w:line="240" w:lineRule="auto" w:before="2"/>
        <w:rPr>
          <w:rFonts w:ascii="Times New Roman" w:hAnsi="Times New Roman" w:cs="Times New Roman" w:eastAsia="Times New Roman" w:hint="default"/>
          <w:sz w:val="3"/>
          <w:szCs w:val="3"/>
        </w:rPr>
      </w:pPr>
      <w:r>
        <w:rPr/>
        <w:pict>
          <v:shape style="position:absolute;margin-left:149.417007pt;margin-top:382.75pt;width:63.25pt;height:23.4pt;mso-position-horizontal-relative:page;mso-position-vertical-relative:page;z-index:-1612168" type="#_x0000_t202" filled="false" stroked="false">
            <v:textbox inset="0,0,0,0">
              <w:txbxContent>
                <w:p>
                  <w:pPr>
                    <w:pStyle w:val="BodyText"/>
                    <w:spacing w:line="240" w:lineRule="auto" w:before="49"/>
                    <w:ind w:left="0" w:right="0"/>
                    <w:jc w:val="left"/>
                  </w:pPr>
                  <w:r>
                    <w:rPr/>
                    <w:t>李杰、</w:t>
                  </w:r>
                </w:p>
              </w:txbxContent>
            </v:textbox>
            <w10:wrap type="none"/>
          </v:shape>
        </w:pict>
      </w:r>
      <w:r>
        <w:rPr/>
        <w:pict>
          <v:group style="position:absolute;margin-left:174.619995pt;margin-top:72.860008pt;width:37pt;height:17.55pt;mso-position-horizontal-relative:page;mso-position-vertical-relative:page;z-index:-1612144" coordorigin="3492,1457" coordsize="740,351">
            <v:shape style="position:absolute;left:3492;top:1457;width:740;height:351" coordorigin="3492,1457" coordsize="740,351" path="m3492,1808l4232,1808,4232,1457,3492,1457,3492,1808xe" filled="true" fillcolor="#ffffff" stroked="false">
              <v:path arrowok="t"/>
              <v:fill type="solid"/>
            </v:shape>
            <w10:wrap type="none"/>
          </v:group>
        </w:pict>
      </w:r>
      <w:r>
        <w:rPr/>
        <w:pict>
          <v:group style="position:absolute;margin-left:174.619995pt;margin-top:105.980011pt;width:37pt;height:15.6pt;mso-position-horizontal-relative:page;mso-position-vertical-relative:page;z-index:-1612120" coordorigin="3492,2120" coordsize="740,312">
            <v:shape style="position:absolute;left:3492;top:2120;width:740;height:312" coordorigin="3492,2120" coordsize="740,312" path="m3492,2432l4232,2432,4232,2120,3492,2120,3492,2432xe" filled="true" fillcolor="#ffffff" stroked="false">
              <v:path arrowok="t"/>
              <v:fill type="solid"/>
            </v:shape>
            <w10:wrap type="none"/>
          </v:group>
        </w:pict>
      </w:r>
      <w:r>
        <w:rPr/>
        <w:pict>
          <v:group style="position:absolute;margin-left:174.619995pt;margin-top:137.180008pt;width:37pt;height:31.2pt;mso-position-horizontal-relative:page;mso-position-vertical-relative:page;z-index:-1612096" coordorigin="3492,2744" coordsize="740,624">
            <v:group style="position:absolute;left:3492;top:2744;width:740;height:312" coordorigin="3492,2744" coordsize="740,312">
              <v:shape style="position:absolute;left:3492;top:2744;width:740;height:312" coordorigin="3492,2744" coordsize="740,312" path="m3492,3056l4232,3056,4232,2744,3492,2744,3492,3056xe" filled="true" fillcolor="#ffffff" stroked="false">
                <v:path arrowok="t"/>
                <v:fill type="solid"/>
              </v:shape>
            </v:group>
            <v:group style="position:absolute;left:3492;top:3056;width:740;height:312" coordorigin="3492,3056" coordsize="740,312">
              <v:shape style="position:absolute;left:3492;top:3056;width:740;height:312" coordorigin="3492,3056" coordsize="740,312" path="m3492,3368l4232,3368,4232,3056,3492,3056,3492,3368xe" filled="true" fillcolor="#ffffff" stroked="false">
                <v:path arrowok="t"/>
                <v:fill type="solid"/>
              </v:shape>
            </v:group>
            <w10:wrap type="none"/>
          </v:group>
        </w:pict>
      </w:r>
      <w:r>
        <w:rPr/>
        <w:pict>
          <v:group style="position:absolute;margin-left:684.700012pt;margin-top:57.236008pt;width:39.25pt;height:46.85pt;mso-position-horizontal-relative:page;mso-position-vertical-relative:page;z-index:-1612072" coordorigin="13694,1145" coordsize="785,937">
            <v:shape style="position:absolute;left:13694;top:1145;width:785;height:937" coordorigin="13694,1145" coordsize="785,937" path="m13694,2081l14479,2081,14479,1145,13694,1145,13694,2081xe" filled="true" fillcolor="#ffffff" stroked="false">
              <v:path arrowok="t"/>
              <v:fill type="solid"/>
            </v:shape>
            <w10:wrap type="none"/>
          </v:group>
        </w:pict>
      </w:r>
      <w:r>
        <w:rPr/>
        <w:pict>
          <v:group style="position:absolute;margin-left:173.539993pt;margin-top:382.75pt;width:39.15pt;height:59.15pt;mso-position-horizontal-relative:page;mso-position-vertical-relative:page;z-index:-1612048" coordorigin="3471,7655" coordsize="783,1183">
            <v:group style="position:absolute;left:3471;top:7655;width:783;height:468" coordorigin="3471,7655" coordsize="783,468">
              <v:shape style="position:absolute;left:3471;top:7655;width:783;height:468" coordorigin="3471,7655" coordsize="783,468" path="m3471,8123l4253,8123,4253,7655,3471,7655,3471,8123xe" filled="true" fillcolor="#ffffff" stroked="false">
                <v:path arrowok="t"/>
                <v:fill type="solid"/>
              </v:shape>
            </v:group>
            <v:group style="position:absolute;left:3482;top:8123;width:2;height:704" coordorigin="3482,8123" coordsize="2,704">
              <v:shape style="position:absolute;left:3482;top:8123;width:2;height:704" coordorigin="3482,8123" coordsize="0,704" path="m3482,8123l3482,8827e" filled="false" stroked="true" strokeweight="1.08pt" strokecolor="#ffffff">
                <v:path arrowok="t"/>
              </v:shape>
            </v:group>
            <v:group style="position:absolute;left:3492;top:8123;width:740;height:353" coordorigin="3492,8123" coordsize="740,353">
              <v:shape style="position:absolute;left:3492;top:8123;width:740;height:353" coordorigin="3492,8123" coordsize="740,353" path="m3492,8476l4232,8476,4232,8123,3492,8123,3492,8476xe" filled="true" fillcolor="#ffffff" stroked="false">
                <v:path arrowok="t"/>
                <v:fill type="solid"/>
              </v:shape>
            </v:group>
            <v:group style="position:absolute;left:3492;top:8476;width:740;height:351" coordorigin="3492,8476" coordsize="740,351">
              <v:shape style="position:absolute;left:3492;top:8476;width:740;height:351" coordorigin="3492,8476" coordsize="740,351" path="m3492,8827l4232,8827,4232,8476,3492,8476,3492,8827xe" filled="true" fillcolor="#ffffff" stroked="false">
                <v:path arrowok="t"/>
                <v:fill type="solid"/>
              </v:shape>
            </v:group>
            <w10:wrap type="none"/>
          </v:group>
        </w:pict>
      </w:r>
    </w:p>
    <w:tbl>
      <w:tblPr>
        <w:tblW w:w="0" w:type="auto"/>
        <w:jc w:val="left"/>
        <w:tblInd w:w="103" w:type="dxa"/>
        <w:tblLayout w:type="fixed"/>
        <w:tblCellMar>
          <w:top w:w="0" w:type="dxa"/>
          <w:left w:w="0" w:type="dxa"/>
          <w:bottom w:w="0" w:type="dxa"/>
          <w:right w:w="0" w:type="dxa"/>
        </w:tblCellMar>
        <w:tblLook w:val="01E0"/>
      </w:tblPr>
      <w:tblGrid>
        <w:gridCol w:w="1700"/>
        <w:gridCol w:w="998"/>
        <w:gridCol w:w="794"/>
        <w:gridCol w:w="9429"/>
        <w:gridCol w:w="794"/>
        <w:gridCol w:w="795"/>
        <w:gridCol w:w="794"/>
      </w:tblGrid>
      <w:tr>
        <w:trPr>
          <w:trHeight w:val="376" w:hRule="exact"/>
        </w:trPr>
        <w:tc>
          <w:tcPr>
            <w:tcW w:w="1700" w:type="dxa"/>
            <w:vMerge w:val="restart"/>
            <w:tcBorders>
              <w:top w:val="single" w:sz="15" w:space="0" w:color="000000"/>
              <w:left w:val="single" w:sz="4" w:space="0" w:color="000000"/>
              <w:right w:val="single" w:sz="4" w:space="0" w:color="000000"/>
            </w:tcBorders>
            <w:shd w:val="clear" w:color="auto" w:fill="D2D2D2"/>
          </w:tcPr>
          <w:p>
            <w:pPr/>
          </w:p>
        </w:tc>
        <w:tc>
          <w:tcPr>
            <w:tcW w:w="998" w:type="dxa"/>
            <w:tcBorders>
              <w:top w:val="single" w:sz="15" w:space="0" w:color="000000"/>
              <w:left w:val="single" w:sz="4" w:space="0" w:color="000000"/>
              <w:bottom w:val="nil" w:sz="6" w:space="0" w:color="auto"/>
              <w:right w:val="single" w:sz="4" w:space="0" w:color="000000"/>
            </w:tcBorders>
          </w:tcPr>
          <w:p>
            <w:pPr/>
          </w:p>
        </w:tc>
        <w:tc>
          <w:tcPr>
            <w:tcW w:w="794" w:type="dxa"/>
            <w:tcBorders>
              <w:top w:val="single" w:sz="15" w:space="0" w:color="000000"/>
              <w:left w:val="single" w:sz="4" w:space="0" w:color="000000"/>
              <w:bottom w:val="nil" w:sz="6" w:space="0" w:color="auto"/>
              <w:right w:val="single" w:sz="4" w:space="0" w:color="000000"/>
            </w:tcBorders>
          </w:tcPr>
          <w:p>
            <w:pPr/>
          </w:p>
        </w:tc>
        <w:tc>
          <w:tcPr>
            <w:tcW w:w="942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、本人承诺将不会无偿或以不公平条件直接或间接向其他单位或者个人输送利益，也不会单独及</w:t>
            </w:r>
            <w:r>
              <w:rPr>
                <w:rFonts w:ascii="Times New Roman" w:hAnsi="Times New Roman" w:cs="Times New Roman" w:eastAsia="Times New Roman" w:hint="default"/>
                <w:sz w:val="18"/>
                <w:szCs w:val="18"/>
              </w:rPr>
              <w:t>/</w:t>
            </w:r>
            <w:r>
              <w:rPr>
                <w:rFonts w:ascii="宋体" w:hAnsi="宋体" w:cs="宋体" w:eastAsia="宋体" w:hint="default"/>
                <w:sz w:val="18"/>
                <w:szCs w:val="18"/>
              </w:rPr>
              <w:t>或与其他单位或个人</w:t>
            </w:r>
          </w:p>
        </w:tc>
        <w:tc>
          <w:tcPr>
            <w:tcW w:w="794" w:type="dxa"/>
            <w:tcBorders>
              <w:top w:val="single" w:sz="15" w:space="0" w:color="000000"/>
              <w:left w:val="single" w:sz="4" w:space="0" w:color="000000"/>
              <w:bottom w:val="nil" w:sz="6" w:space="0" w:color="auto"/>
              <w:right w:val="single" w:sz="4" w:space="0" w:color="000000"/>
            </w:tcBorders>
          </w:tcPr>
          <w:p>
            <w:pPr/>
          </w:p>
        </w:tc>
        <w:tc>
          <w:tcPr>
            <w:tcW w:w="795" w:type="dxa"/>
            <w:tcBorders>
              <w:top w:val="single" w:sz="15" w:space="0" w:color="000000"/>
              <w:left w:val="single" w:sz="4" w:space="0" w:color="000000"/>
              <w:bottom w:val="nil" w:sz="6" w:space="0" w:color="auto"/>
              <w:right w:val="single" w:sz="4" w:space="0" w:color="000000"/>
            </w:tcBorders>
          </w:tcPr>
          <w:p>
            <w:pPr/>
          </w:p>
        </w:tc>
        <w:tc>
          <w:tcPr>
            <w:tcW w:w="794" w:type="dxa"/>
            <w:tcBorders>
              <w:top w:val="single" w:sz="6" w:space="0" w:color="000000"/>
              <w:left w:val="single" w:sz="4" w:space="0" w:color="000000"/>
              <w:bottom w:val="nil" w:sz="6" w:space="0" w:color="auto"/>
              <w:right w:val="single" w:sz="4" w:space="0" w:color="000000"/>
            </w:tcBorders>
          </w:tcPr>
          <w:p>
            <w:pPr/>
          </w:p>
        </w:tc>
      </w:tr>
      <w:tr>
        <w:trPr>
          <w:trHeight w:val="311"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9" w:space="0" w:color="FFFFFF"/>
            </w:tcBorders>
          </w:tcPr>
          <w:p>
            <w:pPr>
              <w:pStyle w:val="TableParagraph"/>
              <w:spacing w:line="240" w:lineRule="auto" w:before="6"/>
              <w:ind w:left="23" w:right="-38"/>
              <w:jc w:val="left"/>
              <w:rPr>
                <w:rFonts w:ascii="宋体" w:hAnsi="宋体" w:cs="宋体" w:eastAsia="宋体" w:hint="default"/>
                <w:sz w:val="18"/>
                <w:szCs w:val="18"/>
              </w:rPr>
            </w:pPr>
            <w:r>
              <w:rPr>
                <w:rFonts w:ascii="宋体" w:hAnsi="宋体" w:cs="宋体" w:eastAsia="宋体" w:hint="default"/>
                <w:spacing w:val="-15"/>
                <w:sz w:val="18"/>
                <w:szCs w:val="18"/>
              </w:rPr>
              <w:t>刘强、李杰、</w:t>
            </w:r>
            <w:r>
              <w:rPr>
                <w:rFonts w:ascii="宋体" w:hAnsi="宋体" w:cs="宋体" w:eastAsia="宋体" w:hint="default"/>
                <w:sz w:val="18"/>
                <w:szCs w:val="18"/>
              </w:rPr>
            </w:r>
          </w:p>
        </w:tc>
        <w:tc>
          <w:tcPr>
            <w:tcW w:w="794" w:type="dxa"/>
            <w:tcBorders>
              <w:top w:val="nil" w:sz="6" w:space="0" w:color="auto"/>
              <w:left w:val="single" w:sz="9" w:space="0" w:color="FFFFFF"/>
              <w:bottom w:val="nil" w:sz="6" w:space="0" w:color="auto"/>
              <w:right w:val="single" w:sz="4" w:space="0" w:color="000000"/>
            </w:tcBorders>
          </w:tcPr>
          <w:p>
            <w:pPr>
              <w:pStyle w:val="TableParagraph"/>
              <w:spacing w:line="240" w:lineRule="auto" w:before="6"/>
              <w:ind w:left="15" w:right="0"/>
              <w:jc w:val="left"/>
              <w:rPr>
                <w:rFonts w:ascii="宋体" w:hAnsi="宋体" w:cs="宋体" w:eastAsia="宋体" w:hint="default"/>
                <w:sz w:val="18"/>
                <w:szCs w:val="18"/>
              </w:rPr>
            </w:pPr>
            <w:r>
              <w:rPr>
                <w:rFonts w:ascii="宋体" w:hAnsi="宋体" w:cs="宋体" w:eastAsia="宋体" w:hint="default"/>
                <w:sz w:val="18"/>
                <w:szCs w:val="18"/>
              </w:rPr>
              <w:t>关于公司</w:t>
            </w: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1" w:right="0"/>
              <w:jc w:val="left"/>
              <w:rPr>
                <w:rFonts w:ascii="宋体" w:hAnsi="宋体" w:cs="宋体" w:eastAsia="宋体" w:hint="default"/>
                <w:sz w:val="18"/>
                <w:szCs w:val="18"/>
              </w:rPr>
            </w:pPr>
            <w:r>
              <w:rPr>
                <w:rFonts w:ascii="宋体" w:hAnsi="宋体" w:cs="宋体" w:eastAsia="宋体" w:hint="default"/>
                <w:sz w:val="18"/>
                <w:szCs w:val="18"/>
              </w:rPr>
              <w:t>共同以直接或间接方式损害公司利益；</w:t>
            </w:r>
            <w:r>
              <w:rPr>
                <w:rFonts w:ascii="Times New Roman" w:hAnsi="Times New Roman" w:cs="Times New Roman" w:eastAsia="Times New Roman" w:hint="default"/>
                <w:sz w:val="18"/>
                <w:szCs w:val="18"/>
              </w:rPr>
              <w:t>2</w:t>
            </w:r>
            <w:r>
              <w:rPr>
                <w:rFonts w:ascii="宋体" w:hAnsi="宋体" w:cs="宋体" w:eastAsia="宋体" w:hint="default"/>
                <w:sz w:val="18"/>
                <w:szCs w:val="18"/>
              </w:rPr>
              <w:t>、本人承诺将全力支持及配合公司对董事和高级管理人员职务消费行为的规范</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9" w:space="0" w:color="FFFFFF"/>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张紧、冼永</w:t>
            </w:r>
          </w:p>
        </w:tc>
        <w:tc>
          <w:tcPr>
            <w:tcW w:w="794" w:type="dxa"/>
            <w:tcBorders>
              <w:top w:val="nil" w:sz="6" w:space="0" w:color="auto"/>
              <w:left w:val="single" w:sz="9" w:space="0" w:color="FFFFFF"/>
              <w:bottom w:val="nil" w:sz="6" w:space="0" w:color="auto"/>
              <w:right w:val="single" w:sz="4" w:space="0" w:color="000000"/>
            </w:tcBorders>
          </w:tcPr>
          <w:p>
            <w:pPr>
              <w:pStyle w:val="TableParagraph"/>
              <w:spacing w:line="240" w:lineRule="auto" w:before="5"/>
              <w:ind w:left="15" w:right="0"/>
              <w:jc w:val="left"/>
              <w:rPr>
                <w:rFonts w:ascii="宋体" w:hAnsi="宋体" w:cs="宋体" w:eastAsia="宋体" w:hint="default"/>
                <w:sz w:val="18"/>
                <w:szCs w:val="18"/>
              </w:rPr>
            </w:pPr>
            <w:r>
              <w:rPr>
                <w:rFonts w:ascii="宋体" w:hAnsi="宋体" w:cs="宋体" w:eastAsia="宋体" w:hint="default"/>
                <w:sz w:val="18"/>
                <w:szCs w:val="18"/>
              </w:rPr>
              <w:t>重大资产</w:t>
            </w: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2"/>
                <w:sz w:val="18"/>
                <w:szCs w:val="18"/>
              </w:rPr>
              <w:t>严格遵守及执行公司相关制度及规定，对职务消费行为进行约束；</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、本人承诺将严格遵守相关法律法规、中国证监会和</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报告期</w:t>
            </w:r>
          </w:p>
        </w:tc>
      </w:tr>
      <w:tr>
        <w:trPr>
          <w:trHeight w:val="931"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9" w:space="0" w:color="FFFFFF"/>
            </w:tcBorders>
          </w:tcPr>
          <w:p>
            <w:pPr>
              <w:pStyle w:val="TableParagraph"/>
              <w:spacing w:line="316" w:lineRule="auto" w:before="5"/>
              <w:ind w:left="23" w:right="-38"/>
              <w:jc w:val="left"/>
              <w:rPr>
                <w:rFonts w:ascii="宋体" w:hAnsi="宋体" w:cs="宋体" w:eastAsia="宋体" w:hint="default"/>
                <w:sz w:val="18"/>
                <w:szCs w:val="18"/>
              </w:rPr>
            </w:pPr>
            <w:r>
              <w:rPr>
                <w:rFonts w:ascii="宋体" w:hAnsi="宋体" w:cs="宋体" w:eastAsia="宋体" w:hint="default"/>
                <w:spacing w:val="-15"/>
                <w:sz w:val="18"/>
                <w:szCs w:val="18"/>
              </w:rPr>
              <w:t>辉、梁云凤、</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王艳辉、张</w:t>
            </w:r>
            <w:r>
              <w:rPr>
                <w:rFonts w:ascii="宋体" w:hAnsi="宋体" w:cs="宋体" w:eastAsia="宋体" w:hint="default"/>
                <w:sz w:val="18"/>
                <w:szCs w:val="18"/>
              </w:rPr>
              <w:t> </w:t>
            </w:r>
            <w:r>
              <w:rPr>
                <w:rFonts w:ascii="宋体" w:hAnsi="宋体" w:cs="宋体" w:eastAsia="宋体" w:hint="default"/>
                <w:spacing w:val="-15"/>
                <w:sz w:val="18"/>
                <w:szCs w:val="18"/>
              </w:rPr>
              <w:t>敏、周生雷、</w:t>
            </w:r>
            <w:r>
              <w:rPr>
                <w:rFonts w:ascii="宋体" w:hAnsi="宋体" w:cs="宋体" w:eastAsia="宋体" w:hint="default"/>
                <w:sz w:val="18"/>
                <w:szCs w:val="18"/>
              </w:rPr>
            </w:r>
          </w:p>
        </w:tc>
        <w:tc>
          <w:tcPr>
            <w:tcW w:w="794" w:type="dxa"/>
            <w:tcBorders>
              <w:top w:val="nil" w:sz="6" w:space="0" w:color="auto"/>
              <w:left w:val="single" w:sz="9" w:space="0" w:color="FFFFFF"/>
              <w:bottom w:val="nil" w:sz="6" w:space="0" w:color="auto"/>
              <w:right w:val="single" w:sz="4" w:space="0" w:color="000000"/>
            </w:tcBorders>
          </w:tcPr>
          <w:p>
            <w:pPr>
              <w:pStyle w:val="TableParagraph"/>
              <w:spacing w:line="316" w:lineRule="auto" w:before="5"/>
              <w:ind w:left="15" w:right="41"/>
              <w:jc w:val="both"/>
              <w:rPr>
                <w:rFonts w:ascii="宋体" w:hAnsi="宋体" w:cs="宋体" w:eastAsia="宋体" w:hint="default"/>
                <w:sz w:val="18"/>
                <w:szCs w:val="18"/>
              </w:rPr>
            </w:pPr>
            <w:r>
              <w:rPr>
                <w:rFonts w:ascii="宋体" w:hAnsi="宋体" w:cs="宋体" w:eastAsia="宋体" w:hint="default"/>
                <w:sz w:val="18"/>
                <w:szCs w:val="18"/>
              </w:rPr>
              <w:t>重组摊薄 即期回报 采取填补</w:t>
            </w: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21" w:right="34"/>
              <w:jc w:val="both"/>
              <w:rPr>
                <w:rFonts w:ascii="宋体" w:hAnsi="宋体" w:cs="宋体" w:eastAsia="宋体" w:hint="default"/>
                <w:sz w:val="18"/>
                <w:szCs w:val="18"/>
              </w:rPr>
            </w:pPr>
            <w:r>
              <w:rPr>
                <w:rFonts w:ascii="宋体" w:hAnsi="宋体" w:cs="宋体" w:eastAsia="宋体" w:hint="default"/>
                <w:sz w:val="18"/>
                <w:szCs w:val="18"/>
              </w:rPr>
              <w:t>深交所等监管机构规定和规则以及公司制度规章关于董事和高级管理人员行为规范的要求，不动用公司资产从事与履行 职责无关的投资、消费活动；</w:t>
            </w:r>
            <w:r>
              <w:rPr>
                <w:rFonts w:ascii="Times New Roman" w:hAnsi="Times New Roman" w:cs="Times New Roman" w:eastAsia="Times New Roman" w:hint="default"/>
                <w:sz w:val="18"/>
                <w:szCs w:val="18"/>
              </w:rPr>
              <w:t>4</w:t>
            </w:r>
            <w:r>
              <w:rPr>
                <w:rFonts w:ascii="宋体" w:hAnsi="宋体" w:cs="宋体" w:eastAsia="宋体" w:hint="default"/>
                <w:sz w:val="18"/>
                <w:szCs w:val="18"/>
              </w:rPr>
              <w:t>、本人承诺将全力支持公司董事会或薪酬与审核委员会在制定及</w:t>
            </w:r>
            <w:r>
              <w:rPr>
                <w:rFonts w:ascii="Times New Roman" w:hAnsi="Times New Roman" w:cs="Times New Roman" w:eastAsia="Times New Roman" w:hint="default"/>
                <w:sz w:val="18"/>
                <w:szCs w:val="18"/>
              </w:rPr>
              <w:t>/</w:t>
            </w:r>
            <w:r>
              <w:rPr>
                <w:rFonts w:ascii="宋体" w:hAnsi="宋体" w:cs="宋体" w:eastAsia="宋体" w:hint="default"/>
                <w:sz w:val="18"/>
                <w:szCs w:val="18"/>
              </w:rPr>
              <w:t>或修订薪酬制度时，将 相关薪酬安排与公司填补回报措施的执行情况相挂钩，并在公司董事会或股东大会审议该薪酬制度议案时投赞成票（如</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5"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4" w:lineRule="auto"/>
              <w:ind w:left="24" w:right="39"/>
              <w:jc w:val="left"/>
              <w:rPr>
                <w:rFonts w:ascii="宋体" w:hAnsi="宋体" w:cs="宋体" w:eastAsia="宋体" w:hint="default"/>
                <w:sz w:val="18"/>
                <w:szCs w:val="18"/>
              </w:rPr>
            </w:pPr>
            <w:r>
              <w:rPr>
                <w:rFonts w:ascii="宋体" w:hAnsi="宋体" w:cs="宋体" w:eastAsia="宋体" w:hint="default"/>
                <w:sz w:val="18"/>
                <w:szCs w:val="18"/>
              </w:rPr>
              <w:t>无承诺期 限</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38"/>
              <w:jc w:val="both"/>
              <w:rPr>
                <w:rFonts w:ascii="宋体" w:hAnsi="宋体" w:cs="宋体" w:eastAsia="宋体" w:hint="default"/>
                <w:sz w:val="18"/>
                <w:szCs w:val="18"/>
              </w:rPr>
            </w:pPr>
            <w:r>
              <w:rPr>
                <w:rFonts w:ascii="宋体" w:hAnsi="宋体" w:cs="宋体" w:eastAsia="宋体" w:hint="default"/>
                <w:sz w:val="18"/>
                <w:szCs w:val="18"/>
              </w:rPr>
              <w:t>内，承诺 人均遵守 了所做的</w:t>
            </w:r>
          </w:p>
        </w:tc>
      </w:tr>
      <w:tr>
        <w:trPr>
          <w:trHeight w:val="317"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9" w:space="0" w:color="FFFFFF"/>
            </w:tcBorders>
          </w:tcPr>
          <w:p>
            <w:pPr>
              <w:pStyle w:val="TableParagraph"/>
              <w:spacing w:line="240" w:lineRule="auto" w:before="10"/>
              <w:ind w:left="23" w:right="-38"/>
              <w:jc w:val="left"/>
              <w:rPr>
                <w:rFonts w:ascii="宋体" w:hAnsi="宋体" w:cs="宋体" w:eastAsia="宋体" w:hint="default"/>
                <w:sz w:val="18"/>
                <w:szCs w:val="18"/>
              </w:rPr>
            </w:pPr>
            <w:r>
              <w:rPr>
                <w:rFonts w:ascii="宋体" w:hAnsi="宋体" w:cs="宋体" w:eastAsia="宋体" w:hint="default"/>
                <w:spacing w:val="-15"/>
                <w:sz w:val="18"/>
                <w:szCs w:val="18"/>
              </w:rPr>
              <w:t>叶飞、黄磊、</w:t>
            </w:r>
            <w:r>
              <w:rPr>
                <w:rFonts w:ascii="宋体" w:hAnsi="宋体" w:cs="宋体" w:eastAsia="宋体" w:hint="default"/>
                <w:sz w:val="18"/>
                <w:szCs w:val="18"/>
              </w:rPr>
            </w:r>
          </w:p>
        </w:tc>
        <w:tc>
          <w:tcPr>
            <w:tcW w:w="794" w:type="dxa"/>
            <w:tcBorders>
              <w:top w:val="nil" w:sz="6" w:space="0" w:color="auto"/>
              <w:left w:val="single" w:sz="9" w:space="0" w:color="FFFFFF"/>
              <w:bottom w:val="nil" w:sz="6" w:space="0" w:color="auto"/>
              <w:right w:val="single" w:sz="4" w:space="0" w:color="000000"/>
            </w:tcBorders>
          </w:tcPr>
          <w:p>
            <w:pPr>
              <w:pStyle w:val="TableParagraph"/>
              <w:spacing w:line="240" w:lineRule="auto" w:before="10"/>
              <w:ind w:left="15" w:right="0"/>
              <w:jc w:val="left"/>
              <w:rPr>
                <w:rFonts w:ascii="宋体" w:hAnsi="宋体" w:cs="宋体" w:eastAsia="宋体" w:hint="default"/>
                <w:sz w:val="18"/>
                <w:szCs w:val="18"/>
              </w:rPr>
            </w:pPr>
            <w:r>
              <w:rPr>
                <w:rFonts w:ascii="宋体" w:hAnsi="宋体" w:cs="宋体" w:eastAsia="宋体" w:hint="default"/>
                <w:sz w:val="18"/>
                <w:szCs w:val="18"/>
              </w:rPr>
              <w:t>措施的承</w:t>
            </w: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有投票</w:t>
            </w:r>
            <w:r>
              <w:rPr>
                <w:rFonts w:ascii="Times New Roman" w:hAnsi="Times New Roman" w:cs="Times New Roman" w:eastAsia="Times New Roman" w:hint="default"/>
                <w:sz w:val="18"/>
                <w:szCs w:val="18"/>
              </w:rPr>
              <w:t>/</w:t>
            </w:r>
            <w:r>
              <w:rPr>
                <w:rFonts w:ascii="宋体" w:hAnsi="宋体" w:cs="宋体" w:eastAsia="宋体" w:hint="default"/>
                <w:sz w:val="18"/>
                <w:szCs w:val="18"/>
              </w:rPr>
              <w:t>表决权</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Times New Roman" w:hAnsi="Times New Roman" w:cs="Times New Roman" w:eastAsia="Times New Roman" w:hint="default"/>
                <w:spacing w:val="1"/>
                <w:sz w:val="18"/>
                <w:szCs w:val="18"/>
              </w:rPr>
              <w:t>5</w:t>
            </w:r>
            <w:r>
              <w:rPr>
                <w:rFonts w:ascii="宋体" w:hAnsi="宋体" w:cs="宋体" w:eastAsia="宋体" w:hint="default"/>
                <w:spacing w:val="-10"/>
                <w:sz w:val="18"/>
                <w:szCs w:val="18"/>
              </w:rPr>
              <w:t>、</w:t>
            </w:r>
            <w:r>
              <w:rPr>
                <w:rFonts w:ascii="宋体" w:hAnsi="宋体" w:cs="宋体" w:eastAsia="宋体" w:hint="default"/>
                <w:sz w:val="18"/>
                <w:szCs w:val="18"/>
              </w:rPr>
              <w:t>本人进一步承诺</w:t>
            </w:r>
            <w:r>
              <w:rPr>
                <w:rFonts w:ascii="宋体" w:hAnsi="宋体" w:cs="宋体" w:eastAsia="宋体" w:hint="default"/>
                <w:spacing w:val="-10"/>
                <w:sz w:val="18"/>
                <w:szCs w:val="18"/>
              </w:rPr>
              <w:t>，</w:t>
            </w:r>
            <w:r>
              <w:rPr>
                <w:rFonts w:ascii="宋体" w:hAnsi="宋体" w:cs="宋体" w:eastAsia="宋体" w:hint="default"/>
                <w:sz w:val="18"/>
                <w:szCs w:val="18"/>
              </w:rPr>
              <w:t>若公司未来实施员工股权激励</w:t>
            </w:r>
            <w:r>
              <w:rPr>
                <w:rFonts w:ascii="宋体" w:hAnsi="宋体" w:cs="宋体" w:eastAsia="宋体" w:hint="default"/>
                <w:spacing w:val="-10"/>
                <w:sz w:val="18"/>
                <w:szCs w:val="18"/>
              </w:rPr>
              <w:t>，</w:t>
            </w:r>
            <w:r>
              <w:rPr>
                <w:rFonts w:ascii="宋体" w:hAnsi="宋体" w:cs="宋体" w:eastAsia="宋体" w:hint="default"/>
                <w:sz w:val="18"/>
                <w:szCs w:val="18"/>
              </w:rPr>
              <w:t>将全力支持公司将该员工股权激励的行权条件等</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w:t>
            </w: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9" w:space="0" w:color="FFFFFF"/>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刘将</w:t>
            </w:r>
          </w:p>
        </w:tc>
        <w:tc>
          <w:tcPr>
            <w:tcW w:w="794" w:type="dxa"/>
            <w:tcBorders>
              <w:top w:val="nil" w:sz="6" w:space="0" w:color="auto"/>
              <w:left w:val="single" w:sz="9" w:space="0" w:color="FFFFFF"/>
              <w:bottom w:val="nil" w:sz="6" w:space="0" w:color="auto"/>
              <w:right w:val="single" w:sz="4" w:space="0" w:color="000000"/>
            </w:tcBorders>
          </w:tcPr>
          <w:p>
            <w:pPr>
              <w:pStyle w:val="TableParagraph"/>
              <w:spacing w:line="240" w:lineRule="auto" w:before="5"/>
              <w:ind w:left="15" w:right="0"/>
              <w:jc w:val="left"/>
              <w:rPr>
                <w:rFonts w:ascii="宋体" w:hAnsi="宋体" w:cs="宋体" w:eastAsia="宋体" w:hint="default"/>
                <w:sz w:val="18"/>
                <w:szCs w:val="18"/>
              </w:rPr>
            </w:pPr>
            <w:r>
              <w:rPr>
                <w:rFonts w:ascii="宋体" w:hAnsi="宋体" w:cs="宋体" w:eastAsia="宋体" w:hint="default"/>
                <w:sz w:val="18"/>
                <w:szCs w:val="18"/>
              </w:rPr>
              <w:t>诺函</w:t>
            </w: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安排与公司填补回报措施的执行情况相挂钩，并在公司董事会或股东大会审议该薪酬制度议案时投赞成票（如有投票</w:t>
            </w:r>
            <w:r>
              <w:rPr>
                <w:rFonts w:ascii="Times New Roman" w:hAnsi="Times New Roman" w:cs="Times New Roman" w:eastAsia="Times New Roman" w:hint="default"/>
                <w:sz w:val="18"/>
                <w:szCs w:val="18"/>
              </w:rPr>
              <w:t>/</w:t>
            </w:r>
          </w:p>
        </w:tc>
        <w:tc>
          <w:tcPr>
            <w:tcW w:w="794" w:type="dxa"/>
            <w:tcBorders>
              <w:top w:val="nil" w:sz="6" w:space="0" w:color="auto"/>
              <w:left w:val="single" w:sz="4" w:space="0" w:color="000000"/>
              <w:bottom w:val="nil" w:sz="6" w:space="0" w:color="auto"/>
              <w:right w:val="single" w:sz="4" w:space="0" w:color="000000"/>
            </w:tcBorders>
          </w:tcPr>
          <w:p>
            <w:pPr/>
          </w:p>
        </w:tc>
        <w:tc>
          <w:tcPr>
            <w:tcW w:w="79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700" w:type="dxa"/>
            <w:vMerge/>
            <w:tcBorders>
              <w:left w:val="single" w:sz="4" w:space="0" w:color="000000"/>
              <w:bottom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94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表决权</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794" w:type="dxa"/>
            <w:tcBorders>
              <w:top w:val="nil" w:sz="6" w:space="0" w:color="auto"/>
              <w:left w:val="single" w:sz="4" w:space="0" w:color="000000"/>
              <w:bottom w:val="single" w:sz="4" w:space="0" w:color="000000"/>
              <w:right w:val="single" w:sz="4" w:space="0" w:color="000000"/>
            </w:tcBorders>
          </w:tcPr>
          <w:p>
            <w:pPr/>
          </w:p>
        </w:tc>
        <w:tc>
          <w:tcPr>
            <w:tcW w:w="795"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r>
      <w:tr>
        <w:trPr>
          <w:trHeight w:val="1961" w:hRule="exact"/>
        </w:trPr>
        <w:tc>
          <w:tcPr>
            <w:tcW w:w="1700" w:type="dxa"/>
            <w:tcBorders>
              <w:top w:val="single" w:sz="4" w:space="0" w:color="000000"/>
              <w:left w:val="single" w:sz="4" w:space="0" w:color="000000"/>
              <w:bottom w:val="nil" w:sz="6" w:space="0" w:color="auto"/>
              <w:right w:val="single" w:sz="4" w:space="0" w:color="000000"/>
            </w:tcBorders>
            <w:shd w:val="clear" w:color="auto" w:fill="D2D2D2"/>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刘强、李杰</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1" w:right="41"/>
              <w:jc w:val="both"/>
              <w:rPr>
                <w:rFonts w:ascii="宋体" w:hAnsi="宋体" w:cs="宋体" w:eastAsia="宋体" w:hint="default"/>
                <w:sz w:val="18"/>
                <w:szCs w:val="18"/>
              </w:rPr>
            </w:pPr>
            <w:r>
              <w:rPr>
                <w:rFonts w:ascii="宋体" w:hAnsi="宋体" w:cs="宋体" w:eastAsia="宋体" w:hint="default"/>
                <w:sz w:val="18"/>
                <w:szCs w:val="18"/>
              </w:rPr>
              <w:t>避免同业 竞争的承 诺</w:t>
            </w:r>
          </w:p>
        </w:tc>
        <w:tc>
          <w:tcPr>
            <w:tcW w:w="942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1" w:right="21"/>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、其本人（包括其控制的全资、控股企业或其他关联企业，下同）未经营与公司现从事的集成电路的设计、开发及产业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化业务相同或类似的业务，与公司不构成同业竞争。而且在公司依法存续期间，承诺不经营前述业务，以避免与公司构 </w:t>
            </w:r>
            <w:r>
              <w:rPr>
                <w:rFonts w:ascii="宋体" w:hAnsi="宋体" w:cs="宋体" w:eastAsia="宋体" w:hint="default"/>
                <w:spacing w:val="-2"/>
                <w:sz w:val="18"/>
                <w:szCs w:val="18"/>
              </w:rPr>
              <w:t>成同业竞争。</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、若因承诺人或公司的业务发展，而导致其经营的业务与公司的业务发生重合而可能构成竞争，其同意由</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1"/>
                <w:sz w:val="18"/>
                <w:szCs w:val="18"/>
              </w:rPr>
              <w:t>公司在同等条件下优先收购该等业务所涉资产或股权，和</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或通过合法途径促使其所控制的全资、控股企业或其他关联企</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
                <w:sz w:val="18"/>
                <w:szCs w:val="18"/>
              </w:rPr>
              <w:t>业向公司转让该等资产或控股权，和</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或通过其他公平、合理的途径对其经营的业务进行调整以避免与公司的业务构成同</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业竞争。</w:t>
            </w:r>
            <w:r>
              <w:rPr>
                <w:rFonts w:ascii="Times New Roman" w:hAnsi="Times New Roman" w:cs="Times New Roman" w:eastAsia="Times New Roman" w:hint="default"/>
                <w:sz w:val="18"/>
                <w:szCs w:val="18"/>
              </w:rPr>
              <w:t>3</w:t>
            </w:r>
            <w:r>
              <w:rPr>
                <w:rFonts w:ascii="宋体" w:hAnsi="宋体" w:cs="宋体" w:eastAsia="宋体" w:hint="default"/>
                <w:sz w:val="18"/>
                <w:szCs w:val="18"/>
              </w:rPr>
              <w:t>、如因其未履行本承诺而给公司造成损失的，其对因此给公司造成的损失予以赔偿。</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39"/>
              <w:jc w:val="both"/>
              <w:rPr>
                <w:rFonts w:ascii="宋体" w:hAnsi="宋体" w:cs="宋体" w:eastAsia="宋体" w:hint="default"/>
                <w:sz w:val="18"/>
                <w:szCs w:val="18"/>
              </w:rPr>
            </w:pPr>
            <w:r>
              <w:rPr>
                <w:rFonts w:ascii="宋体" w:hAnsi="宋体" w:cs="宋体" w:eastAsia="宋体" w:hint="default"/>
                <w:sz w:val="18"/>
                <w:szCs w:val="18"/>
              </w:rPr>
              <w:t>此承诺期 限为长期 有效</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38"/>
              <w:jc w:val="left"/>
              <w:rPr>
                <w:rFonts w:ascii="宋体" w:hAnsi="宋体" w:cs="宋体" w:eastAsia="宋体" w:hint="default"/>
                <w:sz w:val="18"/>
                <w:szCs w:val="18"/>
              </w:rPr>
            </w:pPr>
            <w:r>
              <w:rPr>
                <w:rFonts w:ascii="宋体" w:hAnsi="宋体" w:cs="宋体" w:eastAsia="宋体" w:hint="default"/>
                <w:sz w:val="18"/>
                <w:szCs w:val="18"/>
              </w:rPr>
              <w:t>报告期 内，承诺 人均遵守 了所做的 承诺。</w:t>
            </w:r>
          </w:p>
        </w:tc>
      </w:tr>
      <w:tr>
        <w:trPr>
          <w:trHeight w:val="357" w:hRule="exact"/>
        </w:trPr>
        <w:tc>
          <w:tcPr>
            <w:tcW w:w="1700" w:type="dxa"/>
            <w:tcBorders>
              <w:top w:val="nil" w:sz="6" w:space="0" w:color="auto"/>
              <w:left w:val="single" w:sz="4" w:space="0" w:color="000000"/>
              <w:bottom w:val="nil" w:sz="6" w:space="0" w:color="auto"/>
              <w:right w:val="single" w:sz="4" w:space="0" w:color="000000"/>
            </w:tcBorders>
            <w:shd w:val="clear" w:color="auto" w:fill="D2D2D2"/>
          </w:tcPr>
          <w:p>
            <w:pPr/>
          </w:p>
        </w:tc>
        <w:tc>
          <w:tcPr>
            <w:tcW w:w="998" w:type="dxa"/>
            <w:tcBorders>
              <w:top w:val="single" w:sz="4" w:space="0" w:color="000000"/>
              <w:left w:val="single" w:sz="4" w:space="0" w:color="000000"/>
              <w:bottom w:val="nil" w:sz="6" w:space="0" w:color="auto"/>
              <w:right w:val="single" w:sz="4" w:space="0" w:color="000000"/>
            </w:tcBorders>
          </w:tcPr>
          <w:p>
            <w:pPr/>
          </w:p>
        </w:tc>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对君正时</w:t>
            </w:r>
          </w:p>
        </w:tc>
        <w:tc>
          <w:tcPr>
            <w:tcW w:w="9429" w:type="dxa"/>
            <w:tcBorders>
              <w:top w:val="single" w:sz="4" w:space="0" w:color="000000"/>
              <w:left w:val="single" w:sz="4" w:space="0" w:color="000000"/>
              <w:bottom w:val="nil" w:sz="6" w:space="0" w:color="auto"/>
              <w:right w:val="single" w:sz="4" w:space="0" w:color="000000"/>
            </w:tcBorders>
          </w:tcPr>
          <w:p>
            <w:pPr/>
          </w:p>
        </w:tc>
        <w:tc>
          <w:tcPr>
            <w:tcW w:w="794" w:type="dxa"/>
            <w:tcBorders>
              <w:top w:val="single" w:sz="4" w:space="0" w:color="000000"/>
              <w:left w:val="single" w:sz="4" w:space="0" w:color="000000"/>
              <w:bottom w:val="nil" w:sz="6" w:space="0" w:color="auto"/>
              <w:right w:val="single" w:sz="4" w:space="0" w:color="000000"/>
            </w:tcBorders>
          </w:tcPr>
          <w:p>
            <w:pPr/>
          </w:p>
        </w:tc>
        <w:tc>
          <w:tcPr>
            <w:tcW w:w="795" w:type="dxa"/>
            <w:tcBorders>
              <w:top w:val="single" w:sz="4" w:space="0" w:color="000000"/>
              <w:left w:val="single" w:sz="4" w:space="0" w:color="000000"/>
              <w:bottom w:val="nil" w:sz="6" w:space="0" w:color="auto"/>
              <w:right w:val="single" w:sz="4" w:space="0" w:color="000000"/>
            </w:tcBorders>
          </w:tcPr>
          <w:p>
            <w:pPr/>
          </w:p>
        </w:tc>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w:t>
            </w:r>
          </w:p>
        </w:tc>
      </w:tr>
      <w:tr>
        <w:trPr>
          <w:trHeight w:val="317" w:hRule="exact"/>
        </w:trPr>
        <w:tc>
          <w:tcPr>
            <w:tcW w:w="17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首次公开发行或再融</w:t>
            </w: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1" w:right="0"/>
              <w:jc w:val="left"/>
              <w:rPr>
                <w:rFonts w:ascii="宋体" w:hAnsi="宋体" w:cs="宋体" w:eastAsia="宋体" w:hint="default"/>
                <w:sz w:val="18"/>
                <w:szCs w:val="18"/>
              </w:rPr>
            </w:pPr>
            <w:r>
              <w:rPr>
                <w:rFonts w:ascii="宋体" w:hAnsi="宋体" w:cs="宋体" w:eastAsia="宋体" w:hint="default"/>
                <w:sz w:val="18"/>
                <w:szCs w:val="18"/>
              </w:rPr>
              <w:t>代补缴住</w:t>
            </w: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君正时代成立初期未为非深圳户籍员工缴交住房公积金。为此，公司实际控制人刘强、李杰承诺：如主管部门要求君正</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70"/>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此承诺期</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内，承诺</w:t>
            </w:r>
          </w:p>
        </w:tc>
      </w:tr>
      <w:tr>
        <w:trPr>
          <w:trHeight w:val="311" w:hRule="exact"/>
        </w:trPr>
        <w:tc>
          <w:tcPr>
            <w:tcW w:w="17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
              <w:ind w:left="21" w:right="0"/>
              <w:jc w:val="left"/>
              <w:rPr>
                <w:rFonts w:ascii="宋体" w:hAnsi="宋体" w:cs="宋体" w:eastAsia="宋体" w:hint="default"/>
                <w:sz w:val="18"/>
                <w:szCs w:val="18"/>
              </w:rPr>
            </w:pPr>
            <w:r>
              <w:rPr>
                <w:rFonts w:ascii="宋体" w:hAnsi="宋体" w:cs="宋体" w:eastAsia="宋体" w:hint="default"/>
                <w:sz w:val="18"/>
                <w:szCs w:val="18"/>
              </w:rPr>
              <w:t>资时所作承诺</w:t>
            </w:r>
          </w:p>
        </w:tc>
        <w:tc>
          <w:tcPr>
            <w:tcW w:w="9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刘强、李杰</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1" w:right="0"/>
              <w:jc w:val="left"/>
              <w:rPr>
                <w:rFonts w:ascii="宋体" w:hAnsi="宋体" w:cs="宋体" w:eastAsia="宋体" w:hint="default"/>
                <w:sz w:val="18"/>
                <w:szCs w:val="18"/>
              </w:rPr>
            </w:pPr>
            <w:r>
              <w:rPr>
                <w:rFonts w:ascii="宋体" w:hAnsi="宋体" w:cs="宋体" w:eastAsia="宋体" w:hint="default"/>
                <w:sz w:val="18"/>
                <w:szCs w:val="18"/>
              </w:rPr>
              <w:t>房公积金</w:t>
            </w: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1" w:right="0"/>
              <w:jc w:val="left"/>
              <w:rPr>
                <w:rFonts w:ascii="宋体" w:hAnsi="宋体" w:cs="宋体" w:eastAsia="宋体" w:hint="default"/>
                <w:sz w:val="18"/>
                <w:szCs w:val="18"/>
              </w:rPr>
            </w:pPr>
            <w:r>
              <w:rPr>
                <w:rFonts w:ascii="宋体" w:hAnsi="宋体" w:cs="宋体" w:eastAsia="宋体" w:hint="default"/>
                <w:sz w:val="18"/>
                <w:szCs w:val="18"/>
              </w:rPr>
              <w:t>时代为上述员工补缴住房公积金或因该事项致使君正时代遭受任何经济损失，刘强、李杰将承担有关的费用，并及时、</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2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tc>
        <w:tc>
          <w:tcPr>
            <w:tcW w:w="79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限为长期</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人均遵守</w:t>
            </w:r>
          </w:p>
        </w:tc>
      </w:tr>
      <w:tr>
        <w:trPr>
          <w:trHeight w:val="307" w:hRule="exact"/>
        </w:trPr>
        <w:tc>
          <w:tcPr>
            <w:tcW w:w="1700" w:type="dxa"/>
            <w:tcBorders>
              <w:top w:val="nil" w:sz="6" w:space="0" w:color="auto"/>
              <w:left w:val="single" w:sz="4" w:space="0" w:color="000000"/>
              <w:bottom w:val="nil" w:sz="6" w:space="0" w:color="auto"/>
              <w:right w:val="single" w:sz="4" w:space="0" w:color="000000"/>
            </w:tcBorders>
            <w:shd w:val="clear" w:color="auto" w:fill="D2D2D2"/>
          </w:tcPr>
          <w:p>
            <w:pPr/>
          </w:p>
        </w:tc>
        <w:tc>
          <w:tcPr>
            <w:tcW w:w="998"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风险的承</w:t>
            </w: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足额将有关费用支付给君正时代。</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有效</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了所做的</w:t>
            </w:r>
          </w:p>
        </w:tc>
      </w:tr>
      <w:tr>
        <w:trPr>
          <w:trHeight w:val="360" w:hRule="exact"/>
        </w:trPr>
        <w:tc>
          <w:tcPr>
            <w:tcW w:w="1700" w:type="dxa"/>
            <w:tcBorders>
              <w:top w:val="nil" w:sz="6" w:space="0" w:color="auto"/>
              <w:left w:val="single" w:sz="4" w:space="0" w:color="000000"/>
              <w:bottom w:val="nil" w:sz="6" w:space="0" w:color="auto"/>
              <w:right w:val="single" w:sz="4" w:space="0" w:color="000000"/>
            </w:tcBorders>
            <w:shd w:val="clear" w:color="auto" w:fill="D2D2D2"/>
          </w:tcPr>
          <w:p>
            <w:pPr/>
          </w:p>
        </w:tc>
        <w:tc>
          <w:tcPr>
            <w:tcW w:w="998"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诺</w:t>
            </w:r>
          </w:p>
        </w:tc>
        <w:tc>
          <w:tcPr>
            <w:tcW w:w="9429"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795"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w:t>
            </w:r>
          </w:p>
        </w:tc>
      </w:tr>
      <w:tr>
        <w:trPr>
          <w:trHeight w:val="1652" w:hRule="exact"/>
        </w:trPr>
        <w:tc>
          <w:tcPr>
            <w:tcW w:w="1700" w:type="dxa"/>
            <w:tcBorders>
              <w:top w:val="nil" w:sz="6" w:space="0" w:color="auto"/>
              <w:left w:val="single" w:sz="4" w:space="0" w:color="000000"/>
              <w:bottom w:val="single" w:sz="4" w:space="0" w:color="000000"/>
              <w:right w:val="single" w:sz="4" w:space="0" w:color="000000"/>
            </w:tcBorders>
            <w:shd w:val="clear" w:color="auto" w:fill="D2D2D2"/>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62"/>
              <w:jc w:val="left"/>
              <w:rPr>
                <w:rFonts w:ascii="宋体" w:hAnsi="宋体" w:cs="宋体" w:eastAsia="宋体" w:hint="default"/>
                <w:sz w:val="18"/>
                <w:szCs w:val="18"/>
              </w:rPr>
            </w:pPr>
            <w:r>
              <w:rPr>
                <w:rFonts w:ascii="宋体" w:hAnsi="宋体" w:cs="宋体" w:eastAsia="宋体" w:hint="default"/>
                <w:sz w:val="18"/>
                <w:szCs w:val="18"/>
              </w:rPr>
              <w:t>刘强、 张紧、冼永 </w:t>
            </w:r>
            <w:r>
              <w:rPr>
                <w:rFonts w:ascii="宋体" w:hAnsi="宋体" w:cs="宋体" w:eastAsia="宋体" w:hint="default"/>
                <w:spacing w:val="-10"/>
                <w:sz w:val="18"/>
                <w:szCs w:val="18"/>
              </w:rPr>
              <w:t>辉、许志鹏</w:t>
            </w:r>
            <w:r>
              <w:rPr>
                <w:rFonts w:ascii="宋体" w:hAnsi="宋体" w:cs="宋体" w:eastAsia="宋体" w:hint="default"/>
                <w:sz w:val="18"/>
                <w:szCs w:val="18"/>
              </w:rPr>
              <w:t> 张敏、张燕 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196" w:lineRule="exact"/>
              <w:ind w:left="21" w:right="0"/>
              <w:jc w:val="left"/>
              <w:rPr>
                <w:rFonts w:ascii="宋体" w:hAnsi="宋体" w:cs="宋体" w:eastAsia="宋体" w:hint="default"/>
                <w:sz w:val="18"/>
                <w:szCs w:val="18"/>
              </w:rPr>
            </w:pPr>
            <w:r>
              <w:rPr>
                <w:rFonts w:ascii="宋体" w:hAnsi="宋体" w:cs="宋体" w:eastAsia="宋体" w:hint="default"/>
                <w:sz w:val="18"/>
                <w:szCs w:val="18"/>
              </w:rPr>
              <w:t>股份限售</w:t>
            </w:r>
          </w:p>
          <w:p>
            <w:pPr>
              <w:pStyle w:val="TableParagraph"/>
              <w:spacing w:line="15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1"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9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7" w:lineRule="auto"/>
              <w:ind w:left="21" w:right="20"/>
              <w:jc w:val="both"/>
              <w:rPr>
                <w:rFonts w:ascii="宋体" w:hAnsi="宋体" w:cs="宋体" w:eastAsia="宋体" w:hint="default"/>
                <w:sz w:val="18"/>
                <w:szCs w:val="18"/>
              </w:rPr>
            </w:pPr>
            <w:r>
              <w:rPr>
                <w:rFonts w:ascii="宋体" w:hAnsi="宋体" w:cs="宋体" w:eastAsia="宋体" w:hint="default"/>
                <w:sz w:val="18"/>
                <w:szCs w:val="18"/>
              </w:rPr>
              <w:t>在其所承诺限售期满后，每年转让的股份不得超过其所持公司股份总数的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；所持公司股份不超过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股的，可一 次全部转让，不受前述转让比例的限制。在其本人及其关联方担任公司董事、监事、高级管理人员期间每年转让的股份 不超过其直接和间接持有的公司股份总数的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；离职后半年内，不转让其直接和间接持有的公司股份；离职半年后的 十二个月内通过证券交易所挂牌交易出售公司股份数量占其直接和间接持有的公司股份总数的比例不超过</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39"/>
              <w:jc w:val="both"/>
              <w:rPr>
                <w:rFonts w:ascii="宋体" w:hAnsi="宋体" w:cs="宋体" w:eastAsia="宋体" w:hint="default"/>
                <w:sz w:val="18"/>
                <w:szCs w:val="18"/>
              </w:rPr>
            </w:pPr>
            <w:r>
              <w:rPr>
                <w:rFonts w:ascii="宋体" w:hAnsi="宋体" w:cs="宋体" w:eastAsia="宋体" w:hint="default"/>
                <w:sz w:val="18"/>
                <w:szCs w:val="18"/>
              </w:rPr>
              <w:t>此承诺期 限为直至 所持股份 全部解锁</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38"/>
              <w:jc w:val="left"/>
              <w:rPr>
                <w:rFonts w:ascii="宋体" w:hAnsi="宋体" w:cs="宋体" w:eastAsia="宋体" w:hint="default"/>
                <w:sz w:val="18"/>
                <w:szCs w:val="18"/>
              </w:rPr>
            </w:pPr>
            <w:r>
              <w:rPr>
                <w:rFonts w:ascii="宋体" w:hAnsi="宋体" w:cs="宋体" w:eastAsia="宋体" w:hint="default"/>
                <w:sz w:val="18"/>
                <w:szCs w:val="18"/>
              </w:rPr>
              <w:t>报告期 内，承诺 人均遵守 了所做的 承诺。</w:t>
            </w:r>
          </w:p>
        </w:tc>
      </w:tr>
    </w:tbl>
    <w:p>
      <w:pPr>
        <w:spacing w:after="0" w:line="319" w:lineRule="auto"/>
        <w:jc w:val="left"/>
        <w:rPr>
          <w:rFonts w:ascii="宋体" w:hAnsi="宋体" w:cs="宋体" w:eastAsia="宋体" w:hint="default"/>
          <w:sz w:val="18"/>
          <w:szCs w:val="18"/>
        </w:rPr>
        <w:sectPr>
          <w:pgSz w:w="16840" w:h="11910" w:orient="landscape"/>
          <w:pgMar w:header="867" w:footer="980" w:top="1060" w:bottom="1160" w:left="660" w:right="640"/>
        </w:sectPr>
      </w:pPr>
    </w:p>
    <w:p>
      <w:pPr>
        <w:spacing w:line="240" w:lineRule="auto" w:before="2"/>
        <w:rPr>
          <w:rFonts w:ascii="Times New Roman" w:hAnsi="Times New Roman" w:cs="Times New Roman" w:eastAsia="Times New Roman" w:hint="default"/>
          <w:sz w:val="3"/>
          <w:szCs w:val="3"/>
        </w:rPr>
      </w:pPr>
      <w:r>
        <w:rPr/>
        <w:pict>
          <v:group style="position:absolute;margin-left:174.619995pt;margin-top:80.660004pt;width:37pt;height:17.55pt;mso-position-horizontal-relative:page;mso-position-vertical-relative:page;z-index:-1612024" coordorigin="3492,1613" coordsize="740,351">
            <v:shape style="position:absolute;left:3492;top:1613;width:740;height:351" coordorigin="3492,1613" coordsize="740,351" path="m3492,1964l4232,1964,4232,1613,3492,1613,3492,1964xe" filled="true" fillcolor="#ffffff" stroked="false">
              <v:path arrowok="t"/>
              <v:fill type="solid"/>
            </v:shape>
            <w10:wrap type="none"/>
          </v:group>
        </w:pict>
      </w:r>
    </w:p>
    <w:tbl>
      <w:tblPr>
        <w:tblW w:w="0" w:type="auto"/>
        <w:jc w:val="left"/>
        <w:tblInd w:w="103" w:type="dxa"/>
        <w:tblLayout w:type="fixed"/>
        <w:tblCellMar>
          <w:top w:w="0" w:type="dxa"/>
          <w:left w:w="0" w:type="dxa"/>
          <w:bottom w:w="0" w:type="dxa"/>
          <w:right w:w="0" w:type="dxa"/>
        </w:tblCellMar>
        <w:tblLook w:val="01E0"/>
      </w:tblPr>
      <w:tblGrid>
        <w:gridCol w:w="1700"/>
        <w:gridCol w:w="998"/>
        <w:gridCol w:w="794"/>
        <w:gridCol w:w="9429"/>
        <w:gridCol w:w="794"/>
        <w:gridCol w:w="795"/>
        <w:gridCol w:w="794"/>
      </w:tblGrid>
      <w:tr>
        <w:trPr>
          <w:trHeight w:val="1666" w:hRule="exact"/>
        </w:trPr>
        <w:tc>
          <w:tcPr>
            <w:tcW w:w="1700"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998" w:type="dxa"/>
            <w:tcBorders>
              <w:top w:val="single" w:sz="15" w:space="0" w:color="000000"/>
              <w:left w:val="single" w:sz="4" w:space="0" w:color="000000"/>
              <w:bottom w:val="single" w:sz="4" w:space="0" w:color="000000"/>
              <w:right w:val="single" w:sz="9" w:space="0" w:color="FFFFFF"/>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38"/>
              <w:jc w:val="left"/>
              <w:rPr>
                <w:rFonts w:ascii="宋体" w:hAnsi="宋体" w:cs="宋体" w:eastAsia="宋体" w:hint="default"/>
                <w:sz w:val="18"/>
                <w:szCs w:val="18"/>
              </w:rPr>
            </w:pPr>
            <w:r>
              <w:rPr>
                <w:rFonts w:ascii="宋体" w:hAnsi="宋体" w:cs="宋体" w:eastAsia="宋体" w:hint="default"/>
                <w:sz w:val="18"/>
                <w:szCs w:val="18"/>
              </w:rPr>
              <w:t>鹿良礼、赵 </w:t>
            </w:r>
            <w:r>
              <w:rPr>
                <w:rFonts w:ascii="宋体" w:hAnsi="宋体" w:cs="宋体" w:eastAsia="宋体" w:hint="default"/>
                <w:spacing w:val="-15"/>
                <w:sz w:val="18"/>
                <w:szCs w:val="18"/>
              </w:rPr>
              <w:t>明漪、姜君、</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晏晓京、刘</w:t>
            </w:r>
            <w:r>
              <w:rPr>
                <w:rFonts w:ascii="宋体" w:hAnsi="宋体" w:cs="宋体" w:eastAsia="宋体" w:hint="default"/>
                <w:sz w:val="18"/>
                <w:szCs w:val="18"/>
              </w:rPr>
              <w:t> 飞</w:t>
            </w:r>
          </w:p>
        </w:tc>
        <w:tc>
          <w:tcPr>
            <w:tcW w:w="794" w:type="dxa"/>
            <w:tcBorders>
              <w:top w:val="single" w:sz="15"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6"/>
              <w:ind w:left="15" w:right="41"/>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942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97" w:lineRule="auto" w:before="106"/>
              <w:ind w:left="21" w:right="62"/>
              <w:jc w:val="left"/>
              <w:rPr>
                <w:rFonts w:ascii="宋体" w:hAnsi="宋体" w:cs="宋体" w:eastAsia="宋体" w:hint="default"/>
                <w:sz w:val="18"/>
                <w:szCs w:val="18"/>
              </w:rPr>
            </w:pPr>
            <w:r>
              <w:rPr>
                <w:rFonts w:ascii="宋体" w:hAnsi="宋体" w:cs="宋体" w:eastAsia="宋体" w:hint="default"/>
                <w:sz w:val="18"/>
                <w:szCs w:val="18"/>
              </w:rPr>
              <w:t>在其所承诺限售期满后，每年转让的股份不得超过其所持公司股份总数的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；所持公司股份不超过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股的，可一 次全部转让，不受前述转让比例的限制。</w:t>
            </w:r>
          </w:p>
        </w:tc>
        <w:tc>
          <w:tcPr>
            <w:tcW w:w="7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39"/>
              <w:jc w:val="both"/>
              <w:rPr>
                <w:rFonts w:ascii="宋体" w:hAnsi="宋体" w:cs="宋体" w:eastAsia="宋体" w:hint="default"/>
                <w:sz w:val="18"/>
                <w:szCs w:val="18"/>
              </w:rPr>
            </w:pPr>
            <w:r>
              <w:rPr>
                <w:rFonts w:ascii="宋体" w:hAnsi="宋体" w:cs="宋体" w:eastAsia="宋体" w:hint="default"/>
                <w:sz w:val="18"/>
                <w:szCs w:val="18"/>
              </w:rPr>
              <w:t>此承诺期 限为直至 所持股份 全部解锁</w:t>
            </w:r>
          </w:p>
        </w:tc>
        <w:tc>
          <w:tcPr>
            <w:tcW w:w="794" w:type="dxa"/>
            <w:tcBorders>
              <w:top w:val="single" w:sz="6" w:space="0" w:color="000000"/>
              <w:left w:val="single" w:sz="4" w:space="0" w:color="000000"/>
              <w:bottom w:val="single" w:sz="4" w:space="0" w:color="000000"/>
              <w:right w:val="single" w:sz="4" w:space="0" w:color="000000"/>
            </w:tcBorders>
          </w:tcPr>
          <w:p>
            <w:pPr>
              <w:pStyle w:val="TableParagraph"/>
              <w:spacing w:line="316" w:lineRule="auto" w:before="63"/>
              <w:ind w:left="23" w:right="38"/>
              <w:jc w:val="left"/>
              <w:rPr>
                <w:rFonts w:ascii="宋体" w:hAnsi="宋体" w:cs="宋体" w:eastAsia="宋体" w:hint="default"/>
                <w:sz w:val="18"/>
                <w:szCs w:val="18"/>
              </w:rPr>
            </w:pPr>
            <w:r>
              <w:rPr>
                <w:rFonts w:ascii="宋体" w:hAnsi="宋体" w:cs="宋体" w:eastAsia="宋体" w:hint="default"/>
                <w:sz w:val="18"/>
                <w:szCs w:val="18"/>
              </w:rPr>
              <w:t>报告期 内，承诺 人均遵守 了所做的 承诺。</w:t>
            </w:r>
          </w:p>
        </w:tc>
      </w:tr>
      <w:tr>
        <w:trPr>
          <w:trHeight w:val="355" w:hRule="exact"/>
        </w:trPr>
        <w:tc>
          <w:tcPr>
            <w:tcW w:w="1700" w:type="dxa"/>
            <w:tcBorders>
              <w:top w:val="single" w:sz="4" w:space="0" w:color="000000"/>
              <w:left w:val="single" w:sz="4" w:space="0" w:color="000000"/>
              <w:bottom w:val="nil" w:sz="6" w:space="0" w:color="auto"/>
              <w:right w:val="single" w:sz="4" w:space="0" w:color="000000"/>
            </w:tcBorders>
            <w:shd w:val="clear" w:color="auto" w:fill="D2D2D2"/>
          </w:tcPr>
          <w:p>
            <w:pPr/>
          </w:p>
        </w:tc>
        <w:tc>
          <w:tcPr>
            <w:tcW w:w="998" w:type="dxa"/>
            <w:tcBorders>
              <w:top w:val="single" w:sz="4" w:space="0" w:color="000000"/>
              <w:left w:val="single" w:sz="4" w:space="0" w:color="000000"/>
              <w:bottom w:val="nil" w:sz="6" w:space="0" w:color="auto"/>
              <w:right w:val="single" w:sz="4" w:space="0" w:color="000000"/>
            </w:tcBorders>
          </w:tcPr>
          <w:p>
            <w:pPr/>
          </w:p>
        </w:tc>
        <w:tc>
          <w:tcPr>
            <w:tcW w:w="794" w:type="dxa"/>
            <w:tcBorders>
              <w:top w:val="single" w:sz="4" w:space="0" w:color="000000"/>
              <w:left w:val="single" w:sz="4" w:space="0" w:color="000000"/>
              <w:bottom w:val="nil" w:sz="6" w:space="0" w:color="auto"/>
              <w:right w:val="single" w:sz="4" w:space="0" w:color="000000"/>
            </w:tcBorders>
          </w:tcPr>
          <w:p>
            <w:pPr/>
          </w:p>
        </w:tc>
        <w:tc>
          <w:tcPr>
            <w:tcW w:w="9429" w:type="dxa"/>
            <w:tcBorders>
              <w:top w:val="single" w:sz="4" w:space="0" w:color="000000"/>
              <w:left w:val="single" w:sz="4" w:space="0" w:color="000000"/>
              <w:bottom w:val="nil" w:sz="6" w:space="0" w:color="auto"/>
              <w:right w:val="single" w:sz="4" w:space="0" w:color="000000"/>
            </w:tcBorders>
          </w:tcPr>
          <w:p>
            <w:pPr/>
          </w:p>
        </w:tc>
        <w:tc>
          <w:tcPr>
            <w:tcW w:w="794" w:type="dxa"/>
            <w:tcBorders>
              <w:top w:val="single" w:sz="4" w:space="0" w:color="000000"/>
              <w:left w:val="single" w:sz="4" w:space="0" w:color="000000"/>
              <w:bottom w:val="nil" w:sz="6" w:space="0" w:color="auto"/>
              <w:right w:val="single" w:sz="4" w:space="0" w:color="000000"/>
            </w:tcBorders>
          </w:tcPr>
          <w:p>
            <w:pPr/>
          </w:p>
        </w:tc>
        <w:tc>
          <w:tcPr>
            <w:tcW w:w="795" w:type="dxa"/>
            <w:tcBorders>
              <w:top w:val="single" w:sz="4" w:space="0" w:color="000000"/>
              <w:left w:val="single" w:sz="4" w:space="0" w:color="000000"/>
              <w:bottom w:val="nil" w:sz="6" w:space="0" w:color="auto"/>
              <w:right w:val="single" w:sz="4" w:space="0" w:color="000000"/>
            </w:tcBorders>
          </w:tcPr>
          <w:p>
            <w:pPr/>
          </w:p>
        </w:tc>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w:t>
            </w:r>
          </w:p>
        </w:tc>
      </w:tr>
      <w:tr>
        <w:trPr>
          <w:trHeight w:val="937" w:hRule="exact"/>
        </w:trPr>
        <w:tc>
          <w:tcPr>
            <w:tcW w:w="17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1"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9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94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00" w:lineRule="auto"/>
              <w:ind w:left="21"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、公司承诺持股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以上的主要股东或实际控制人及其配偶、直系近亲属未参与本计划。</w:t>
            </w:r>
            <w:r>
              <w:rPr>
                <w:rFonts w:ascii="Times New Roman" w:hAnsi="Times New Roman" w:cs="Times New Roman" w:eastAsia="Times New Roman" w:hint="default"/>
                <w:sz w:val="18"/>
                <w:szCs w:val="18"/>
              </w:rPr>
              <w:t>2</w:t>
            </w:r>
            <w:r>
              <w:rPr>
                <w:rFonts w:ascii="宋体" w:hAnsi="宋体" w:cs="宋体" w:eastAsia="宋体" w:hint="default"/>
                <w:sz w:val="18"/>
                <w:szCs w:val="18"/>
              </w:rPr>
              <w:t>、公司承诺不为激励对象依 本计划获取有关股票期权提供贷款以及其他任何形式的财务资助，包括为其贷款提供担保。</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5"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4" w:right="39"/>
              <w:jc w:val="both"/>
              <w:rPr>
                <w:rFonts w:ascii="宋体" w:hAnsi="宋体" w:cs="宋体" w:eastAsia="宋体" w:hint="default"/>
                <w:sz w:val="18"/>
                <w:szCs w:val="18"/>
              </w:rPr>
            </w:pPr>
            <w:r>
              <w:rPr>
                <w:rFonts w:ascii="宋体" w:hAnsi="宋体" w:cs="宋体" w:eastAsia="宋体" w:hint="default"/>
                <w:sz w:val="18"/>
                <w:szCs w:val="18"/>
              </w:rPr>
              <w:t>至本次股 权激励结 束</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3" w:right="38"/>
              <w:jc w:val="both"/>
              <w:rPr>
                <w:rFonts w:ascii="宋体" w:hAnsi="宋体" w:cs="宋体" w:eastAsia="宋体" w:hint="default"/>
                <w:sz w:val="18"/>
                <w:szCs w:val="18"/>
              </w:rPr>
            </w:pPr>
            <w:r>
              <w:rPr>
                <w:rFonts w:ascii="宋体" w:hAnsi="宋体" w:cs="宋体" w:eastAsia="宋体" w:hint="default"/>
                <w:sz w:val="18"/>
                <w:szCs w:val="18"/>
              </w:rPr>
              <w:t>内，承诺 人遵守了 所做的承</w:t>
            </w:r>
          </w:p>
        </w:tc>
      </w:tr>
      <w:tr>
        <w:trPr>
          <w:trHeight w:val="357" w:hRule="exact"/>
        </w:trPr>
        <w:tc>
          <w:tcPr>
            <w:tcW w:w="1700" w:type="dxa"/>
            <w:tcBorders>
              <w:top w:val="nil" w:sz="6" w:space="0" w:color="auto"/>
              <w:left w:val="single" w:sz="4" w:space="0" w:color="000000"/>
              <w:bottom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9429"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795"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w:t>
            </w:r>
          </w:p>
        </w:tc>
      </w:tr>
      <w:tr>
        <w:trPr>
          <w:trHeight w:val="715"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1" w:right="46"/>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998"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942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360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7" w:hRule="exact"/>
        </w:trPr>
        <w:tc>
          <w:tcPr>
            <w:tcW w:w="170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如承诺超期未履行完</w:t>
            </w:r>
          </w:p>
        </w:tc>
        <w:tc>
          <w:tcPr>
            <w:tcW w:w="13605" w:type="dxa"/>
            <w:gridSpan w:val="6"/>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7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21" w:right="0"/>
              <w:jc w:val="left"/>
              <w:rPr>
                <w:rFonts w:ascii="宋体" w:hAnsi="宋体" w:cs="宋体" w:eastAsia="宋体" w:hint="default"/>
                <w:sz w:val="18"/>
                <w:szCs w:val="18"/>
              </w:rPr>
            </w:pPr>
            <w:r>
              <w:rPr>
                <w:rFonts w:ascii="宋体" w:hAnsi="宋体" w:cs="宋体" w:eastAsia="宋体" w:hint="default"/>
                <w:sz w:val="18"/>
                <w:szCs w:val="18"/>
              </w:rPr>
              <w:t>毕的，应当详细说明</w:t>
            </w:r>
          </w:p>
        </w:tc>
        <w:tc>
          <w:tcPr>
            <w:tcW w:w="13605" w:type="dxa"/>
            <w:gridSpan w:val="6"/>
            <w:tcBorders>
              <w:top w:val="nil" w:sz="6" w:space="0" w:color="auto"/>
              <w:left w:val="single" w:sz="4" w:space="0" w:color="000000"/>
              <w:bottom w:val="nil" w:sz="6" w:space="0" w:color="auto"/>
              <w:right w:val="single" w:sz="4" w:space="0" w:color="000000"/>
            </w:tcBorders>
          </w:tcPr>
          <w:p>
            <w:pPr/>
          </w:p>
        </w:tc>
      </w:tr>
      <w:tr>
        <w:trPr>
          <w:trHeight w:val="313" w:hRule="exact"/>
        </w:trPr>
        <w:tc>
          <w:tcPr>
            <w:tcW w:w="17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未完成履行的具体原</w:t>
            </w:r>
          </w:p>
        </w:tc>
        <w:tc>
          <w:tcPr>
            <w:tcW w:w="13605"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1" w:hRule="exact"/>
        </w:trPr>
        <w:tc>
          <w:tcPr>
            <w:tcW w:w="17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21" w:right="0"/>
              <w:jc w:val="left"/>
              <w:rPr>
                <w:rFonts w:ascii="宋体" w:hAnsi="宋体" w:cs="宋体" w:eastAsia="宋体" w:hint="default"/>
                <w:sz w:val="18"/>
                <w:szCs w:val="18"/>
              </w:rPr>
            </w:pPr>
            <w:r>
              <w:rPr>
                <w:rFonts w:ascii="宋体" w:hAnsi="宋体" w:cs="宋体" w:eastAsia="宋体" w:hint="default"/>
                <w:sz w:val="18"/>
                <w:szCs w:val="18"/>
              </w:rPr>
              <w:t>因及下一步的工作计</w:t>
            </w:r>
          </w:p>
        </w:tc>
        <w:tc>
          <w:tcPr>
            <w:tcW w:w="13605" w:type="dxa"/>
            <w:gridSpan w:val="6"/>
            <w:tcBorders>
              <w:top w:val="nil" w:sz="6" w:space="0" w:color="auto"/>
              <w:left w:val="single" w:sz="4" w:space="0" w:color="000000"/>
              <w:bottom w:val="nil" w:sz="6" w:space="0" w:color="auto"/>
              <w:right w:val="single" w:sz="4" w:space="0" w:color="000000"/>
            </w:tcBorders>
          </w:tcPr>
          <w:p>
            <w:pPr/>
          </w:p>
        </w:tc>
      </w:tr>
      <w:tr>
        <w:trPr>
          <w:trHeight w:val="360" w:hRule="exact"/>
        </w:trPr>
        <w:tc>
          <w:tcPr>
            <w:tcW w:w="170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划</w:t>
            </w:r>
          </w:p>
        </w:tc>
        <w:tc>
          <w:tcPr>
            <w:tcW w:w="13605" w:type="dxa"/>
            <w:gridSpan w:val="6"/>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660" w:right="640"/>
        </w:sectPr>
      </w:pPr>
    </w:p>
    <w:p>
      <w:pPr>
        <w:spacing w:line="240" w:lineRule="auto" w:before="9"/>
        <w:rPr>
          <w:rFonts w:ascii="Times New Roman" w:hAnsi="Times New Roman" w:cs="Times New Roman" w:eastAsia="Times New Roman" w:hint="default"/>
          <w:sz w:val="23"/>
          <w:szCs w:val="23"/>
        </w:rPr>
      </w:pPr>
    </w:p>
    <w:p>
      <w:pPr>
        <w:pStyle w:val="Heading3"/>
        <w:spacing w:line="259" w:lineRule="auto" w:before="36"/>
        <w:ind w:right="1133"/>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86"/>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513" w:right="986"/>
        <w:jc w:val="left"/>
      </w:pPr>
      <w:r>
        <w:rPr>
          <w:rFonts w:ascii="Times New Roman" w:hAnsi="Times New Roman" w:cs="Times New Roman" w:eastAsia="Times New Roman" w:hint="default"/>
          <w:spacing w:val="1"/>
        </w:rPr>
        <w:t>1</w:t>
      </w:r>
      <w:r>
        <w:rPr>
          <w:spacing w:val="-17"/>
        </w:rPr>
        <w:t>、</w:t>
      </w:r>
      <w:r>
        <w:rPr/>
        <w:t>财政部于</w:t>
      </w:r>
      <w:r>
        <w:rPr>
          <w:spacing w:val="-45"/>
        </w:rPr>
        <w:t> </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spacing w:val="-3"/>
        </w:rPr>
        <w:t>日</w:t>
      </w:r>
      <w:r>
        <w:rPr/>
        <w:t>发布</w:t>
      </w:r>
      <w:r>
        <w:rPr>
          <w:spacing w:val="-17"/>
        </w:rPr>
        <w:t>了</w:t>
      </w:r>
      <w:r>
        <w:rPr/>
        <w:t>《</w:t>
      </w:r>
      <w:r>
        <w:rPr>
          <w:spacing w:val="-1"/>
        </w:rPr>
        <w:t>关</w:t>
      </w:r>
      <w:r>
        <w:rPr/>
        <w:t>于修订印</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年</w:t>
      </w:r>
      <w:r>
        <w:rPr>
          <w:spacing w:val="-3"/>
        </w:rPr>
        <w:t>度</w:t>
      </w:r>
      <w:r>
        <w:rPr/>
        <w:t>一般企业财务报表格式的通知</w:t>
      </w:r>
      <w:r>
        <w:rPr>
          <w:spacing w:val="-106"/>
        </w:rPr>
        <w:t>》</w:t>
      </w:r>
      <w:r>
        <w:rPr/>
        <w:t>（财</w:t>
      </w:r>
      <w:r>
        <w:rPr>
          <w:spacing w:val="1"/>
        </w:rPr>
        <w:t>会</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18</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1</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号</w:t>
      </w:r>
      <w:r>
        <w:rPr>
          <w:spacing w:val="-92"/>
        </w:rPr>
        <w:t>）</w:t>
      </w:r>
      <w:r>
        <w:rPr>
          <w:spacing w:val="-17"/>
        </w:rPr>
        <w:t>，</w:t>
      </w:r>
      <w:r>
        <w:rPr/>
        <w:t>对一</w:t>
      </w:r>
    </w:p>
    <w:p>
      <w:pPr>
        <w:pStyle w:val="BodyText"/>
        <w:spacing w:line="300" w:lineRule="auto" w:before="63"/>
        <w:ind w:right="1039"/>
        <w:jc w:val="left"/>
      </w:pPr>
      <w:r>
        <w:rPr/>
        <w:t>般企业财务报表格式进行了修订。公司根据上述文件要求，经</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18 </w:t>
      </w:r>
      <w:r>
        <w:rPr/>
        <w:t>日召开的第四届董事会第二次会议审议通过， 对财务报表格式的相关内容进行了相应的变更。</w:t>
      </w:r>
    </w:p>
    <w:p>
      <w:pPr>
        <w:pStyle w:val="BodyText"/>
        <w:spacing w:line="240" w:lineRule="auto" w:before="70"/>
        <w:ind w:left="513" w:right="1133"/>
        <w:jc w:val="left"/>
      </w:pPr>
      <w:r>
        <w:rPr>
          <w:rFonts w:ascii="Times New Roman" w:hAnsi="Times New Roman" w:cs="Times New Roman" w:eastAsia="Times New Roman" w:hint="default"/>
          <w:spacing w:val="1"/>
        </w:rPr>
        <w:t>2</w:t>
      </w:r>
      <w:r>
        <w:rPr/>
        <w:t>、财政部于</w:t>
      </w:r>
      <w:r>
        <w:rPr>
          <w:spacing w:val="-45"/>
        </w:rPr>
        <w:t> </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年发布了</w:t>
      </w:r>
      <w:r>
        <w:rPr>
          <w:spacing w:val="-3"/>
        </w:rPr>
        <w:t>修</w:t>
      </w:r>
      <w:r>
        <w:rPr/>
        <w:t>订后的《企业会计准则第</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2"/>
        </w:rPr>
        <w:t>号</w:t>
      </w:r>
      <w:r>
        <w:rPr>
          <w:rFonts w:ascii="Times New Roman" w:hAnsi="Times New Roman" w:cs="Times New Roman" w:eastAsia="Times New Roman" w:hint="default"/>
        </w:rPr>
        <w:t>--</w:t>
      </w:r>
      <w:r>
        <w:rPr/>
        <w:t>金融工具确认和计量</w:t>
      </w:r>
      <w:r>
        <w:rPr>
          <w:spacing w:val="-92"/>
        </w:rPr>
        <w:t>》、</w:t>
      </w:r>
      <w:r>
        <w:rPr/>
        <w:t>《</w:t>
      </w:r>
      <w:r>
        <w:rPr>
          <w:spacing w:val="2"/>
        </w:rPr>
        <w:t>企</w:t>
      </w:r>
      <w:r>
        <w:rPr/>
        <w:t>业会计准则第</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金融资</w:t>
      </w:r>
    </w:p>
    <w:p>
      <w:pPr>
        <w:pStyle w:val="BodyText"/>
        <w:spacing w:line="240" w:lineRule="auto" w:before="63"/>
        <w:ind w:right="1133"/>
        <w:jc w:val="left"/>
      </w:pPr>
      <w:r>
        <w:rPr/>
        <w:t>产转移</w:t>
      </w:r>
      <w:r>
        <w:rPr>
          <w:spacing w:val="-92"/>
        </w:rPr>
        <w:t>》、</w:t>
      </w:r>
      <w:r>
        <w:rPr/>
        <w:t>《企业会计准则第</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套期会计</w:t>
      </w:r>
      <w:r>
        <w:rPr>
          <w:spacing w:val="-92"/>
        </w:rPr>
        <w:t>》、</w:t>
      </w:r>
      <w:r>
        <w:rPr/>
        <w:t>《企业会计</w:t>
      </w:r>
      <w:r>
        <w:rPr>
          <w:spacing w:val="2"/>
        </w:rPr>
        <w:t>准</w:t>
      </w:r>
      <w:r>
        <w:rPr/>
        <w:t>则第</w:t>
      </w:r>
      <w:r>
        <w:rPr>
          <w:spacing w:val="-45"/>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spacing w:val="-3"/>
        </w:rPr>
        <w:t>-</w:t>
      </w:r>
      <w:r>
        <w:rPr>
          <w:rFonts w:ascii="Times New Roman" w:hAnsi="Times New Roman" w:cs="Times New Roman" w:eastAsia="Times New Roman" w:hint="default"/>
        </w:rPr>
        <w:t>-</w:t>
      </w:r>
      <w:r>
        <w:rPr/>
        <w:t>金融工具列报</w:t>
      </w:r>
      <w:r>
        <w:rPr>
          <w:spacing w:val="-92"/>
        </w:rPr>
        <w:t>》</w:t>
      </w:r>
      <w:r>
        <w:rPr/>
        <w:t>（上述四项准则以下统称</w:t>
      </w:r>
      <w:r>
        <w:rPr>
          <w:rFonts w:ascii="Times New Roman" w:hAnsi="Times New Roman" w:cs="Times New Roman" w:eastAsia="Times New Roman" w:hint="default"/>
          <w:spacing w:val="-2"/>
          <w:w w:val="99"/>
        </w:rPr>
        <w:t>"</w:t>
      </w:r>
      <w:r>
        <w:rPr/>
        <w:t>新金</w:t>
      </w:r>
      <w:r>
        <w:rPr>
          <w:spacing w:val="2"/>
        </w:rPr>
        <w:t>融</w:t>
      </w:r>
      <w:r>
        <w:rPr/>
        <w:t>工</w:t>
      </w:r>
    </w:p>
    <w:p>
      <w:pPr>
        <w:pStyle w:val="BodyText"/>
        <w:spacing w:line="300" w:lineRule="auto" w:before="63"/>
        <w:ind w:right="1127"/>
        <w:jc w:val="left"/>
      </w:pPr>
      <w:r>
        <w:rPr>
          <w:spacing w:val="-8"/>
          <w:w w:val="99"/>
        </w:rPr>
        <w:t>具准则</w:t>
      </w:r>
      <w:r>
        <w:rPr>
          <w:rFonts w:ascii="Times New Roman" w:hAnsi="Times New Roman" w:cs="Times New Roman" w:eastAsia="Times New Roman" w:hint="default"/>
          <w:spacing w:val="-8"/>
          <w:w w:val="99"/>
        </w:rPr>
        <w:t>"</w:t>
      </w:r>
      <w:r>
        <w:rPr>
          <w:spacing w:val="-8"/>
          <w:w w:val="99"/>
        </w:rPr>
        <w:t>）。公司根据上述文件要求，经</w:t>
      </w:r>
      <w:r>
        <w:rPr>
          <w:spacing w:val="-43"/>
          <w:w w:val="99"/>
        </w:rPr>
        <w:t> </w:t>
      </w:r>
      <w:r>
        <w:rPr>
          <w:rFonts w:ascii="Times New Roman" w:hAnsi="Times New Roman" w:cs="Times New Roman" w:eastAsia="Times New Roman" w:hint="default"/>
          <w:spacing w:val="-1"/>
        </w:rPr>
        <w:t>2019</w:t>
      </w:r>
      <w:r>
        <w:rPr>
          <w:rFonts w:ascii="Times New Roman" w:hAnsi="Times New Roman" w:cs="Times New Roman" w:eastAsia="Times New Roman" w:hint="default"/>
          <w:spacing w:val="4"/>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43"/>
        </w:rPr>
        <w:t> </w:t>
      </w:r>
      <w:r>
        <w:rPr>
          <w:rFonts w:ascii="Times New Roman" w:hAnsi="Times New Roman" w:cs="Times New Roman" w:eastAsia="Times New Roman" w:hint="default"/>
          <w:spacing w:val="-1"/>
        </w:rPr>
        <w:t>22</w:t>
      </w:r>
      <w:r>
        <w:rPr>
          <w:rFonts w:ascii="Times New Roman" w:hAnsi="Times New Roman" w:cs="Times New Roman" w:eastAsia="Times New Roman" w:hint="default"/>
          <w:spacing w:val="3"/>
        </w:rPr>
        <w:t> </w:t>
      </w:r>
      <w:r>
        <w:rPr>
          <w:spacing w:val="-1"/>
        </w:rPr>
        <w:t>日召开的第四届董事会第三次会议审议通过，对相关内容进行了相应</w:t>
      </w:r>
      <w:r>
        <w:rPr/>
        <w:t> 的变更。</w:t>
      </w:r>
    </w:p>
    <w:p>
      <w:pPr>
        <w:pStyle w:val="BodyText"/>
        <w:spacing w:line="240" w:lineRule="auto" w:before="72"/>
        <w:ind w:left="513" w:right="986"/>
        <w:jc w:val="left"/>
      </w:pPr>
      <w:r>
        <w:rPr>
          <w:rFonts w:ascii="Times New Roman" w:hAnsi="Times New Roman" w:cs="Times New Roman" w:eastAsia="Times New Roman" w:hint="default"/>
          <w:spacing w:val="1"/>
        </w:rPr>
        <w:t>3</w:t>
      </w:r>
      <w:r>
        <w:rPr>
          <w:spacing w:val="-17"/>
        </w:rPr>
        <w:t>、</w:t>
      </w:r>
      <w:r>
        <w:rPr/>
        <w:t>财政部于</w:t>
      </w:r>
      <w:r>
        <w:rPr>
          <w:spacing w:val="-45"/>
        </w:rPr>
        <w:t> </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月发</w:t>
      </w:r>
      <w:r>
        <w:rPr>
          <w:spacing w:val="-3"/>
        </w:rPr>
        <w:t>布</w:t>
      </w:r>
      <w:r>
        <w:rPr>
          <w:spacing w:val="-17"/>
        </w:rPr>
        <w:t>了</w:t>
      </w:r>
      <w:r>
        <w:rPr/>
        <w:t>《关于修订印发</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年度</w:t>
      </w:r>
      <w:r>
        <w:rPr>
          <w:spacing w:val="-3"/>
        </w:rPr>
        <w:t>一</w:t>
      </w:r>
      <w:r>
        <w:rPr/>
        <w:t>般企业财务报表格式的通知</w:t>
      </w:r>
      <w:r>
        <w:rPr>
          <w:spacing w:val="-108"/>
        </w:rPr>
        <w:t>》</w:t>
      </w:r>
      <w:r>
        <w:rPr>
          <w:spacing w:val="2"/>
        </w:rPr>
        <w:t>（</w:t>
      </w:r>
      <w:r>
        <w:rPr/>
        <w:t>财</w:t>
      </w:r>
      <w:r>
        <w:rPr>
          <w:spacing w:val="1"/>
        </w:rPr>
        <w:t>会</w:t>
      </w:r>
      <w:r>
        <w:rPr>
          <w:rFonts w:ascii="Times New Roman" w:hAnsi="Times New Roman" w:cs="Times New Roman" w:eastAsia="Times New Roman" w:hint="default"/>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9</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号</w:t>
      </w:r>
      <w:r>
        <w:rPr>
          <w:spacing w:val="-108"/>
        </w:rPr>
        <w:t>）</w:t>
      </w:r>
      <w:r>
        <w:rPr/>
        <w:t>（以下简称</w:t>
      </w:r>
    </w:p>
    <w:p>
      <w:pPr>
        <w:pStyle w:val="BodyText"/>
        <w:spacing w:line="240" w:lineRule="auto" w:before="63"/>
        <w:ind w:right="986"/>
        <w:jc w:val="left"/>
      </w:pPr>
      <w:r>
        <w:rPr>
          <w:rFonts w:ascii="Times New Roman" w:hAnsi="Times New Roman" w:cs="Times New Roman" w:eastAsia="Times New Roman" w:hint="default"/>
          <w:spacing w:val="-1"/>
          <w:w w:val="99"/>
        </w:rPr>
        <w:t>"</w:t>
      </w:r>
      <w:r>
        <w:rPr/>
        <w:t>财务报表格</w:t>
      </w:r>
      <w:r>
        <w:rPr>
          <w:spacing w:val="-1"/>
        </w:rPr>
        <w:t>式</w:t>
      </w:r>
      <w:r>
        <w:rPr>
          <w:rFonts w:ascii="Times New Roman" w:hAnsi="Times New Roman" w:cs="Times New Roman" w:eastAsia="Times New Roman" w:hint="default"/>
          <w:w w:val="99"/>
        </w:rPr>
        <w:t>"</w:t>
      </w:r>
      <w:r>
        <w:rPr>
          <w:spacing w:val="-92"/>
        </w:rPr>
        <w:t>）</w:t>
      </w:r>
      <w:r>
        <w:rPr>
          <w:spacing w:val="-49"/>
        </w:rPr>
        <w:t>，</w:t>
      </w:r>
      <w:r>
        <w:rPr/>
        <w:t>执行企业会计准则的企业应按照企业会计准则和该通知的要求编制</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年度中期财务报表和年度财务报</w:t>
      </w:r>
    </w:p>
    <w:p>
      <w:pPr>
        <w:pStyle w:val="BodyText"/>
        <w:spacing w:line="300" w:lineRule="auto" w:before="63"/>
        <w:ind w:right="1129"/>
        <w:jc w:val="left"/>
      </w:pPr>
      <w:r>
        <w:rPr/>
        <w:t>表及以后期间的财务报表。公司根据上述文件要求，经</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1 </w:t>
      </w:r>
      <w:r>
        <w:rPr/>
        <w:t>日召开的第四届董事会第八次会议审议通过，对相关 内容进行了相应的变更。</w:t>
      </w:r>
    </w:p>
    <w:p>
      <w:pPr>
        <w:spacing w:line="240" w:lineRule="auto" w:before="11"/>
        <w:rPr>
          <w:rFonts w:ascii="宋体" w:hAnsi="宋体" w:cs="宋体" w:eastAsia="宋体" w:hint="default"/>
          <w:sz w:val="21"/>
          <w:szCs w:val="21"/>
        </w:rPr>
      </w:pPr>
    </w:p>
    <w:p>
      <w:pPr>
        <w:pStyle w:val="Heading2"/>
        <w:spacing w:line="240" w:lineRule="auto"/>
        <w:ind w:right="1133"/>
        <w:jc w:val="left"/>
        <w:rPr>
          <w:b w:val="0"/>
          <w:bCs w:val="0"/>
        </w:rPr>
      </w:pPr>
      <w:r>
        <w:rPr/>
        <w:t>七、与上年度财务报告相比，合并报表范围发生变化的情况说明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公司报告期无合并报表范围发生变化的情况。</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r>
        <w:rPr/>
        <w:t>八、聘任、解聘会计师事务所情况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4"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50</w:t>
            </w:r>
          </w:p>
        </w:tc>
      </w:tr>
    </w:tbl>
    <w:p>
      <w:pPr>
        <w:spacing w:after="0" w:line="240" w:lineRule="auto"/>
        <w:jc w:val="left"/>
        <w:rPr>
          <w:rFonts w:ascii="Times New Roman" w:hAnsi="Times New Roman" w:cs="Times New Roman" w:eastAsia="Times New Roman" w:hint="default"/>
          <w:sz w:val="18"/>
          <w:szCs w:val="18"/>
        </w:rPr>
        <w:sectPr>
          <w:headerReference w:type="default" r:id="rId14"/>
          <w:footerReference w:type="default" r:id="rId15"/>
          <w:pgSz w:w="11910" w:h="16840"/>
          <w:pgMar w:header="877" w:footer="979" w:top="1100" w:bottom="1160" w:left="980" w:right="0"/>
          <w:pgNumType w:start="66"/>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时彦禄、余自勇</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时彦禄为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年，余自勇为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49"/>
        <w:ind w:right="1133"/>
        <w:jc w:val="left"/>
      </w:pPr>
      <w:r>
        <w:rPr/>
        <w:t>是否改聘会计师事务所</w:t>
      </w:r>
    </w:p>
    <w:p>
      <w:pPr>
        <w:pStyle w:val="BodyText"/>
        <w:spacing w:line="340" w:lineRule="auto" w:before="115"/>
        <w:ind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340" w:lineRule="auto" w:before="39"/>
        <w:ind w:left="513" w:right="1118"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本年度，公司因重大资产重组事项，聘请国泰君安证券股份有限公司、中德证券有限责任公司为财务顾问，期间共支付</w:t>
      </w:r>
    </w:p>
    <w:p>
      <w:pPr>
        <w:pStyle w:val="BodyText"/>
        <w:spacing w:line="240" w:lineRule="auto" w:before="1"/>
        <w:ind w:right="1133"/>
        <w:jc w:val="left"/>
      </w:pPr>
      <w:r>
        <w:rPr/>
        <w:t>财务顾问费</w:t>
      </w:r>
      <w:r>
        <w:rPr>
          <w:rFonts w:ascii="Times New Roman" w:hAnsi="Times New Roman" w:cs="Times New Roman" w:eastAsia="Times New Roman" w:hint="default"/>
        </w:rPr>
        <w:t>900</w:t>
      </w:r>
      <w:r>
        <w:rPr/>
        <w:t>万元。</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r>
        <w:rPr/>
        <w:t>十二、处罚及整改情况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7" w:lineRule="auto" w:before="103"/>
        <w:ind w:right="1128"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29</w:t>
      </w:r>
      <w:r>
        <w:rPr>
          <w:spacing w:val="-2"/>
        </w:rPr>
        <w:t>日，公司召开第三届董事会第二十一次会议和第三届监事会第十六次会议，审议通过了《关于调整股票</w:t>
      </w:r>
      <w:r>
        <w:rPr/>
        <w:t> </w:t>
      </w:r>
      <w:r>
        <w:rPr>
          <w:spacing w:val="-2"/>
        </w:rPr>
        <w:t>期权激励计划授予数量和授予对象人数并注销部分已授予股票期权的议案》、《关于股票期权激励计划第二个行权期可行权</w:t>
      </w:r>
      <w:r>
        <w:rPr>
          <w:spacing w:val="-65"/>
        </w:rPr>
        <w:t> </w:t>
      </w:r>
      <w:r>
        <w:rPr>
          <w:spacing w:val="-65"/>
        </w:rPr>
      </w:r>
      <w:r>
        <w:rPr>
          <w:spacing w:val="-2"/>
        </w:rPr>
        <w:t>的议案》，同意调整股票期权激励计划授予数量和授予对象人数，并对相应股票期权予以注销。同时，鉴于公司股票期权激</w:t>
      </w:r>
      <w:r>
        <w:rPr>
          <w:spacing w:val="-67"/>
        </w:rPr>
        <w:t> </w:t>
      </w:r>
      <w:r>
        <w:rPr>
          <w:spacing w:val="-67"/>
        </w:rPr>
      </w:r>
      <w:r>
        <w:rPr>
          <w:spacing w:val="-2"/>
        </w:rPr>
        <w:t>励计划第二个行权期的行权条件已成就，同意已获授股票期权的</w:t>
      </w:r>
      <w:r>
        <w:rPr>
          <w:rFonts w:ascii="Times New Roman" w:hAnsi="Times New Roman" w:cs="Times New Roman" w:eastAsia="Times New Roman" w:hint="default"/>
          <w:spacing w:val="-2"/>
        </w:rPr>
        <w:t>81</w:t>
      </w:r>
      <w:r>
        <w:rPr>
          <w:spacing w:val="-2"/>
        </w:rPr>
        <w:t>名激励对象在第二个行权期内可自主行权。具体披露情况</w:t>
      </w:r>
      <w:r>
        <w:rPr>
          <w:spacing w:val="-62"/>
        </w:rPr>
        <w:t> </w:t>
      </w:r>
      <w:r>
        <w:rPr>
          <w:spacing w:val="-62"/>
        </w:rPr>
      </w:r>
      <w:r>
        <w:rPr>
          <w:spacing w:val="-1"/>
        </w:rPr>
        <w:t>详见公司于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31</w:t>
      </w:r>
      <w:r>
        <w:rPr>
          <w:spacing w:val="-1"/>
        </w:rPr>
        <w:t>日在巨潮资讯网（</w:t>
      </w:r>
      <w:hyperlink r:id="rId9">
        <w:r>
          <w:rPr>
            <w:rFonts w:ascii="Times New Roman" w:hAnsi="Times New Roman" w:cs="Times New Roman" w:eastAsia="Times New Roman" w:hint="default"/>
            <w:spacing w:val="-1"/>
          </w:rPr>
          <w:t>www.cninfo.com.cn</w:t>
        </w:r>
      </w:hyperlink>
      <w:r>
        <w:rPr>
          <w:spacing w:val="-1"/>
        </w:rPr>
        <w:t>）上披露的相关公告。本次自主行权事项已获深圳证券交易所</w:t>
      </w:r>
      <w:r>
        <w:rPr>
          <w:spacing w:val="-51"/>
        </w:rPr>
        <w:t> </w:t>
      </w:r>
      <w:r>
        <w:rPr>
          <w:spacing w:val="-51"/>
        </w:rPr>
      </w:r>
      <w:r>
        <w:rPr>
          <w:spacing w:val="-2"/>
        </w:rPr>
        <w:t>审核通过，公司在中登公司完成了自主行权相关登记申报工作。公司股票期权激励计划第二个可行权期实际可行权人数为</w:t>
      </w:r>
      <w:r>
        <w:rPr>
          <w:rFonts w:ascii="Times New Roman" w:hAnsi="Times New Roman" w:cs="Times New Roman" w:eastAsia="Times New Roman" w:hint="default"/>
          <w:spacing w:val="-2"/>
        </w:rPr>
        <w:t>81</w:t>
      </w:r>
      <w:r>
        <w:rPr>
          <w:rFonts w:ascii="Times New Roman" w:hAnsi="Times New Roman" w:cs="Times New Roman" w:eastAsia="Times New Roman" w:hint="default"/>
          <w:spacing w:val="-14"/>
        </w:rPr>
        <w:t> </w:t>
      </w:r>
      <w:r>
        <w:rPr/>
        <w:t>名，可行权股票期权共计</w:t>
      </w:r>
      <w:r>
        <w:rPr>
          <w:rFonts w:ascii="Times New Roman" w:hAnsi="Times New Roman" w:cs="Times New Roman" w:eastAsia="Times New Roman" w:hint="default"/>
        </w:rPr>
        <w:t>66</w:t>
      </w:r>
      <w:r>
        <w:rPr/>
        <w:t>万份，行权期限为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日。具体披露情况详见公司于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日在</w:t>
      </w:r>
    </w:p>
    <w:p>
      <w:pPr>
        <w:spacing w:after="0" w:line="307" w:lineRule="auto"/>
        <w:jc w:val="both"/>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1133"/>
        <w:jc w:val="left"/>
      </w:pPr>
      <w:r>
        <w:rPr/>
        <w:t>巨潮资讯网（</w:t>
      </w:r>
      <w:hyperlink r:id="rId9">
        <w:r>
          <w:rPr>
            <w:rFonts w:ascii="Times New Roman" w:hAnsi="Times New Roman" w:cs="Times New Roman" w:eastAsia="Times New Roman" w:hint="default"/>
          </w:rPr>
          <w:t>www.cninfo.com.cn</w:t>
        </w:r>
      </w:hyperlink>
      <w:r>
        <w:rPr/>
        <w:t>）上披露的相关公告。</w:t>
      </w:r>
    </w:p>
    <w:p>
      <w:pPr>
        <w:pStyle w:val="BodyText"/>
        <w:spacing w:line="309" w:lineRule="auto" w:before="103"/>
        <w:ind w:right="986" w:firstLine="360"/>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18</w:t>
      </w:r>
      <w:r>
        <w:rPr>
          <w:spacing w:val="-2"/>
        </w:rPr>
        <w:t>日，公司召开第四届董事会第二次会议和第四届监事会第二次会议，审议通过了《关于调整股票期权激</w:t>
      </w:r>
      <w:r>
        <w:rPr/>
        <w:t> </w:t>
      </w:r>
      <w:r>
        <w:rPr>
          <w:spacing w:val="-7"/>
        </w:rPr>
        <w:t>励计划授予数量和授予对象人数并注销部分已授予股票期权的议案》、《关于股票期权激励计划第三个行权期可行权的议案》，</w:t>
      </w:r>
      <w:r>
        <w:rPr>
          <w:spacing w:val="-52"/>
        </w:rPr>
        <w:t> </w:t>
      </w:r>
      <w:r>
        <w:rPr>
          <w:spacing w:val="-52"/>
        </w:rPr>
      </w:r>
      <w:r>
        <w:rPr>
          <w:spacing w:val="-2"/>
        </w:rPr>
        <w:t>同意调整股票期权激励计划授予数量和授予对象人数，并对相应股票期权予以注销。同时，鉴于公司股票期权激励计划第三</w:t>
      </w:r>
      <w:r>
        <w:rPr>
          <w:spacing w:val="-63"/>
        </w:rPr>
        <w:t> </w:t>
      </w:r>
      <w:r>
        <w:rPr>
          <w:spacing w:val="-63"/>
        </w:rPr>
      </w:r>
      <w:r>
        <w:rPr>
          <w:spacing w:val="-2"/>
        </w:rPr>
        <w:t>个行权期的行权条件已成就，同意已获授股票期权的</w:t>
      </w:r>
      <w:r>
        <w:rPr>
          <w:rFonts w:ascii="Times New Roman" w:hAnsi="Times New Roman" w:cs="Times New Roman" w:eastAsia="Times New Roman" w:hint="default"/>
          <w:spacing w:val="-2"/>
        </w:rPr>
        <w:t>74</w:t>
      </w:r>
      <w:r>
        <w:rPr>
          <w:spacing w:val="-2"/>
        </w:rPr>
        <w:t>名激励对象在第三个行权期内可自主行权。本次自主行权事项已获深</w:t>
      </w:r>
      <w:r>
        <w:rPr>
          <w:spacing w:val="-62"/>
        </w:rPr>
        <w:t> </w:t>
      </w:r>
      <w:r>
        <w:rPr>
          <w:spacing w:val="-62"/>
        </w:rPr>
      </w:r>
      <w:r>
        <w:rPr>
          <w:spacing w:val="-2"/>
        </w:rPr>
        <w:t>圳证券交易所审核通过，公司在中登公司完成了自主行权相关登记申报工作。公司股票期权激励计划第三个可行权期实际可</w:t>
      </w:r>
      <w:r>
        <w:rPr>
          <w:spacing w:val="-64"/>
        </w:rPr>
        <w:t> </w:t>
      </w:r>
      <w:r>
        <w:rPr>
          <w:spacing w:val="-64"/>
        </w:rPr>
      </w:r>
      <w:r>
        <w:rPr/>
        <w:t>行权人数为</w:t>
      </w:r>
      <w:r>
        <w:rPr>
          <w:rFonts w:ascii="Times New Roman" w:hAnsi="Times New Roman" w:cs="Times New Roman" w:eastAsia="Times New Roman" w:hint="default"/>
        </w:rPr>
        <w:t>74</w:t>
      </w:r>
      <w:r>
        <w:rPr/>
        <w:t>名，可行权股票期权共计</w:t>
      </w:r>
      <w:r>
        <w:rPr>
          <w:rFonts w:ascii="Times New Roman" w:hAnsi="Times New Roman" w:cs="Times New Roman" w:eastAsia="Times New Roman" w:hint="default"/>
        </w:rPr>
        <w:t>944,487</w:t>
      </w:r>
      <w:r>
        <w:rPr/>
        <w:t>份，行权期限为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日。具体披露情况详见公司于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日在巨潮资讯网（</w:t>
      </w:r>
      <w:hyperlink r:id="rId9">
        <w:r>
          <w:rPr>
            <w:rFonts w:ascii="Times New Roman" w:hAnsi="Times New Roman" w:cs="Times New Roman" w:eastAsia="Times New Roman" w:hint="default"/>
          </w:rPr>
          <w:t>www.cninfo.com.cn</w:t>
        </w:r>
      </w:hyperlink>
      <w:r>
        <w:rPr/>
        <w:t>）上披露的相关公告。</w:t>
      </w:r>
    </w:p>
    <w:p>
      <w:pPr>
        <w:pStyle w:val="BodyText"/>
        <w:spacing w:line="240" w:lineRule="auto" w:before="43"/>
        <w:ind w:left="513" w:right="1133"/>
        <w:jc w:val="left"/>
      </w:pPr>
      <w:r>
        <w:rPr>
          <w:rFonts w:ascii="Times New Roman" w:hAnsi="Times New Roman" w:cs="Times New Roman" w:eastAsia="Times New Roman" w:hint="default"/>
        </w:rPr>
        <w:t>3</w:t>
      </w:r>
      <w:r>
        <w:rPr/>
        <w:t>、经</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日召开的</w:t>
      </w:r>
      <w:r>
        <w:rPr>
          <w:rFonts w:ascii="Times New Roman" w:hAnsi="Times New Roman" w:cs="Times New Roman" w:eastAsia="Times New Roman" w:hint="default"/>
        </w:rPr>
        <w:t>2018</w:t>
      </w:r>
      <w:r>
        <w:rPr/>
        <w:t>年年度股东大会审议通过的</w:t>
      </w:r>
      <w:r>
        <w:rPr>
          <w:rFonts w:ascii="Times New Roman" w:hAnsi="Times New Roman" w:cs="Times New Roman" w:eastAsia="Times New Roman" w:hint="default"/>
        </w:rPr>
        <w:t>2018</w:t>
      </w:r>
      <w:r>
        <w:rPr/>
        <w:t>年度利润分配方案为：以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日总股本</w:t>
      </w:r>
    </w:p>
    <w:p>
      <w:pPr>
        <w:pStyle w:val="BodyText"/>
        <w:spacing w:line="300" w:lineRule="auto" w:before="63"/>
        <w:ind w:right="1133"/>
        <w:jc w:val="left"/>
      </w:pPr>
      <w:r>
        <w:rPr>
          <w:rFonts w:ascii="Times New Roman" w:hAnsi="Times New Roman" w:cs="Times New Roman" w:eastAsia="Times New Roman" w:hint="default"/>
          <w:spacing w:val="-2"/>
        </w:rPr>
        <w:t>201,209,956</w:t>
      </w:r>
      <w:r>
        <w:rPr>
          <w:spacing w:val="-2"/>
        </w:rPr>
        <w:t>股为基数，向全体股东每</w:t>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0.30</w:t>
      </w:r>
      <w:r>
        <w:rPr>
          <w:spacing w:val="-2"/>
        </w:rPr>
        <w:t>元（含税），共分配现金股利</w:t>
      </w:r>
      <w:r>
        <w:rPr>
          <w:rFonts w:ascii="Times New Roman" w:hAnsi="Times New Roman" w:cs="Times New Roman" w:eastAsia="Times New Roman" w:hint="default"/>
          <w:spacing w:val="-2"/>
        </w:rPr>
        <w:t>6,036,298.68</w:t>
      </w:r>
      <w:r>
        <w:rPr>
          <w:spacing w:val="-2"/>
        </w:rPr>
        <w:t>元（含税），剩余未分</w:t>
      </w:r>
      <w:r>
        <w:rPr>
          <w:spacing w:val="-48"/>
        </w:rPr>
        <w:t> </w:t>
      </w:r>
      <w:r>
        <w:rPr>
          <w:spacing w:val="-48"/>
        </w:rPr>
      </w:r>
      <w:r>
        <w:rPr/>
        <w:t>配利润结转以后年度。该方案已于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27</w:t>
      </w:r>
      <w:r>
        <w:rPr/>
        <w:t>日实施完毕。</w:t>
      </w:r>
    </w:p>
    <w:p>
      <w:pPr>
        <w:pStyle w:val="BodyText"/>
        <w:spacing w:line="300" w:lineRule="auto" w:before="53"/>
        <w:ind w:right="1133"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27</w:t>
      </w:r>
      <w:r>
        <w:rPr/>
        <w:t>日，公司召开第四届董事会第六次会议和第四届监事会第五次会议，审议通过了《关于调整股票期权激励 计划行权价格的议案》，根据公司《股票期权激励计划》的规定，将本次股票期权授予的行权价格调整为</w:t>
      </w:r>
      <w:r>
        <w:rPr>
          <w:rFonts w:ascii="Times New Roman" w:hAnsi="Times New Roman" w:cs="Times New Roman" w:eastAsia="Times New Roman" w:hint="default"/>
        </w:rPr>
        <w:t>20.72</w:t>
      </w:r>
      <w:r>
        <w:rPr/>
        <w:t>元</w:t>
      </w:r>
      <w:r>
        <w:rPr>
          <w:rFonts w:ascii="Times New Roman" w:hAnsi="Times New Roman" w:cs="Times New Roman" w:eastAsia="Times New Roman" w:hint="default"/>
        </w:rPr>
        <w:t>/</w:t>
      </w:r>
      <w:r>
        <w:rPr/>
        <w:t>股。具体 披露情况详见公司于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27</w:t>
      </w:r>
      <w:r>
        <w:rPr/>
        <w:t>日在巨潮资讯网（</w:t>
      </w:r>
      <w:hyperlink r:id="rId9">
        <w:r>
          <w:rPr>
            <w:rFonts w:ascii="Times New Roman" w:hAnsi="Times New Roman" w:cs="Times New Roman" w:eastAsia="Times New Roman" w:hint="default"/>
          </w:rPr>
          <w:t>www.cninfo.com.cn</w:t>
        </w:r>
      </w:hyperlink>
      <w:r>
        <w:rPr/>
        <w:t>）上披露的相关公告。</w:t>
      </w:r>
    </w:p>
    <w:p>
      <w:pPr>
        <w:pStyle w:val="BodyText"/>
        <w:spacing w:line="240" w:lineRule="auto" w:before="53"/>
        <w:ind w:left="513" w:right="1133"/>
        <w:jc w:val="left"/>
      </w:pPr>
      <w:r>
        <w:rPr>
          <w:rFonts w:ascii="Times New Roman" w:hAnsi="Times New Roman" w:cs="Times New Roman" w:eastAsia="Times New Roman" w:hint="default"/>
        </w:rPr>
        <w:t>4</w:t>
      </w:r>
      <w:r>
        <w:rPr/>
        <w:t>、报告期内公司股票期权激励计划实际行权数量合计为</w:t>
      </w:r>
      <w:r>
        <w:rPr>
          <w:rFonts w:ascii="Times New Roman" w:hAnsi="Times New Roman" w:cs="Times New Roman" w:eastAsia="Times New Roman" w:hint="default"/>
        </w:rPr>
        <w:t>1,427,898</w:t>
      </w:r>
      <w:r>
        <w:rPr/>
        <w:t>股。</w:t>
      </w:r>
    </w:p>
    <w:p>
      <w:pPr>
        <w:pStyle w:val="BodyText"/>
        <w:spacing w:line="300" w:lineRule="auto" w:before="101"/>
        <w:ind w:right="1118" w:firstLine="360"/>
        <w:jc w:val="left"/>
      </w:pPr>
      <w:r>
        <w:rPr>
          <w:rFonts w:ascii="Times New Roman" w:hAnsi="Times New Roman" w:cs="Times New Roman" w:eastAsia="Times New Roman" w:hint="default"/>
          <w:spacing w:val="-2"/>
        </w:rPr>
        <w:t>5</w:t>
      </w:r>
      <w:r>
        <w:rPr>
          <w:spacing w:val="-2"/>
        </w:rPr>
        <w:t>、本报告期股权激励计划确认的费用共计</w:t>
      </w:r>
      <w:r>
        <w:rPr>
          <w:rFonts w:ascii="Times New Roman" w:hAnsi="Times New Roman" w:cs="Times New Roman" w:eastAsia="Times New Roman" w:hint="default"/>
          <w:spacing w:val="-2"/>
        </w:rPr>
        <w:t>534,400.00</w:t>
      </w:r>
      <w:r>
        <w:rPr>
          <w:spacing w:val="-2"/>
        </w:rPr>
        <w:t>元，本报告期公司股权激励计划已到最后一个行权期，本次股权激</w:t>
      </w:r>
      <w:r>
        <w:rPr/>
        <w:t> 励计划对以后年度财务状况无影响。</w:t>
      </w:r>
    </w:p>
    <w:p>
      <w:pPr>
        <w:spacing w:line="240" w:lineRule="auto" w:before="11"/>
        <w:rPr>
          <w:rFonts w:ascii="宋体" w:hAnsi="宋体" w:cs="宋体" w:eastAsia="宋体" w:hint="default"/>
          <w:sz w:val="21"/>
          <w:szCs w:val="21"/>
        </w:rPr>
      </w:pPr>
    </w:p>
    <w:p>
      <w:pPr>
        <w:pStyle w:val="Heading2"/>
        <w:spacing w:line="240" w:lineRule="auto"/>
        <w:ind w:right="1133"/>
        <w:jc w:val="left"/>
        <w:rPr>
          <w:b w:val="0"/>
          <w:bCs w:val="0"/>
        </w:rPr>
      </w:pP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6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footerReference w:type="default" r:id="rId16"/>
          <w:pgSz w:w="11910" w:h="16840"/>
          <w:pgMar w:footer="979" w:header="877" w:top="1100" w:bottom="1160" w:left="980" w:right="0"/>
          <w:pgNumType w:start="68"/>
        </w:sectPr>
      </w:pPr>
    </w:p>
    <w:p>
      <w:pPr>
        <w:spacing w:line="240" w:lineRule="auto" w:before="11"/>
        <w:rPr>
          <w:rFonts w:ascii="宋体" w:hAnsi="宋体" w:cs="宋体" w:eastAsia="宋体" w:hint="default"/>
          <w:sz w:val="21"/>
          <w:szCs w:val="21"/>
        </w:rPr>
      </w:pPr>
    </w:p>
    <w:p>
      <w:pPr>
        <w:pStyle w:val="BodyText"/>
        <w:spacing w:line="240" w:lineRule="auto" w:before="44"/>
        <w:ind w:right="1133"/>
        <w:jc w:val="left"/>
      </w:pPr>
      <w:r>
        <w:rPr/>
        <w:t>公司报告期无其他重大关联交易。</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8"/>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租赁情况说明</w:t>
      </w:r>
    </w:p>
    <w:p>
      <w:pPr>
        <w:pStyle w:val="BodyText"/>
        <w:spacing w:line="300" w:lineRule="auto" w:before="39"/>
        <w:ind w:right="1124" w:firstLine="360"/>
        <w:jc w:val="left"/>
      </w:pPr>
      <w:r>
        <w:rPr/>
        <w:t>本报告期公司对外租赁部分房产，租赁收入总计</w:t>
      </w:r>
      <w:r>
        <w:rPr>
          <w:rFonts w:ascii="Times New Roman" w:hAnsi="Times New Roman" w:cs="Times New Roman" w:eastAsia="Times New Roman" w:hint="default"/>
        </w:rPr>
        <w:t>1,021.62</w:t>
      </w:r>
      <w:r>
        <w:rPr/>
        <w:t>万元，其中部分房产租赁方为关联方，定价标准综合考虑付款 条件和租赁年限等因素，根据市场公允价格确定。</w:t>
      </w:r>
    </w:p>
    <w:p>
      <w:pPr>
        <w:pStyle w:val="BodyText"/>
        <w:spacing w:line="240" w:lineRule="auto" w:before="72"/>
        <w:ind w:right="1133"/>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3"/>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72"/>
        <w:gridCol w:w="869"/>
        <w:gridCol w:w="872"/>
        <w:gridCol w:w="869"/>
        <w:gridCol w:w="871"/>
        <w:gridCol w:w="867"/>
        <w:gridCol w:w="869"/>
        <w:gridCol w:w="869"/>
        <w:gridCol w:w="869"/>
        <w:gridCol w:w="871"/>
        <w:gridCol w:w="869"/>
      </w:tblGrid>
      <w:tr>
        <w:trPr>
          <w:trHeight w:val="1026"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41" w:right="71" w:hanging="272"/>
              <w:jc w:val="left"/>
              <w:rPr>
                <w:rFonts w:ascii="宋体" w:hAnsi="宋体" w:cs="宋体" w:eastAsia="宋体" w:hint="default"/>
                <w:sz w:val="18"/>
                <w:szCs w:val="18"/>
              </w:rPr>
            </w:pPr>
            <w:r>
              <w:rPr>
                <w:rFonts w:ascii="宋体" w:hAnsi="宋体" w:cs="宋体" w:eastAsia="宋体" w:hint="default"/>
                <w:sz w:val="18"/>
                <w:szCs w:val="18"/>
              </w:rPr>
              <w:t>出租方名 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40" w:right="67" w:hanging="272"/>
              <w:jc w:val="left"/>
              <w:rPr>
                <w:rFonts w:ascii="宋体" w:hAnsi="宋体" w:cs="宋体" w:eastAsia="宋体" w:hint="default"/>
                <w:sz w:val="18"/>
                <w:szCs w:val="18"/>
              </w:rPr>
            </w:pPr>
            <w:r>
              <w:rPr>
                <w:rFonts w:ascii="宋体" w:hAnsi="宋体" w:cs="宋体" w:eastAsia="宋体" w:hint="default"/>
                <w:sz w:val="18"/>
                <w:szCs w:val="18"/>
              </w:rPr>
              <w:t>租赁方名 称</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49" w:right="70" w:hanging="180"/>
              <w:jc w:val="left"/>
              <w:rPr>
                <w:rFonts w:ascii="宋体" w:hAnsi="宋体" w:cs="宋体" w:eastAsia="宋体" w:hint="default"/>
                <w:sz w:val="18"/>
                <w:szCs w:val="18"/>
              </w:rPr>
            </w:pPr>
            <w:r>
              <w:rPr>
                <w:rFonts w:ascii="宋体" w:hAnsi="宋体" w:cs="宋体" w:eastAsia="宋体" w:hint="default"/>
                <w:sz w:val="18"/>
                <w:szCs w:val="18"/>
              </w:rPr>
              <w:t>租赁资产 情况</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9" w:right="67"/>
              <w:jc w:val="left"/>
              <w:rPr>
                <w:rFonts w:ascii="宋体" w:hAnsi="宋体" w:cs="宋体" w:eastAsia="宋体" w:hint="default"/>
                <w:sz w:val="18"/>
                <w:szCs w:val="18"/>
              </w:rPr>
            </w:pPr>
            <w:r>
              <w:rPr>
                <w:rFonts w:ascii="宋体" w:hAnsi="宋体" w:cs="宋体" w:eastAsia="宋体" w:hint="default"/>
                <w:sz w:val="18"/>
                <w:szCs w:val="18"/>
              </w:rPr>
              <w:t>租赁资产 涉及金额</w:t>
            </w:r>
          </w:p>
          <w:p>
            <w:pPr>
              <w:pStyle w:val="TableParagraph"/>
              <w:spacing w:line="240" w:lineRule="auto" w:before="20"/>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40" w:right="71" w:hanging="272"/>
              <w:jc w:val="left"/>
              <w:rPr>
                <w:rFonts w:ascii="宋体" w:hAnsi="宋体" w:cs="宋体" w:eastAsia="宋体" w:hint="default"/>
                <w:sz w:val="18"/>
                <w:szCs w:val="18"/>
              </w:rPr>
            </w:pPr>
            <w:r>
              <w:rPr>
                <w:rFonts w:ascii="宋体" w:hAnsi="宋体" w:cs="宋体" w:eastAsia="宋体" w:hint="default"/>
                <w:sz w:val="18"/>
                <w:szCs w:val="18"/>
              </w:rPr>
              <w:t>租赁起始 日</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38" w:right="65" w:hanging="269"/>
              <w:jc w:val="left"/>
              <w:rPr>
                <w:rFonts w:ascii="宋体" w:hAnsi="宋体" w:cs="宋体" w:eastAsia="宋体" w:hint="default"/>
                <w:sz w:val="18"/>
                <w:szCs w:val="18"/>
              </w:rPr>
            </w:pPr>
            <w:r>
              <w:rPr>
                <w:rFonts w:ascii="宋体" w:hAnsi="宋体" w:cs="宋体" w:eastAsia="宋体" w:hint="default"/>
                <w:sz w:val="18"/>
                <w:szCs w:val="18"/>
              </w:rPr>
              <w:t>租赁终止 日</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租赁收益</w:t>
            </w:r>
          </w:p>
          <w:p>
            <w:pPr>
              <w:pStyle w:val="TableParagraph"/>
              <w:spacing w:line="240" w:lineRule="auto" w:before="74"/>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69" w:right="67"/>
              <w:jc w:val="left"/>
              <w:rPr>
                <w:rFonts w:ascii="宋体" w:hAnsi="宋体" w:cs="宋体" w:eastAsia="宋体" w:hint="default"/>
                <w:sz w:val="18"/>
                <w:szCs w:val="18"/>
              </w:rPr>
            </w:pPr>
            <w:r>
              <w:rPr>
                <w:rFonts w:ascii="宋体" w:hAnsi="宋体" w:cs="宋体" w:eastAsia="宋体" w:hint="default"/>
                <w:sz w:val="18"/>
                <w:szCs w:val="18"/>
              </w:rPr>
              <w:t>租赁收益 确定依据</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68"/>
              <w:jc w:val="center"/>
              <w:rPr>
                <w:rFonts w:ascii="宋体" w:hAnsi="宋体" w:cs="宋体" w:eastAsia="宋体" w:hint="default"/>
                <w:sz w:val="18"/>
                <w:szCs w:val="18"/>
              </w:rPr>
            </w:pPr>
            <w:r>
              <w:rPr>
                <w:rFonts w:ascii="宋体" w:hAnsi="宋体" w:cs="宋体" w:eastAsia="宋体" w:hint="default"/>
                <w:sz w:val="18"/>
                <w:szCs w:val="18"/>
              </w:rPr>
              <w:t>租赁收益 对公司影 响</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52" w:right="67"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r>
      <w:tr>
        <w:trPr>
          <w:trHeight w:val="1337"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5"/>
              <w:jc w:val="both"/>
              <w:rPr>
                <w:rFonts w:ascii="宋体" w:hAnsi="宋体" w:cs="宋体" w:eastAsia="宋体" w:hint="default"/>
                <w:sz w:val="18"/>
                <w:szCs w:val="18"/>
              </w:rPr>
            </w:pPr>
            <w:r>
              <w:rPr>
                <w:rFonts w:ascii="宋体" w:hAnsi="宋体" w:cs="宋体" w:eastAsia="宋体" w:hint="default"/>
                <w:sz w:val="18"/>
                <w:szCs w:val="18"/>
              </w:rPr>
              <w:t>北京君正 集成电路 股份有限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13"/>
              <w:jc w:val="both"/>
              <w:rPr>
                <w:rFonts w:ascii="宋体" w:hAnsi="宋体" w:cs="宋体" w:eastAsia="宋体" w:hint="default"/>
                <w:sz w:val="18"/>
                <w:szCs w:val="18"/>
              </w:rPr>
            </w:pPr>
            <w:r>
              <w:rPr>
                <w:rFonts w:ascii="宋体" w:hAnsi="宋体" w:cs="宋体" w:eastAsia="宋体" w:hint="default"/>
                <w:sz w:val="18"/>
                <w:szCs w:val="18"/>
              </w:rPr>
              <w:t>北京华如 科技股份 有限公司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1,568.16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620.65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13"/>
              <w:jc w:val="left"/>
              <w:rPr>
                <w:rFonts w:ascii="宋体" w:hAnsi="宋体" w:cs="宋体" w:eastAsia="宋体" w:hint="default"/>
                <w:sz w:val="18"/>
                <w:szCs w:val="18"/>
              </w:rPr>
            </w:pPr>
            <w:r>
              <w:rPr>
                <w:rFonts w:ascii="宋体" w:hAnsi="宋体" w:cs="宋体" w:eastAsia="宋体" w:hint="default"/>
                <w:sz w:val="18"/>
                <w:szCs w:val="18"/>
              </w:rPr>
              <w:t>房屋租赁 合同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13"/>
              <w:jc w:val="both"/>
              <w:rPr>
                <w:rFonts w:ascii="宋体" w:hAnsi="宋体" w:cs="宋体" w:eastAsia="宋体" w:hint="default"/>
                <w:sz w:val="18"/>
                <w:szCs w:val="18"/>
              </w:rPr>
            </w:pPr>
            <w:r>
              <w:rPr>
                <w:rFonts w:ascii="宋体" w:hAnsi="宋体" w:cs="宋体" w:eastAsia="宋体" w:hint="default"/>
                <w:sz w:val="18"/>
                <w:szCs w:val="18"/>
              </w:rPr>
              <w:t>增加公司 其他业务 收入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13"/>
              <w:jc w:val="left"/>
              <w:rPr>
                <w:rFonts w:ascii="宋体" w:hAnsi="宋体" w:cs="宋体" w:eastAsia="宋体" w:hint="default"/>
                <w:sz w:val="18"/>
                <w:szCs w:val="18"/>
              </w:rPr>
            </w:pPr>
            <w:r>
              <w:rPr>
                <w:rFonts w:ascii="宋体" w:hAnsi="宋体" w:cs="宋体" w:eastAsia="宋体" w:hint="default"/>
                <w:sz w:val="18"/>
                <w:szCs w:val="18"/>
              </w:rPr>
              <w:t>同一实际 控制人</w:t>
            </w:r>
          </w:p>
        </w:tc>
      </w:tr>
      <w:tr>
        <w:trPr>
          <w:trHeight w:val="1339"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6"/>
              <w:jc w:val="both"/>
              <w:rPr>
                <w:rFonts w:ascii="宋体" w:hAnsi="宋体" w:cs="宋体" w:eastAsia="宋体" w:hint="default"/>
                <w:sz w:val="18"/>
                <w:szCs w:val="18"/>
              </w:rPr>
            </w:pPr>
            <w:r>
              <w:rPr>
                <w:rFonts w:ascii="宋体" w:hAnsi="宋体" w:cs="宋体" w:eastAsia="宋体" w:hint="default"/>
                <w:sz w:val="18"/>
                <w:szCs w:val="18"/>
              </w:rPr>
              <w:t>北京君正 集成电路 股份有限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13"/>
              <w:jc w:val="both"/>
              <w:rPr>
                <w:rFonts w:ascii="宋体" w:hAnsi="宋体" w:cs="宋体" w:eastAsia="宋体" w:hint="default"/>
                <w:sz w:val="18"/>
                <w:szCs w:val="18"/>
              </w:rPr>
            </w:pPr>
            <w:r>
              <w:rPr>
                <w:rFonts w:ascii="宋体" w:hAnsi="宋体" w:cs="宋体" w:eastAsia="宋体" w:hint="default"/>
                <w:sz w:val="18"/>
                <w:szCs w:val="18"/>
              </w:rPr>
              <w:t>北京华如 科技股份 有限公司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82.72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82.72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113"/>
              <w:jc w:val="left"/>
              <w:rPr>
                <w:rFonts w:ascii="宋体" w:hAnsi="宋体" w:cs="宋体" w:eastAsia="宋体" w:hint="default"/>
                <w:sz w:val="18"/>
                <w:szCs w:val="18"/>
              </w:rPr>
            </w:pPr>
            <w:r>
              <w:rPr>
                <w:rFonts w:ascii="宋体" w:hAnsi="宋体" w:cs="宋体" w:eastAsia="宋体" w:hint="default"/>
                <w:sz w:val="18"/>
                <w:szCs w:val="18"/>
              </w:rPr>
              <w:t>房屋租赁 合同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13"/>
              <w:jc w:val="both"/>
              <w:rPr>
                <w:rFonts w:ascii="宋体" w:hAnsi="宋体" w:cs="宋体" w:eastAsia="宋体" w:hint="default"/>
                <w:sz w:val="18"/>
                <w:szCs w:val="18"/>
              </w:rPr>
            </w:pPr>
            <w:r>
              <w:rPr>
                <w:rFonts w:ascii="宋体" w:hAnsi="宋体" w:cs="宋体" w:eastAsia="宋体" w:hint="default"/>
                <w:sz w:val="18"/>
                <w:szCs w:val="18"/>
              </w:rPr>
              <w:t>增加公司 其他业务 收入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113"/>
              <w:jc w:val="left"/>
              <w:rPr>
                <w:rFonts w:ascii="宋体" w:hAnsi="宋体" w:cs="宋体" w:eastAsia="宋体" w:hint="default"/>
                <w:sz w:val="18"/>
                <w:szCs w:val="18"/>
              </w:rPr>
            </w:pPr>
            <w:r>
              <w:rPr>
                <w:rFonts w:ascii="宋体" w:hAnsi="宋体" w:cs="宋体" w:eastAsia="宋体" w:hint="default"/>
                <w:sz w:val="18"/>
                <w:szCs w:val="18"/>
              </w:rPr>
              <w:t>同一实际 控制人</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after="0" w:line="338"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79" w:top="1100" w:bottom="1160" w:left="980" w:right="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1953" w:space="6787"/>
            <w:col w:w="219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1"/>
        <w:gridCol w:w="1846"/>
      </w:tblGrid>
      <w:tr>
        <w:trPr>
          <w:trHeight w:val="403"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48,800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38,730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闲置自有资金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20,500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其他类</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闲置自有资金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20,900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90,200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64,530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49"/>
        <w:ind w:right="-20"/>
        <w:jc w:val="left"/>
      </w:pPr>
      <w:r>
        <w:rPr/>
        <w:t>单项金额重大或安全性较低、流动性较差、不保本的高风险委托理财具体情况</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6273" w:space="2467"/>
            <w:col w:w="2190"/>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59"/>
        <w:gridCol w:w="562"/>
        <w:gridCol w:w="562"/>
        <w:gridCol w:w="562"/>
        <w:gridCol w:w="548"/>
        <w:gridCol w:w="547"/>
        <w:gridCol w:w="547"/>
        <w:gridCol w:w="538"/>
      </w:tblGrid>
      <w:tr>
        <w:trPr>
          <w:trHeight w:val="2274" w:hRule="exact"/>
        </w:trPr>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98"/>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9" w:lineRule="auto" w:before="19"/>
              <w:ind w:left="101" w:right="98"/>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110" w:right="108"/>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9" w:lineRule="auto" w:before="20"/>
              <w:ind w:left="24" w:right="21"/>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3"/>
                <w:sz w:val="18"/>
                <w:szCs w:val="18"/>
              </w:rPr>
              <w:t>人）类</w:t>
            </w:r>
            <w:r>
              <w:rPr>
                <w:rFonts w:ascii="宋体" w:hAnsi="宋体" w:cs="宋体" w:eastAsia="宋体" w:hint="default"/>
                <w:sz w:val="18"/>
                <w:szCs w:val="18"/>
              </w:rPr>
              <w:t> 型</w:t>
            </w:r>
          </w:p>
        </w:tc>
        <w:tc>
          <w:tcPr>
            <w:tcW w:w="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08"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96" w:right="94"/>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95" w:right="91"/>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95" w:right="95"/>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95"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95" w:right="94"/>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96" w:right="91"/>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95"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6" w:lineRule="auto" w:before="21"/>
              <w:ind w:left="184" w:right="95" w:hanging="89"/>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6" w:right="95"/>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5" w:right="95"/>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88" w:right="87"/>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6" w:lineRule="auto" w:before="19"/>
              <w:ind w:left="88" w:right="87"/>
              <w:jc w:val="both"/>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88" w:right="86"/>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88" w:right="8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19" w:hanging="3"/>
              <w:jc w:val="center"/>
              <w:rPr>
                <w:rFonts w:ascii="宋体" w:hAnsi="宋体" w:cs="宋体" w:eastAsia="宋体" w:hint="default"/>
                <w:sz w:val="18"/>
                <w:szCs w:val="18"/>
              </w:rPr>
            </w:pPr>
            <w:r>
              <w:rPr>
                <w:rFonts w:ascii="宋体" w:hAnsi="宋体" w:cs="宋体" w:eastAsia="宋体" w:hint="default"/>
                <w:sz w:val="18"/>
                <w:szCs w:val="18"/>
              </w:rPr>
              <w:t>事项 概述 及相 关查 询索 </w:t>
            </w:r>
            <w:r>
              <w:rPr>
                <w:rFonts w:ascii="宋体" w:hAnsi="宋体" w:cs="宋体" w:eastAsia="宋体" w:hint="default"/>
                <w:spacing w:val="-20"/>
                <w:sz w:val="18"/>
                <w:szCs w:val="18"/>
              </w:rPr>
              <w:t>引（如</w:t>
            </w:r>
            <w:r>
              <w:rPr>
                <w:rFonts w:ascii="宋体" w:hAnsi="宋体" w:cs="宋体" w:eastAsia="宋体" w:hint="default"/>
                <w:sz w:val="18"/>
                <w:szCs w:val="18"/>
              </w:rPr>
              <w:t> 有）</w:t>
            </w:r>
          </w:p>
        </w:tc>
      </w:tr>
      <w:tr>
        <w:trPr>
          <w:trHeight w:val="133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北京 银行 上地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0.79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0.79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7"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9" w:lineRule="auto" w:before="9"/>
              <w:ind w:left="24" w:right="176"/>
              <w:jc w:val="both"/>
              <w:rPr>
                <w:rFonts w:ascii="宋体" w:hAnsi="宋体" w:cs="宋体" w:eastAsia="宋体" w:hint="default"/>
                <w:sz w:val="18"/>
                <w:szCs w:val="18"/>
              </w:rPr>
            </w:pPr>
            <w:r>
              <w:rPr>
                <w:rFonts w:ascii="宋体" w:hAnsi="宋体" w:cs="宋体" w:eastAsia="宋体" w:hint="default"/>
                <w:sz w:val="18"/>
                <w:szCs w:val="18"/>
              </w:rPr>
              <w:t>易迪 基金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4" w:lineRule="auto"/>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4" w:lineRule="auto"/>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3,000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4" w:lineRule="auto"/>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4" w:lineRule="auto"/>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8.00%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88.77</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88.77</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4" w:lineRule="auto"/>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133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北京 银行 上地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1,200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89" w:right="0"/>
              <w:jc w:val="center"/>
              <w:rPr>
                <w:rFonts w:ascii="Times New Roman" w:hAnsi="Times New Roman" w:cs="Times New Roman" w:eastAsia="Times New Roman" w:hint="default"/>
                <w:sz w:val="18"/>
                <w:szCs w:val="18"/>
              </w:rPr>
            </w:pPr>
            <w:r>
              <w:rPr>
                <w:rFonts w:ascii="Times New Roman"/>
                <w:sz w:val="18"/>
              </w:rPr>
              <w:t>1.07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89" w:right="0"/>
              <w:jc w:val="center"/>
              <w:rPr>
                <w:rFonts w:ascii="Times New Roman" w:hAnsi="Times New Roman" w:cs="Times New Roman" w:eastAsia="Times New Roman" w:hint="default"/>
                <w:sz w:val="18"/>
                <w:szCs w:val="18"/>
              </w:rPr>
            </w:pPr>
            <w:r>
              <w:rPr>
                <w:rFonts w:ascii="Times New Roman"/>
                <w:sz w:val="18"/>
              </w:rPr>
              <w:t>1.07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59"/>
        <w:gridCol w:w="562"/>
        <w:gridCol w:w="562"/>
        <w:gridCol w:w="562"/>
        <w:gridCol w:w="548"/>
        <w:gridCol w:w="547"/>
        <w:gridCol w:w="547"/>
        <w:gridCol w:w="538"/>
      </w:tblGrid>
      <w:tr>
        <w:trPr>
          <w:trHeight w:val="356"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易迪 基金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3,000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8.00%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79.56</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79.56</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7"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7"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9" w:lineRule="auto" w:before="9"/>
              <w:ind w:left="24" w:right="176"/>
              <w:jc w:val="both"/>
              <w:rPr>
                <w:rFonts w:ascii="宋体" w:hAnsi="宋体" w:cs="宋体" w:eastAsia="宋体" w:hint="default"/>
                <w:sz w:val="18"/>
                <w:szCs w:val="18"/>
              </w:rPr>
            </w:pPr>
            <w:r>
              <w:rPr>
                <w:rFonts w:ascii="宋体" w:hAnsi="宋体" w:cs="宋体" w:eastAsia="宋体" w:hint="default"/>
                <w:sz w:val="18"/>
                <w:szCs w:val="18"/>
              </w:rPr>
              <w:t>易迪 基金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8"/>
              <w:jc w:val="right"/>
              <w:rPr>
                <w:rFonts w:ascii="Times New Roman" w:hAnsi="Times New Roman" w:cs="Times New Roman" w:eastAsia="Times New Roman" w:hint="default"/>
                <w:sz w:val="18"/>
                <w:szCs w:val="18"/>
              </w:rPr>
            </w:pPr>
            <w:r>
              <w:rPr>
                <w:rFonts w:ascii="Times New Roman"/>
                <w:sz w:val="18"/>
              </w:rPr>
              <w:t>4,000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62" w:right="0"/>
              <w:jc w:val="left"/>
              <w:rPr>
                <w:rFonts w:ascii="Times New Roman" w:hAnsi="Times New Roman" w:cs="Times New Roman" w:eastAsia="Times New Roman" w:hint="default"/>
                <w:sz w:val="18"/>
                <w:szCs w:val="18"/>
              </w:rPr>
            </w:pPr>
            <w:r>
              <w:rPr>
                <w:rFonts w:ascii="Times New Roman"/>
                <w:sz w:val="18"/>
              </w:rPr>
              <w:t>8.00%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1"/>
              <w:jc w:val="right"/>
              <w:rPr>
                <w:rFonts w:ascii="Times New Roman" w:hAnsi="Times New Roman" w:cs="Times New Roman" w:eastAsia="Times New Roman" w:hint="default"/>
                <w:sz w:val="18"/>
                <w:szCs w:val="18"/>
              </w:rPr>
            </w:pPr>
            <w:r>
              <w:rPr>
                <w:rFonts w:ascii="Times New Roman"/>
                <w:spacing w:val="-1"/>
                <w:sz w:val="18"/>
              </w:rPr>
              <w:t>129.75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1"/>
              <w:jc w:val="right"/>
              <w:rPr>
                <w:rFonts w:ascii="Times New Roman" w:hAnsi="Times New Roman" w:cs="Times New Roman" w:eastAsia="Times New Roman" w:hint="default"/>
                <w:sz w:val="18"/>
                <w:szCs w:val="18"/>
              </w:rPr>
            </w:pPr>
            <w:r>
              <w:rPr>
                <w:rFonts w:ascii="Times New Roman"/>
                <w:spacing w:val="-1"/>
                <w:sz w:val="18"/>
              </w:rPr>
              <w:t>129.75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133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北京 银行 上地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2" w:right="0"/>
              <w:jc w:val="left"/>
              <w:rPr>
                <w:rFonts w:ascii="Times New Roman" w:hAnsi="Times New Roman" w:cs="Times New Roman" w:eastAsia="Times New Roman" w:hint="default"/>
                <w:sz w:val="18"/>
                <w:szCs w:val="18"/>
              </w:rPr>
            </w:pPr>
            <w:r>
              <w:rPr>
                <w:rFonts w:ascii="Times New Roman"/>
                <w:sz w:val="18"/>
              </w:rPr>
              <w:t>1.80%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0.39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0.39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6"/>
              <w:jc w:val="both"/>
              <w:rPr>
                <w:rFonts w:ascii="宋体" w:hAnsi="宋体" w:cs="宋体" w:eastAsia="宋体" w:hint="default"/>
                <w:sz w:val="18"/>
                <w:szCs w:val="18"/>
              </w:rPr>
            </w:pPr>
            <w:r>
              <w:rPr>
                <w:rFonts w:ascii="宋体" w:hAnsi="宋体" w:cs="宋体" w:eastAsia="宋体" w:hint="default"/>
                <w:sz w:val="18"/>
                <w:szCs w:val="18"/>
              </w:rPr>
              <w:t>北京 银行 上地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z w:val="18"/>
              </w:rPr>
              <w:t>1,500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62" w:right="0"/>
              <w:jc w:val="left"/>
              <w:rPr>
                <w:rFonts w:ascii="Times New Roman" w:hAnsi="Times New Roman" w:cs="Times New Roman" w:eastAsia="Times New Roman" w:hint="default"/>
                <w:sz w:val="18"/>
                <w:szCs w:val="18"/>
              </w:rPr>
            </w:pPr>
            <w:r>
              <w:rPr>
                <w:rFonts w:ascii="Times New Roman"/>
                <w:sz w:val="18"/>
              </w:rPr>
              <w:t>1.80%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1.48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1.48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356"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恒天</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中岩 投资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2,000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4.26%</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22.62</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22.62</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7"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恒天</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7"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9" w:lineRule="auto" w:before="9"/>
              <w:ind w:left="24" w:right="176"/>
              <w:jc w:val="both"/>
              <w:rPr>
                <w:rFonts w:ascii="宋体" w:hAnsi="宋体" w:cs="宋体" w:eastAsia="宋体" w:hint="default"/>
                <w:sz w:val="18"/>
                <w:szCs w:val="18"/>
              </w:rPr>
            </w:pPr>
            <w:r>
              <w:rPr>
                <w:rFonts w:ascii="宋体" w:hAnsi="宋体" w:cs="宋体" w:eastAsia="宋体" w:hint="default"/>
                <w:sz w:val="18"/>
                <w:szCs w:val="18"/>
              </w:rPr>
              <w:t>中岩 投资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8"/>
              <w:jc w:val="right"/>
              <w:rPr>
                <w:rFonts w:ascii="Times New Roman" w:hAnsi="Times New Roman" w:cs="Times New Roman" w:eastAsia="Times New Roman" w:hint="default"/>
                <w:sz w:val="18"/>
                <w:szCs w:val="18"/>
              </w:rPr>
            </w:pPr>
            <w:r>
              <w:rPr>
                <w:rFonts w:ascii="Times New Roman"/>
                <w:sz w:val="18"/>
              </w:rPr>
              <w:t>1,300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62" w:right="0"/>
              <w:jc w:val="left"/>
              <w:rPr>
                <w:rFonts w:ascii="Times New Roman" w:hAnsi="Times New Roman" w:cs="Times New Roman" w:eastAsia="Times New Roman" w:hint="default"/>
                <w:sz w:val="18"/>
                <w:szCs w:val="18"/>
              </w:rPr>
            </w:pPr>
            <w:r>
              <w:rPr>
                <w:rFonts w:ascii="Times New Roman"/>
                <w:sz w:val="18"/>
              </w:rPr>
              <w:t>4.80%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1"/>
              <w:jc w:val="right"/>
              <w:rPr>
                <w:rFonts w:ascii="Times New Roman" w:hAnsi="Times New Roman" w:cs="Times New Roman" w:eastAsia="Times New Roman" w:hint="default"/>
                <w:sz w:val="18"/>
                <w:szCs w:val="18"/>
              </w:rPr>
            </w:pPr>
            <w:r>
              <w:rPr>
                <w:rFonts w:ascii="Times New Roman"/>
                <w:spacing w:val="-1"/>
                <w:sz w:val="18"/>
              </w:rPr>
              <w:t>5.15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1"/>
              <w:jc w:val="right"/>
              <w:rPr>
                <w:rFonts w:ascii="Times New Roman" w:hAnsi="Times New Roman" w:cs="Times New Roman" w:eastAsia="Times New Roman" w:hint="default"/>
                <w:sz w:val="18"/>
                <w:szCs w:val="18"/>
              </w:rPr>
            </w:pPr>
            <w:r>
              <w:rPr>
                <w:rFonts w:ascii="Times New Roman"/>
                <w:spacing w:val="-1"/>
                <w:sz w:val="18"/>
              </w:rPr>
              <w:t>5.15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易迪 基金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1,600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8.50%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86.07</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86.07</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59"/>
        <w:gridCol w:w="562"/>
        <w:gridCol w:w="562"/>
        <w:gridCol w:w="562"/>
        <w:gridCol w:w="548"/>
        <w:gridCol w:w="547"/>
        <w:gridCol w:w="547"/>
        <w:gridCol w:w="538"/>
      </w:tblGrid>
      <w:tr>
        <w:trPr>
          <w:trHeight w:val="356"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恒天</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中岩 投资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1,700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4.80%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8.05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8.05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7"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恒天</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7"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9" w:lineRule="auto" w:before="9"/>
              <w:ind w:left="24" w:right="176"/>
              <w:jc w:val="both"/>
              <w:rPr>
                <w:rFonts w:ascii="宋体" w:hAnsi="宋体" w:cs="宋体" w:eastAsia="宋体" w:hint="default"/>
                <w:sz w:val="18"/>
                <w:szCs w:val="18"/>
              </w:rPr>
            </w:pPr>
            <w:r>
              <w:rPr>
                <w:rFonts w:ascii="宋体" w:hAnsi="宋体" w:cs="宋体" w:eastAsia="宋体" w:hint="default"/>
                <w:sz w:val="18"/>
                <w:szCs w:val="18"/>
              </w:rPr>
              <w:t>中岩 投资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8"/>
              <w:jc w:val="right"/>
              <w:rPr>
                <w:rFonts w:ascii="Times New Roman" w:hAnsi="Times New Roman" w:cs="Times New Roman" w:eastAsia="Times New Roman" w:hint="default"/>
                <w:sz w:val="18"/>
                <w:szCs w:val="18"/>
              </w:rPr>
            </w:pPr>
            <w:r>
              <w:rPr>
                <w:rFonts w:ascii="Times New Roman"/>
                <w:sz w:val="18"/>
              </w:rPr>
              <w:t>1,700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62" w:right="0"/>
              <w:jc w:val="left"/>
              <w:rPr>
                <w:rFonts w:ascii="Times New Roman" w:hAnsi="Times New Roman" w:cs="Times New Roman" w:eastAsia="Times New Roman" w:hint="default"/>
                <w:sz w:val="18"/>
                <w:szCs w:val="18"/>
              </w:rPr>
            </w:pPr>
            <w:r>
              <w:rPr>
                <w:rFonts w:ascii="Times New Roman"/>
                <w:sz w:val="18"/>
              </w:rPr>
              <w:t>4.80%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1"/>
              <w:jc w:val="right"/>
              <w:rPr>
                <w:rFonts w:ascii="Times New Roman" w:hAnsi="Times New Roman" w:cs="Times New Roman" w:eastAsia="Times New Roman" w:hint="default"/>
                <w:sz w:val="18"/>
                <w:szCs w:val="18"/>
              </w:rPr>
            </w:pPr>
            <w:r>
              <w:rPr>
                <w:rFonts w:ascii="Times New Roman"/>
                <w:spacing w:val="-1"/>
                <w:sz w:val="18"/>
              </w:rPr>
              <w:t>7.91</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1"/>
              <w:jc w:val="right"/>
              <w:rPr>
                <w:rFonts w:ascii="Times New Roman" w:hAnsi="Times New Roman" w:cs="Times New Roman" w:eastAsia="Times New Roman" w:hint="default"/>
                <w:sz w:val="18"/>
                <w:szCs w:val="18"/>
              </w:rPr>
            </w:pPr>
            <w:r>
              <w:rPr>
                <w:rFonts w:ascii="Times New Roman"/>
                <w:spacing w:val="-1"/>
                <w:sz w:val="18"/>
              </w:rPr>
              <w:t>7.91</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易迪 基金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4,300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8.50%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184.25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184.25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134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6"/>
              <w:jc w:val="both"/>
              <w:rPr>
                <w:rFonts w:ascii="宋体" w:hAnsi="宋体" w:cs="宋体" w:eastAsia="宋体" w:hint="default"/>
                <w:sz w:val="18"/>
                <w:szCs w:val="18"/>
              </w:rPr>
            </w:pPr>
            <w:r>
              <w:rPr>
                <w:rFonts w:ascii="宋体" w:hAnsi="宋体" w:cs="宋体" w:eastAsia="宋体" w:hint="default"/>
                <w:sz w:val="18"/>
                <w:szCs w:val="18"/>
              </w:rPr>
              <w:t>北京 银行 上地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z w:val="18"/>
              </w:rPr>
              <w:t>1,600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62" w:right="0"/>
              <w:jc w:val="left"/>
              <w:rPr>
                <w:rFonts w:ascii="Times New Roman" w:hAnsi="Times New Roman" w:cs="Times New Roman" w:eastAsia="Times New Roman" w:hint="default"/>
                <w:sz w:val="18"/>
                <w:szCs w:val="18"/>
              </w:rPr>
            </w:pPr>
            <w:r>
              <w:rPr>
                <w:rFonts w:ascii="Times New Roman"/>
                <w:sz w:val="18"/>
              </w:rPr>
              <w:t>1.80%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0.97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0.97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恒天</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中岩 投资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1,700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2.66%</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2.97</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2.97</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7"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恒天</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7"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9" w:lineRule="auto" w:before="9"/>
              <w:ind w:left="24" w:right="176"/>
              <w:jc w:val="both"/>
              <w:rPr>
                <w:rFonts w:ascii="宋体" w:hAnsi="宋体" w:cs="宋体" w:eastAsia="宋体" w:hint="default"/>
                <w:sz w:val="18"/>
                <w:szCs w:val="18"/>
              </w:rPr>
            </w:pPr>
            <w:r>
              <w:rPr>
                <w:rFonts w:ascii="宋体" w:hAnsi="宋体" w:cs="宋体" w:eastAsia="宋体" w:hint="default"/>
                <w:sz w:val="18"/>
                <w:szCs w:val="18"/>
              </w:rPr>
              <w:t>中岩 投资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7"/>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7"/>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8"/>
              <w:jc w:val="right"/>
              <w:rPr>
                <w:rFonts w:ascii="Times New Roman" w:hAnsi="Times New Roman" w:cs="Times New Roman" w:eastAsia="Times New Roman" w:hint="default"/>
                <w:sz w:val="18"/>
                <w:szCs w:val="18"/>
              </w:rPr>
            </w:pPr>
            <w:r>
              <w:rPr>
                <w:rFonts w:ascii="Times New Roman"/>
                <w:sz w:val="18"/>
              </w:rPr>
              <w:t>4,000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7"/>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7"/>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62" w:right="0"/>
              <w:jc w:val="left"/>
              <w:rPr>
                <w:rFonts w:ascii="Times New Roman" w:hAnsi="Times New Roman" w:cs="Times New Roman" w:eastAsia="Times New Roman" w:hint="default"/>
                <w:sz w:val="18"/>
                <w:szCs w:val="18"/>
              </w:rPr>
            </w:pPr>
            <w:r>
              <w:rPr>
                <w:rFonts w:ascii="Times New Roman"/>
                <w:sz w:val="18"/>
              </w:rPr>
              <w:t>4.80%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1"/>
              <w:jc w:val="right"/>
              <w:rPr>
                <w:rFonts w:ascii="Times New Roman" w:hAnsi="Times New Roman" w:cs="Times New Roman" w:eastAsia="Times New Roman" w:hint="default"/>
                <w:sz w:val="18"/>
                <w:szCs w:val="18"/>
              </w:rPr>
            </w:pPr>
            <w:r>
              <w:rPr>
                <w:rFonts w:ascii="Times New Roman"/>
                <w:sz w:val="18"/>
              </w:rPr>
              <w:t>19.16</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1"/>
              <w:jc w:val="right"/>
              <w:rPr>
                <w:rFonts w:ascii="Times New Roman" w:hAnsi="Times New Roman" w:cs="Times New Roman" w:eastAsia="Times New Roman" w:hint="default"/>
                <w:sz w:val="18"/>
                <w:szCs w:val="18"/>
              </w:rPr>
            </w:pPr>
            <w:r>
              <w:rPr>
                <w:rFonts w:ascii="Times New Roman"/>
                <w:sz w:val="18"/>
              </w:rPr>
              <w:t>19.16</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7"/>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恒天</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中岩 投资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2,300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2.66%</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2.85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2.85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59"/>
        <w:gridCol w:w="562"/>
        <w:gridCol w:w="562"/>
        <w:gridCol w:w="562"/>
        <w:gridCol w:w="548"/>
        <w:gridCol w:w="547"/>
        <w:gridCol w:w="547"/>
        <w:gridCol w:w="538"/>
      </w:tblGrid>
      <w:tr>
        <w:trPr>
          <w:trHeight w:val="133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北京 银行 上地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500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2" w:right="0"/>
              <w:jc w:val="left"/>
              <w:rPr>
                <w:rFonts w:ascii="Times New Roman" w:hAnsi="Times New Roman" w:cs="Times New Roman" w:eastAsia="Times New Roman" w:hint="default"/>
                <w:sz w:val="18"/>
                <w:szCs w:val="18"/>
              </w:rPr>
            </w:pPr>
            <w:r>
              <w:rPr>
                <w:rFonts w:ascii="Times New Roman"/>
                <w:sz w:val="18"/>
              </w:rPr>
              <w:t>1.80%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90" w:right="0"/>
              <w:jc w:val="center"/>
              <w:rPr>
                <w:rFonts w:ascii="Times New Roman" w:hAnsi="Times New Roman" w:cs="Times New Roman" w:eastAsia="Times New Roman" w:hint="default"/>
                <w:sz w:val="18"/>
                <w:szCs w:val="18"/>
              </w:rPr>
            </w:pPr>
            <w:r>
              <w:rPr>
                <w:rFonts w:ascii="Times New Roman"/>
                <w:sz w:val="18"/>
              </w:rPr>
              <w:t>0.54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90" w:right="0"/>
              <w:jc w:val="center"/>
              <w:rPr>
                <w:rFonts w:ascii="Times New Roman" w:hAnsi="Times New Roman" w:cs="Times New Roman" w:eastAsia="Times New Roman" w:hint="default"/>
                <w:sz w:val="18"/>
                <w:szCs w:val="18"/>
              </w:rPr>
            </w:pPr>
            <w:r>
              <w:rPr>
                <w:rFonts w:ascii="Times New Roman"/>
                <w:sz w:val="18"/>
              </w:rPr>
              <w:t>0.54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恒天</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7"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176"/>
              <w:jc w:val="both"/>
              <w:rPr>
                <w:rFonts w:ascii="宋体" w:hAnsi="宋体" w:cs="宋体" w:eastAsia="宋体" w:hint="default"/>
                <w:sz w:val="18"/>
                <w:szCs w:val="18"/>
              </w:rPr>
            </w:pPr>
            <w:r>
              <w:rPr>
                <w:rFonts w:ascii="宋体" w:hAnsi="宋体" w:cs="宋体" w:eastAsia="宋体" w:hint="default"/>
                <w:sz w:val="18"/>
                <w:szCs w:val="18"/>
              </w:rPr>
              <w:t>中岩 投资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8"/>
              <w:jc w:val="right"/>
              <w:rPr>
                <w:rFonts w:ascii="Times New Roman" w:hAnsi="Times New Roman" w:cs="Times New Roman" w:eastAsia="Times New Roman" w:hint="default"/>
                <w:sz w:val="18"/>
                <w:szCs w:val="18"/>
              </w:rPr>
            </w:pPr>
            <w:r>
              <w:rPr>
                <w:rFonts w:ascii="Times New Roman"/>
                <w:sz w:val="18"/>
              </w:rPr>
              <w:t>1,000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62" w:right="0"/>
              <w:jc w:val="left"/>
              <w:rPr>
                <w:rFonts w:ascii="Times New Roman" w:hAnsi="Times New Roman" w:cs="Times New Roman" w:eastAsia="Times New Roman" w:hint="default"/>
                <w:sz w:val="18"/>
                <w:szCs w:val="18"/>
              </w:rPr>
            </w:pPr>
            <w:r>
              <w:rPr>
                <w:rFonts w:ascii="Times New Roman"/>
                <w:sz w:val="18"/>
              </w:rPr>
              <w:t>4.80%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97" w:right="0"/>
              <w:jc w:val="center"/>
              <w:rPr>
                <w:rFonts w:ascii="Times New Roman" w:hAnsi="Times New Roman" w:cs="Times New Roman" w:eastAsia="Times New Roman" w:hint="default"/>
                <w:sz w:val="18"/>
                <w:szCs w:val="18"/>
              </w:rPr>
            </w:pPr>
            <w:r>
              <w:rPr>
                <w:rFonts w:ascii="Times New Roman"/>
                <w:sz w:val="18"/>
              </w:rPr>
              <w:t>5.11</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97" w:right="0"/>
              <w:jc w:val="center"/>
              <w:rPr>
                <w:rFonts w:ascii="Times New Roman" w:hAnsi="Times New Roman" w:cs="Times New Roman" w:eastAsia="Times New Roman" w:hint="default"/>
                <w:sz w:val="18"/>
                <w:szCs w:val="18"/>
              </w:rPr>
            </w:pPr>
            <w:r>
              <w:rPr>
                <w:rFonts w:ascii="Times New Roman"/>
                <w:sz w:val="18"/>
              </w:rPr>
              <w:t>5.11</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6"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恒天</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中岩 投资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4,000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4.80%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99" w:right="0"/>
              <w:jc w:val="center"/>
              <w:rPr>
                <w:rFonts w:ascii="Times New Roman" w:hAnsi="Times New Roman" w:cs="Times New Roman" w:eastAsia="Times New Roman" w:hint="default"/>
                <w:sz w:val="18"/>
                <w:szCs w:val="18"/>
              </w:rPr>
            </w:pPr>
            <w:r>
              <w:rPr>
                <w:rFonts w:ascii="Times New Roman"/>
                <w:sz w:val="18"/>
              </w:rPr>
              <w:t>20.86</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99" w:right="0"/>
              <w:jc w:val="center"/>
              <w:rPr>
                <w:rFonts w:ascii="Times New Roman" w:hAnsi="Times New Roman" w:cs="Times New Roman" w:eastAsia="Times New Roman" w:hint="default"/>
                <w:sz w:val="18"/>
                <w:szCs w:val="18"/>
              </w:rPr>
            </w:pPr>
            <w:r>
              <w:rPr>
                <w:rFonts w:ascii="Times New Roman"/>
                <w:sz w:val="18"/>
              </w:rPr>
              <w:t>20.86</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133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6"/>
              <w:jc w:val="both"/>
              <w:rPr>
                <w:rFonts w:ascii="宋体" w:hAnsi="宋体" w:cs="宋体" w:eastAsia="宋体" w:hint="default"/>
                <w:sz w:val="18"/>
                <w:szCs w:val="18"/>
              </w:rPr>
            </w:pPr>
            <w:r>
              <w:rPr>
                <w:rFonts w:ascii="宋体" w:hAnsi="宋体" w:cs="宋体" w:eastAsia="宋体" w:hint="default"/>
                <w:sz w:val="18"/>
                <w:szCs w:val="18"/>
              </w:rPr>
              <w:t>北京 银行 上地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z w:val="18"/>
              </w:rPr>
              <w:t>700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62" w:right="0"/>
              <w:jc w:val="left"/>
              <w:rPr>
                <w:rFonts w:ascii="Times New Roman" w:hAnsi="Times New Roman" w:cs="Times New Roman" w:eastAsia="Times New Roman" w:hint="default"/>
                <w:sz w:val="18"/>
                <w:szCs w:val="18"/>
              </w:rPr>
            </w:pPr>
            <w:r>
              <w:rPr>
                <w:rFonts w:ascii="Times New Roman"/>
                <w:sz w:val="18"/>
              </w:rPr>
              <w:t>1.80%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90" w:right="0"/>
              <w:jc w:val="center"/>
              <w:rPr>
                <w:rFonts w:ascii="Times New Roman" w:hAnsi="Times New Roman" w:cs="Times New Roman" w:eastAsia="Times New Roman" w:hint="default"/>
                <w:sz w:val="18"/>
                <w:szCs w:val="18"/>
              </w:rPr>
            </w:pPr>
            <w:r>
              <w:rPr>
                <w:rFonts w:ascii="Times New Roman"/>
                <w:sz w:val="18"/>
              </w:rPr>
              <w:t>0.62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90" w:right="0"/>
              <w:jc w:val="center"/>
              <w:rPr>
                <w:rFonts w:ascii="Times New Roman" w:hAnsi="Times New Roman" w:cs="Times New Roman" w:eastAsia="Times New Roman" w:hint="default"/>
                <w:sz w:val="18"/>
                <w:szCs w:val="18"/>
              </w:rPr>
            </w:pPr>
            <w:r>
              <w:rPr>
                <w:rFonts w:ascii="Times New Roman"/>
                <w:sz w:val="18"/>
              </w:rPr>
              <w:t>0.62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北京 银行 上地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700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2" w:right="0"/>
              <w:jc w:val="left"/>
              <w:rPr>
                <w:rFonts w:ascii="Times New Roman" w:hAnsi="Times New Roman" w:cs="Times New Roman" w:eastAsia="Times New Roman" w:hint="default"/>
                <w:sz w:val="18"/>
                <w:szCs w:val="18"/>
              </w:rPr>
            </w:pPr>
            <w:r>
              <w:rPr>
                <w:rFonts w:ascii="Times New Roman"/>
                <w:sz w:val="18"/>
              </w:rPr>
              <w:t>1.80%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90" w:right="0"/>
              <w:jc w:val="center"/>
              <w:rPr>
                <w:rFonts w:ascii="Times New Roman" w:hAnsi="Times New Roman" w:cs="Times New Roman" w:eastAsia="Times New Roman" w:hint="default"/>
                <w:sz w:val="18"/>
                <w:szCs w:val="18"/>
              </w:rPr>
            </w:pPr>
            <w:r>
              <w:rPr>
                <w:rFonts w:ascii="Times New Roman"/>
                <w:sz w:val="18"/>
              </w:rPr>
              <w:t>0.35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90" w:right="0"/>
              <w:jc w:val="center"/>
              <w:rPr>
                <w:rFonts w:ascii="Times New Roman" w:hAnsi="Times New Roman" w:cs="Times New Roman" w:eastAsia="Times New Roman" w:hint="default"/>
                <w:sz w:val="18"/>
                <w:szCs w:val="18"/>
              </w:rPr>
            </w:pPr>
            <w:r>
              <w:rPr>
                <w:rFonts w:ascii="Times New Roman"/>
                <w:sz w:val="18"/>
              </w:rPr>
              <w:t>0.35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6"/>
              <w:jc w:val="both"/>
              <w:rPr>
                <w:rFonts w:ascii="宋体" w:hAnsi="宋体" w:cs="宋体" w:eastAsia="宋体" w:hint="default"/>
                <w:sz w:val="18"/>
                <w:szCs w:val="18"/>
              </w:rPr>
            </w:pPr>
            <w:r>
              <w:rPr>
                <w:rFonts w:ascii="宋体" w:hAnsi="宋体" w:cs="宋体" w:eastAsia="宋体" w:hint="default"/>
                <w:sz w:val="18"/>
                <w:szCs w:val="18"/>
              </w:rPr>
              <w:t>北京 银行 上地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z w:val="18"/>
              </w:rPr>
              <w:t>800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62" w:right="0"/>
              <w:jc w:val="left"/>
              <w:rPr>
                <w:rFonts w:ascii="Times New Roman" w:hAnsi="Times New Roman" w:cs="Times New Roman" w:eastAsia="Times New Roman" w:hint="default"/>
                <w:sz w:val="18"/>
                <w:szCs w:val="18"/>
              </w:rPr>
            </w:pPr>
            <w:r>
              <w:rPr>
                <w:rFonts w:ascii="Times New Roman"/>
                <w:sz w:val="18"/>
              </w:rPr>
              <w:t>1.80%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90" w:right="0"/>
              <w:jc w:val="center"/>
              <w:rPr>
                <w:rFonts w:ascii="Times New Roman" w:hAnsi="Times New Roman" w:cs="Times New Roman" w:eastAsia="Times New Roman" w:hint="default"/>
                <w:sz w:val="18"/>
                <w:szCs w:val="18"/>
              </w:rPr>
            </w:pPr>
            <w:r>
              <w:rPr>
                <w:rFonts w:ascii="Times New Roman"/>
                <w:sz w:val="18"/>
              </w:rPr>
              <w:t>0.24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90" w:right="0"/>
              <w:jc w:val="center"/>
              <w:rPr>
                <w:rFonts w:ascii="Times New Roman" w:hAnsi="Times New Roman" w:cs="Times New Roman" w:eastAsia="Times New Roman" w:hint="default"/>
                <w:sz w:val="18"/>
                <w:szCs w:val="18"/>
              </w:rPr>
            </w:pPr>
            <w:r>
              <w:rPr>
                <w:rFonts w:ascii="Times New Roman"/>
                <w:sz w:val="18"/>
              </w:rPr>
              <w:t>0.24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恒天</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9"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中岩 投资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8"/>
              <w:jc w:val="right"/>
              <w:rPr>
                <w:rFonts w:ascii="Times New Roman" w:hAnsi="Times New Roman" w:cs="Times New Roman" w:eastAsia="Times New Roman" w:hint="default"/>
                <w:sz w:val="18"/>
                <w:szCs w:val="18"/>
              </w:rPr>
            </w:pPr>
            <w:r>
              <w:rPr>
                <w:rFonts w:ascii="Times New Roman"/>
                <w:sz w:val="18"/>
              </w:rPr>
              <w:t>1,300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62" w:right="0"/>
              <w:jc w:val="left"/>
              <w:rPr>
                <w:rFonts w:ascii="Times New Roman" w:hAnsi="Times New Roman" w:cs="Times New Roman" w:eastAsia="Times New Roman" w:hint="default"/>
                <w:sz w:val="18"/>
                <w:szCs w:val="18"/>
              </w:rPr>
            </w:pPr>
            <w:r>
              <w:rPr>
                <w:rFonts w:ascii="Times New Roman"/>
                <w:sz w:val="18"/>
              </w:rPr>
              <w:t>4.80%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190" w:right="0"/>
              <w:jc w:val="center"/>
              <w:rPr>
                <w:rFonts w:ascii="Times New Roman" w:hAnsi="Times New Roman" w:cs="Times New Roman" w:eastAsia="Times New Roman" w:hint="default"/>
                <w:sz w:val="18"/>
                <w:szCs w:val="18"/>
              </w:rPr>
            </w:pPr>
            <w:r>
              <w:rPr>
                <w:rFonts w:ascii="Times New Roman"/>
                <w:sz w:val="18"/>
              </w:rPr>
              <w:t>6.29</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190" w:right="0"/>
              <w:jc w:val="center"/>
              <w:rPr>
                <w:rFonts w:ascii="Times New Roman" w:hAnsi="Times New Roman" w:cs="Times New Roman" w:eastAsia="Times New Roman" w:hint="default"/>
                <w:sz w:val="18"/>
                <w:szCs w:val="18"/>
              </w:rPr>
            </w:pPr>
            <w:r>
              <w:rPr>
                <w:rFonts w:ascii="Times New Roman"/>
                <w:sz w:val="18"/>
              </w:rPr>
              <w:t>6.29</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133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6"/>
              <w:jc w:val="both"/>
              <w:rPr>
                <w:rFonts w:ascii="宋体" w:hAnsi="宋体" w:cs="宋体" w:eastAsia="宋体" w:hint="default"/>
                <w:sz w:val="18"/>
                <w:szCs w:val="18"/>
              </w:rPr>
            </w:pPr>
            <w:r>
              <w:rPr>
                <w:rFonts w:ascii="宋体" w:hAnsi="宋体" w:cs="宋体" w:eastAsia="宋体" w:hint="default"/>
                <w:sz w:val="18"/>
                <w:szCs w:val="18"/>
              </w:rPr>
              <w:t>北京 银行 上地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z w:val="18"/>
              </w:rPr>
              <w:t>500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62" w:right="0"/>
              <w:jc w:val="left"/>
              <w:rPr>
                <w:rFonts w:ascii="Times New Roman" w:hAnsi="Times New Roman" w:cs="Times New Roman" w:eastAsia="Times New Roman" w:hint="default"/>
                <w:sz w:val="18"/>
                <w:szCs w:val="18"/>
              </w:rPr>
            </w:pPr>
            <w:r>
              <w:rPr>
                <w:rFonts w:ascii="Times New Roman"/>
                <w:sz w:val="18"/>
              </w:rPr>
              <w:t>1.80%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90" w:right="0"/>
              <w:jc w:val="center"/>
              <w:rPr>
                <w:rFonts w:ascii="Times New Roman" w:hAnsi="Times New Roman" w:cs="Times New Roman" w:eastAsia="Times New Roman" w:hint="default"/>
                <w:sz w:val="18"/>
                <w:szCs w:val="18"/>
              </w:rPr>
            </w:pPr>
            <w:r>
              <w:rPr>
                <w:rFonts w:ascii="Times New Roman"/>
                <w:sz w:val="18"/>
              </w:rPr>
              <w:t>0.59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90" w:right="0"/>
              <w:jc w:val="center"/>
              <w:rPr>
                <w:rFonts w:ascii="Times New Roman" w:hAnsi="Times New Roman" w:cs="Times New Roman" w:eastAsia="Times New Roman" w:hint="default"/>
                <w:sz w:val="18"/>
                <w:szCs w:val="18"/>
              </w:rPr>
            </w:pPr>
            <w:r>
              <w:rPr>
                <w:rFonts w:ascii="Times New Roman"/>
                <w:sz w:val="18"/>
              </w:rPr>
              <w:t>0.59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59"/>
        <w:gridCol w:w="562"/>
        <w:gridCol w:w="562"/>
        <w:gridCol w:w="562"/>
        <w:gridCol w:w="548"/>
        <w:gridCol w:w="547"/>
        <w:gridCol w:w="547"/>
        <w:gridCol w:w="538"/>
      </w:tblGrid>
      <w:tr>
        <w:trPr>
          <w:trHeight w:val="356"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恒天</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中岩 投资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4,000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4.80%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99" w:right="0"/>
              <w:jc w:val="center"/>
              <w:rPr>
                <w:rFonts w:ascii="Times New Roman" w:hAnsi="Times New Roman" w:cs="Times New Roman" w:eastAsia="Times New Roman" w:hint="default"/>
                <w:sz w:val="18"/>
                <w:szCs w:val="18"/>
              </w:rPr>
            </w:pPr>
            <w:r>
              <w:rPr>
                <w:rFonts w:ascii="Times New Roman"/>
                <w:sz w:val="18"/>
              </w:rPr>
              <w:t>19.37</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99" w:right="0"/>
              <w:jc w:val="center"/>
              <w:rPr>
                <w:rFonts w:ascii="Times New Roman" w:hAnsi="Times New Roman" w:cs="Times New Roman" w:eastAsia="Times New Roman" w:hint="default"/>
                <w:sz w:val="18"/>
                <w:szCs w:val="18"/>
              </w:rPr>
            </w:pPr>
            <w:r>
              <w:rPr>
                <w:rFonts w:ascii="Times New Roman"/>
                <w:sz w:val="18"/>
              </w:rPr>
              <w:t>19.37</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133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6"/>
              <w:jc w:val="both"/>
              <w:rPr>
                <w:rFonts w:ascii="宋体" w:hAnsi="宋体" w:cs="宋体" w:eastAsia="宋体" w:hint="default"/>
                <w:sz w:val="18"/>
                <w:szCs w:val="18"/>
              </w:rPr>
            </w:pPr>
            <w:r>
              <w:rPr>
                <w:rFonts w:ascii="宋体" w:hAnsi="宋体" w:cs="宋体" w:eastAsia="宋体" w:hint="default"/>
                <w:sz w:val="18"/>
                <w:szCs w:val="18"/>
              </w:rPr>
              <w:t>北京 银行 上地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z w:val="18"/>
              </w:rPr>
              <w:t>800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62" w:right="0"/>
              <w:jc w:val="left"/>
              <w:rPr>
                <w:rFonts w:ascii="Times New Roman" w:hAnsi="Times New Roman" w:cs="Times New Roman" w:eastAsia="Times New Roman" w:hint="default"/>
                <w:sz w:val="18"/>
                <w:szCs w:val="18"/>
              </w:rPr>
            </w:pPr>
            <w:r>
              <w:rPr>
                <w:rFonts w:ascii="Times New Roman"/>
                <w:sz w:val="18"/>
              </w:rPr>
              <w:t>1.80%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90" w:right="0"/>
              <w:jc w:val="center"/>
              <w:rPr>
                <w:rFonts w:ascii="Times New Roman" w:hAnsi="Times New Roman" w:cs="Times New Roman" w:eastAsia="Times New Roman" w:hint="default"/>
                <w:sz w:val="18"/>
                <w:szCs w:val="18"/>
              </w:rPr>
            </w:pPr>
            <w:r>
              <w:rPr>
                <w:rFonts w:ascii="Times New Roman"/>
                <w:sz w:val="18"/>
              </w:rPr>
              <w:t>0.79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90" w:right="0"/>
              <w:jc w:val="center"/>
              <w:rPr>
                <w:rFonts w:ascii="Times New Roman" w:hAnsi="Times New Roman" w:cs="Times New Roman" w:eastAsia="Times New Roman" w:hint="default"/>
                <w:sz w:val="18"/>
                <w:szCs w:val="18"/>
              </w:rPr>
            </w:pPr>
            <w:r>
              <w:rPr>
                <w:rFonts w:ascii="Times New Roman"/>
                <w:sz w:val="18"/>
              </w:rPr>
              <w:t>0.79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北京 银行 上地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4,000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2" w:right="0"/>
              <w:jc w:val="left"/>
              <w:rPr>
                <w:rFonts w:ascii="Times New Roman" w:hAnsi="Times New Roman" w:cs="Times New Roman" w:eastAsia="Times New Roman" w:hint="default"/>
                <w:sz w:val="18"/>
                <w:szCs w:val="18"/>
              </w:rPr>
            </w:pPr>
            <w:r>
              <w:rPr>
                <w:rFonts w:ascii="Times New Roman"/>
                <w:sz w:val="18"/>
              </w:rPr>
              <w:t>1.80%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90" w:right="0"/>
              <w:jc w:val="center"/>
              <w:rPr>
                <w:rFonts w:ascii="Times New Roman" w:hAnsi="Times New Roman" w:cs="Times New Roman" w:eastAsia="Times New Roman" w:hint="default"/>
                <w:sz w:val="18"/>
                <w:szCs w:val="18"/>
              </w:rPr>
            </w:pPr>
            <w:r>
              <w:rPr>
                <w:rFonts w:ascii="Times New Roman"/>
                <w:sz w:val="18"/>
              </w:rPr>
              <w:t>0.79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90" w:right="0"/>
              <w:jc w:val="center"/>
              <w:rPr>
                <w:rFonts w:ascii="Times New Roman" w:hAnsi="Times New Roman" w:cs="Times New Roman" w:eastAsia="Times New Roman" w:hint="default"/>
                <w:sz w:val="18"/>
                <w:szCs w:val="18"/>
              </w:rPr>
            </w:pPr>
            <w:r>
              <w:rPr>
                <w:rFonts w:ascii="Times New Roman"/>
                <w:sz w:val="18"/>
              </w:rPr>
              <w:t>0.79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6"/>
              <w:jc w:val="both"/>
              <w:rPr>
                <w:rFonts w:ascii="宋体" w:hAnsi="宋体" w:cs="宋体" w:eastAsia="宋体" w:hint="default"/>
                <w:sz w:val="18"/>
                <w:szCs w:val="18"/>
              </w:rPr>
            </w:pPr>
            <w:r>
              <w:rPr>
                <w:rFonts w:ascii="宋体" w:hAnsi="宋体" w:cs="宋体" w:eastAsia="宋体" w:hint="default"/>
                <w:sz w:val="18"/>
                <w:szCs w:val="18"/>
              </w:rPr>
              <w:t>北京 银行 上地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z w:val="18"/>
              </w:rPr>
              <w:t>4,000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62" w:right="0"/>
              <w:jc w:val="left"/>
              <w:rPr>
                <w:rFonts w:ascii="Times New Roman" w:hAnsi="Times New Roman" w:cs="Times New Roman" w:eastAsia="Times New Roman" w:hint="default"/>
                <w:sz w:val="18"/>
                <w:szCs w:val="18"/>
              </w:rPr>
            </w:pPr>
            <w:r>
              <w:rPr>
                <w:rFonts w:ascii="Times New Roman"/>
                <w:sz w:val="18"/>
              </w:rPr>
              <w:t>2.00%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90" w:right="0"/>
              <w:jc w:val="center"/>
              <w:rPr>
                <w:rFonts w:ascii="Times New Roman" w:hAnsi="Times New Roman" w:cs="Times New Roman" w:eastAsia="Times New Roman" w:hint="default"/>
                <w:sz w:val="18"/>
                <w:szCs w:val="18"/>
              </w:rPr>
            </w:pPr>
            <w:r>
              <w:rPr>
                <w:rFonts w:ascii="Times New Roman"/>
                <w:sz w:val="18"/>
              </w:rPr>
              <w:t>0.66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90" w:right="0"/>
              <w:jc w:val="center"/>
              <w:rPr>
                <w:rFonts w:ascii="Times New Roman" w:hAnsi="Times New Roman" w:cs="Times New Roman" w:eastAsia="Times New Roman" w:hint="default"/>
                <w:sz w:val="18"/>
                <w:szCs w:val="18"/>
              </w:rPr>
            </w:pPr>
            <w:r>
              <w:rPr>
                <w:rFonts w:ascii="Times New Roman"/>
                <w:sz w:val="18"/>
              </w:rPr>
              <w:t>0.66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恒天</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中岩 投资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8"/>
              <w:jc w:val="right"/>
              <w:rPr>
                <w:rFonts w:ascii="Times New Roman" w:hAnsi="Times New Roman" w:cs="Times New Roman" w:eastAsia="Times New Roman" w:hint="default"/>
                <w:sz w:val="18"/>
                <w:szCs w:val="18"/>
              </w:rPr>
            </w:pPr>
            <w:r>
              <w:rPr>
                <w:rFonts w:ascii="Times New Roman"/>
                <w:sz w:val="18"/>
              </w:rPr>
              <w:t>7,000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62" w:right="0"/>
              <w:jc w:val="left"/>
              <w:rPr>
                <w:rFonts w:ascii="Times New Roman" w:hAnsi="Times New Roman" w:cs="Times New Roman" w:eastAsia="Times New Roman" w:hint="default"/>
                <w:sz w:val="18"/>
                <w:szCs w:val="18"/>
              </w:rPr>
            </w:pPr>
            <w:r>
              <w:rPr>
                <w:rFonts w:ascii="Times New Roman"/>
                <w:sz w:val="18"/>
              </w:rPr>
              <w:t>4.80%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99" w:right="0"/>
              <w:jc w:val="center"/>
              <w:rPr>
                <w:rFonts w:ascii="Times New Roman" w:hAnsi="Times New Roman" w:cs="Times New Roman" w:eastAsia="Times New Roman" w:hint="default"/>
                <w:sz w:val="18"/>
                <w:szCs w:val="18"/>
              </w:rPr>
            </w:pPr>
            <w:r>
              <w:rPr>
                <w:rFonts w:ascii="Times New Roman"/>
                <w:sz w:val="18"/>
              </w:rPr>
              <w:t>31.65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99" w:right="0"/>
              <w:jc w:val="center"/>
              <w:rPr>
                <w:rFonts w:ascii="Times New Roman" w:hAnsi="Times New Roman" w:cs="Times New Roman" w:eastAsia="Times New Roman" w:hint="default"/>
                <w:sz w:val="18"/>
                <w:szCs w:val="18"/>
              </w:rPr>
            </w:pPr>
            <w:r>
              <w:rPr>
                <w:rFonts w:ascii="Times New Roman"/>
                <w:sz w:val="18"/>
              </w:rPr>
              <w:t>31.65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133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6"/>
              <w:jc w:val="both"/>
              <w:rPr>
                <w:rFonts w:ascii="宋体" w:hAnsi="宋体" w:cs="宋体" w:eastAsia="宋体" w:hint="default"/>
                <w:sz w:val="18"/>
                <w:szCs w:val="18"/>
              </w:rPr>
            </w:pPr>
            <w:r>
              <w:rPr>
                <w:rFonts w:ascii="宋体" w:hAnsi="宋体" w:cs="宋体" w:eastAsia="宋体" w:hint="default"/>
                <w:sz w:val="18"/>
                <w:szCs w:val="18"/>
              </w:rPr>
              <w:t>北京 银行 上地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62" w:right="0"/>
              <w:jc w:val="left"/>
              <w:rPr>
                <w:rFonts w:ascii="Times New Roman" w:hAnsi="Times New Roman" w:cs="Times New Roman" w:eastAsia="Times New Roman" w:hint="default"/>
                <w:sz w:val="18"/>
                <w:szCs w:val="18"/>
              </w:rPr>
            </w:pPr>
            <w:r>
              <w:rPr>
                <w:rFonts w:ascii="Times New Roman"/>
                <w:sz w:val="18"/>
              </w:rPr>
              <w:t>1.80%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90" w:right="0"/>
              <w:jc w:val="center"/>
              <w:rPr>
                <w:rFonts w:ascii="Times New Roman" w:hAnsi="Times New Roman" w:cs="Times New Roman" w:eastAsia="Times New Roman" w:hint="default"/>
                <w:sz w:val="18"/>
                <w:szCs w:val="18"/>
              </w:rPr>
            </w:pPr>
            <w:r>
              <w:rPr>
                <w:rFonts w:ascii="Times New Roman"/>
                <w:sz w:val="18"/>
              </w:rPr>
              <w:t>4.02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90" w:right="0"/>
              <w:jc w:val="center"/>
              <w:rPr>
                <w:rFonts w:ascii="Times New Roman" w:hAnsi="Times New Roman" w:cs="Times New Roman" w:eastAsia="Times New Roman" w:hint="default"/>
                <w:sz w:val="18"/>
                <w:szCs w:val="18"/>
              </w:rPr>
            </w:pPr>
            <w:r>
              <w:rPr>
                <w:rFonts w:ascii="Times New Roman"/>
                <w:sz w:val="18"/>
              </w:rPr>
              <w:t>4.02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恒天</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9"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中岩 投资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8"/>
              <w:jc w:val="right"/>
              <w:rPr>
                <w:rFonts w:ascii="Times New Roman" w:hAnsi="Times New Roman" w:cs="Times New Roman" w:eastAsia="Times New Roman" w:hint="default"/>
                <w:sz w:val="18"/>
                <w:szCs w:val="18"/>
              </w:rPr>
            </w:pPr>
            <w:r>
              <w:rPr>
                <w:rFonts w:ascii="Times New Roman"/>
                <w:sz w:val="18"/>
              </w:rPr>
              <w:t>1,000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62" w:right="0"/>
              <w:jc w:val="left"/>
              <w:rPr>
                <w:rFonts w:ascii="Times New Roman" w:hAnsi="Times New Roman" w:cs="Times New Roman" w:eastAsia="Times New Roman" w:hint="default"/>
                <w:sz w:val="18"/>
                <w:szCs w:val="18"/>
              </w:rPr>
            </w:pPr>
            <w:r>
              <w:rPr>
                <w:rFonts w:ascii="Times New Roman"/>
                <w:sz w:val="18"/>
              </w:rPr>
              <w:t>4.80%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190" w:right="0"/>
              <w:jc w:val="center"/>
              <w:rPr>
                <w:rFonts w:ascii="Times New Roman" w:hAnsi="Times New Roman" w:cs="Times New Roman" w:eastAsia="Times New Roman" w:hint="default"/>
                <w:sz w:val="18"/>
                <w:szCs w:val="18"/>
              </w:rPr>
            </w:pPr>
            <w:r>
              <w:rPr>
                <w:rFonts w:ascii="Times New Roman"/>
                <w:sz w:val="18"/>
              </w:rPr>
              <w:t>4.87</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190" w:right="0"/>
              <w:jc w:val="center"/>
              <w:rPr>
                <w:rFonts w:ascii="Times New Roman" w:hAnsi="Times New Roman" w:cs="Times New Roman" w:eastAsia="Times New Roman" w:hint="default"/>
                <w:sz w:val="18"/>
                <w:szCs w:val="18"/>
              </w:rPr>
            </w:pPr>
            <w:r>
              <w:rPr>
                <w:rFonts w:ascii="Times New Roman"/>
                <w:sz w:val="18"/>
              </w:rPr>
              <w:t>4.87</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133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6"/>
              <w:jc w:val="both"/>
              <w:rPr>
                <w:rFonts w:ascii="宋体" w:hAnsi="宋体" w:cs="宋体" w:eastAsia="宋体" w:hint="default"/>
                <w:sz w:val="18"/>
                <w:szCs w:val="18"/>
              </w:rPr>
            </w:pPr>
            <w:r>
              <w:rPr>
                <w:rFonts w:ascii="宋体" w:hAnsi="宋体" w:cs="宋体" w:eastAsia="宋体" w:hint="default"/>
                <w:sz w:val="18"/>
                <w:szCs w:val="18"/>
              </w:rPr>
              <w:t>北京 银行 上地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z w:val="18"/>
              </w:rPr>
              <w:t>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62" w:right="0"/>
              <w:jc w:val="left"/>
              <w:rPr>
                <w:rFonts w:ascii="Times New Roman" w:hAnsi="Times New Roman" w:cs="Times New Roman" w:eastAsia="Times New Roman" w:hint="default"/>
                <w:sz w:val="18"/>
                <w:szCs w:val="18"/>
              </w:rPr>
            </w:pPr>
            <w:r>
              <w:rPr>
                <w:rFonts w:ascii="Times New Roman"/>
                <w:sz w:val="18"/>
              </w:rPr>
              <w:t>2.00%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79" w:right="0"/>
              <w:jc w:val="center"/>
              <w:rPr>
                <w:rFonts w:ascii="Times New Roman" w:hAnsi="Times New Roman" w:cs="Times New Roman" w:eastAsia="Times New Roman" w:hint="default"/>
                <w:sz w:val="18"/>
                <w:szCs w:val="18"/>
              </w:rPr>
            </w:pPr>
            <w:r>
              <w:rPr>
                <w:rFonts w:ascii="Times New Roman"/>
                <w:sz w:val="18"/>
              </w:rPr>
              <w:t>1.1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79" w:right="0"/>
              <w:jc w:val="center"/>
              <w:rPr>
                <w:rFonts w:ascii="Times New Roman" w:hAnsi="Times New Roman" w:cs="Times New Roman" w:eastAsia="Times New Roman" w:hint="default"/>
                <w:sz w:val="18"/>
                <w:szCs w:val="18"/>
              </w:rPr>
            </w:pPr>
            <w:r>
              <w:rPr>
                <w:rFonts w:ascii="Times New Roman"/>
                <w:sz w:val="18"/>
              </w:rPr>
              <w:t>1.1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北京 银行 上地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3,000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2" w:right="0"/>
              <w:jc w:val="left"/>
              <w:rPr>
                <w:rFonts w:ascii="Times New Roman" w:hAnsi="Times New Roman" w:cs="Times New Roman" w:eastAsia="Times New Roman" w:hint="default"/>
                <w:sz w:val="18"/>
                <w:szCs w:val="18"/>
              </w:rPr>
            </w:pPr>
            <w:r>
              <w:rPr>
                <w:rFonts w:ascii="Times New Roman"/>
                <w:sz w:val="18"/>
              </w:rPr>
              <w:t>1.80%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90" w:right="0"/>
              <w:jc w:val="center"/>
              <w:rPr>
                <w:rFonts w:ascii="Times New Roman" w:hAnsi="Times New Roman" w:cs="Times New Roman" w:eastAsia="Times New Roman" w:hint="default"/>
                <w:sz w:val="18"/>
                <w:szCs w:val="18"/>
              </w:rPr>
            </w:pPr>
            <w:r>
              <w:rPr>
                <w:rFonts w:ascii="Times New Roman"/>
                <w:sz w:val="18"/>
              </w:rPr>
              <w:t>0.59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90" w:right="0"/>
              <w:jc w:val="center"/>
              <w:rPr>
                <w:rFonts w:ascii="Times New Roman" w:hAnsi="Times New Roman" w:cs="Times New Roman" w:eastAsia="Times New Roman" w:hint="default"/>
                <w:sz w:val="18"/>
                <w:szCs w:val="18"/>
              </w:rPr>
            </w:pPr>
            <w:r>
              <w:rPr>
                <w:rFonts w:ascii="Times New Roman"/>
                <w:sz w:val="18"/>
              </w:rPr>
              <w:t>0.59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59"/>
        <w:gridCol w:w="562"/>
        <w:gridCol w:w="562"/>
        <w:gridCol w:w="562"/>
        <w:gridCol w:w="548"/>
        <w:gridCol w:w="547"/>
        <w:gridCol w:w="547"/>
        <w:gridCol w:w="538"/>
      </w:tblGrid>
      <w:tr>
        <w:trPr>
          <w:trHeight w:val="356"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恒天</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中岩 投资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6,000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4.80%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99" w:right="0"/>
              <w:jc w:val="center"/>
              <w:rPr>
                <w:rFonts w:ascii="Times New Roman" w:hAnsi="Times New Roman" w:cs="Times New Roman" w:eastAsia="Times New Roman" w:hint="default"/>
                <w:sz w:val="18"/>
                <w:szCs w:val="18"/>
              </w:rPr>
            </w:pPr>
            <w:r>
              <w:rPr>
                <w:rFonts w:ascii="Times New Roman"/>
                <w:sz w:val="18"/>
              </w:rPr>
              <w:t>26.49</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99" w:right="0"/>
              <w:jc w:val="center"/>
              <w:rPr>
                <w:rFonts w:ascii="Times New Roman" w:hAnsi="Times New Roman" w:cs="Times New Roman" w:eastAsia="Times New Roman" w:hint="default"/>
                <w:sz w:val="18"/>
                <w:szCs w:val="18"/>
              </w:rPr>
            </w:pPr>
            <w:r>
              <w:rPr>
                <w:rFonts w:ascii="Times New Roman"/>
                <w:sz w:val="18"/>
              </w:rPr>
              <w:t>26.49</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7"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恒天</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7"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9" w:lineRule="auto" w:before="9"/>
              <w:ind w:left="24" w:right="176"/>
              <w:jc w:val="both"/>
              <w:rPr>
                <w:rFonts w:ascii="宋体" w:hAnsi="宋体" w:cs="宋体" w:eastAsia="宋体" w:hint="default"/>
                <w:sz w:val="18"/>
                <w:szCs w:val="18"/>
              </w:rPr>
            </w:pPr>
            <w:r>
              <w:rPr>
                <w:rFonts w:ascii="宋体" w:hAnsi="宋体" w:cs="宋体" w:eastAsia="宋体" w:hint="default"/>
                <w:sz w:val="18"/>
                <w:szCs w:val="18"/>
              </w:rPr>
              <w:t>中岩 投资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8"/>
              <w:jc w:val="right"/>
              <w:rPr>
                <w:rFonts w:ascii="Times New Roman" w:hAnsi="Times New Roman" w:cs="Times New Roman" w:eastAsia="Times New Roman" w:hint="default"/>
                <w:sz w:val="18"/>
                <w:szCs w:val="18"/>
              </w:rPr>
            </w:pPr>
            <w:r>
              <w:rPr>
                <w:rFonts w:ascii="Times New Roman"/>
                <w:sz w:val="18"/>
              </w:rPr>
              <w:t>2,000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62" w:right="0"/>
              <w:jc w:val="left"/>
              <w:rPr>
                <w:rFonts w:ascii="Times New Roman" w:hAnsi="Times New Roman" w:cs="Times New Roman" w:eastAsia="Times New Roman" w:hint="default"/>
                <w:sz w:val="18"/>
                <w:szCs w:val="18"/>
              </w:rPr>
            </w:pPr>
            <w:r>
              <w:rPr>
                <w:rFonts w:ascii="Times New Roman"/>
                <w:sz w:val="18"/>
              </w:rPr>
              <w:t>4.80%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90" w:right="0"/>
              <w:jc w:val="center"/>
              <w:rPr>
                <w:rFonts w:ascii="Times New Roman" w:hAnsi="Times New Roman" w:cs="Times New Roman" w:eastAsia="Times New Roman" w:hint="default"/>
                <w:sz w:val="18"/>
                <w:szCs w:val="18"/>
              </w:rPr>
            </w:pPr>
            <w:r>
              <w:rPr>
                <w:rFonts w:ascii="Times New Roman"/>
                <w:sz w:val="18"/>
              </w:rPr>
              <w:t>8.99</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90" w:right="0"/>
              <w:jc w:val="center"/>
              <w:rPr>
                <w:rFonts w:ascii="Times New Roman" w:hAnsi="Times New Roman" w:cs="Times New Roman" w:eastAsia="Times New Roman" w:hint="default"/>
                <w:sz w:val="18"/>
                <w:szCs w:val="18"/>
              </w:rPr>
            </w:pPr>
            <w:r>
              <w:rPr>
                <w:rFonts w:ascii="Times New Roman"/>
                <w:sz w:val="18"/>
              </w:rPr>
              <w:t>8.99</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133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北京 银行 上地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6,000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2" w:right="0"/>
              <w:jc w:val="left"/>
              <w:rPr>
                <w:rFonts w:ascii="Times New Roman" w:hAnsi="Times New Roman" w:cs="Times New Roman" w:eastAsia="Times New Roman" w:hint="default"/>
                <w:sz w:val="18"/>
                <w:szCs w:val="18"/>
              </w:rPr>
            </w:pPr>
            <w:r>
              <w:rPr>
                <w:rFonts w:ascii="Times New Roman"/>
                <w:sz w:val="18"/>
              </w:rPr>
              <w:t>2.20%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90" w:right="0"/>
              <w:jc w:val="center"/>
              <w:rPr>
                <w:rFonts w:ascii="Times New Roman" w:hAnsi="Times New Roman" w:cs="Times New Roman" w:eastAsia="Times New Roman" w:hint="default"/>
                <w:sz w:val="18"/>
                <w:szCs w:val="18"/>
              </w:rPr>
            </w:pPr>
            <w:r>
              <w:rPr>
                <w:rFonts w:ascii="Times New Roman"/>
                <w:sz w:val="18"/>
              </w:rPr>
              <w:t>1.08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90" w:right="0"/>
              <w:jc w:val="center"/>
              <w:rPr>
                <w:rFonts w:ascii="Times New Roman" w:hAnsi="Times New Roman" w:cs="Times New Roman" w:eastAsia="Times New Roman" w:hint="default"/>
                <w:sz w:val="18"/>
                <w:szCs w:val="18"/>
              </w:rPr>
            </w:pPr>
            <w:r>
              <w:rPr>
                <w:rFonts w:ascii="Times New Roman"/>
                <w:sz w:val="18"/>
              </w:rPr>
              <w:t>1.08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恒天</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7"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9" w:lineRule="auto" w:before="9"/>
              <w:ind w:left="24" w:right="176"/>
              <w:jc w:val="both"/>
              <w:rPr>
                <w:rFonts w:ascii="宋体" w:hAnsi="宋体" w:cs="宋体" w:eastAsia="宋体" w:hint="default"/>
                <w:sz w:val="18"/>
                <w:szCs w:val="18"/>
              </w:rPr>
            </w:pPr>
            <w:r>
              <w:rPr>
                <w:rFonts w:ascii="宋体" w:hAnsi="宋体" w:cs="宋体" w:eastAsia="宋体" w:hint="default"/>
                <w:sz w:val="18"/>
                <w:szCs w:val="18"/>
              </w:rPr>
              <w:t>中岩 投资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8"/>
              <w:jc w:val="right"/>
              <w:rPr>
                <w:rFonts w:ascii="Times New Roman" w:hAnsi="Times New Roman" w:cs="Times New Roman" w:eastAsia="Times New Roman" w:hint="default"/>
                <w:sz w:val="18"/>
                <w:szCs w:val="18"/>
              </w:rPr>
            </w:pPr>
            <w:r>
              <w:rPr>
                <w:rFonts w:ascii="Times New Roman"/>
                <w:sz w:val="18"/>
              </w:rPr>
              <w:t>6,000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62" w:right="0"/>
              <w:jc w:val="left"/>
              <w:rPr>
                <w:rFonts w:ascii="Times New Roman" w:hAnsi="Times New Roman" w:cs="Times New Roman" w:eastAsia="Times New Roman" w:hint="default"/>
                <w:sz w:val="18"/>
                <w:szCs w:val="18"/>
              </w:rPr>
            </w:pPr>
            <w:r>
              <w:rPr>
                <w:rFonts w:ascii="Times New Roman"/>
                <w:sz w:val="18"/>
              </w:rPr>
              <w:t>4.80%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99" w:right="0"/>
              <w:jc w:val="center"/>
              <w:rPr>
                <w:rFonts w:ascii="Times New Roman" w:hAnsi="Times New Roman" w:cs="Times New Roman" w:eastAsia="Times New Roman" w:hint="default"/>
                <w:sz w:val="18"/>
                <w:szCs w:val="18"/>
              </w:rPr>
            </w:pPr>
            <w:r>
              <w:rPr>
                <w:rFonts w:ascii="Times New Roman"/>
                <w:sz w:val="18"/>
              </w:rPr>
              <w:t>26.81</w:t>
            </w: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3" w:right="167"/>
              <w:jc w:val="left"/>
              <w:rPr>
                <w:rFonts w:ascii="宋体" w:hAnsi="宋体" w:cs="宋体" w:eastAsia="宋体" w:hint="default"/>
                <w:sz w:val="18"/>
                <w:szCs w:val="18"/>
              </w:rPr>
            </w:pPr>
            <w:r>
              <w:rPr>
                <w:rFonts w:ascii="宋体" w:hAnsi="宋体" w:cs="宋体" w:eastAsia="宋体" w:hint="default"/>
                <w:sz w:val="18"/>
                <w:szCs w:val="18"/>
              </w:rPr>
              <w:t>未到 期</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恒天</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中岩 投资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1,000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4.80%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90" w:right="0"/>
              <w:jc w:val="center"/>
              <w:rPr>
                <w:rFonts w:ascii="Times New Roman" w:hAnsi="Times New Roman" w:cs="Times New Roman" w:eastAsia="Times New Roman" w:hint="default"/>
                <w:sz w:val="18"/>
                <w:szCs w:val="18"/>
              </w:rPr>
            </w:pPr>
            <w:r>
              <w:rPr>
                <w:rFonts w:ascii="Times New Roman"/>
                <w:sz w:val="18"/>
              </w:rPr>
              <w:t>4.68</w:t>
            </w: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未到 期</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134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6"/>
              <w:jc w:val="both"/>
              <w:rPr>
                <w:rFonts w:ascii="宋体" w:hAnsi="宋体" w:cs="宋体" w:eastAsia="宋体" w:hint="default"/>
                <w:sz w:val="18"/>
                <w:szCs w:val="18"/>
              </w:rPr>
            </w:pPr>
            <w:r>
              <w:rPr>
                <w:rFonts w:ascii="宋体" w:hAnsi="宋体" w:cs="宋体" w:eastAsia="宋体" w:hint="default"/>
                <w:sz w:val="18"/>
                <w:szCs w:val="18"/>
              </w:rPr>
              <w:t>北京 银行 上地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z w:val="18"/>
              </w:rPr>
              <w:t>1,200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2" w:right="0"/>
              <w:jc w:val="left"/>
              <w:rPr>
                <w:rFonts w:ascii="Times New Roman" w:hAnsi="Times New Roman" w:cs="Times New Roman" w:eastAsia="Times New Roman" w:hint="default"/>
                <w:sz w:val="18"/>
                <w:szCs w:val="18"/>
              </w:rPr>
            </w:pPr>
            <w:r>
              <w:rPr>
                <w:rFonts w:ascii="Times New Roman"/>
                <w:sz w:val="18"/>
              </w:rPr>
              <w:t>2.00%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90" w:right="0"/>
              <w:jc w:val="center"/>
              <w:rPr>
                <w:rFonts w:ascii="Times New Roman" w:hAnsi="Times New Roman" w:cs="Times New Roman" w:eastAsia="Times New Roman" w:hint="default"/>
                <w:sz w:val="18"/>
                <w:szCs w:val="18"/>
              </w:rPr>
            </w:pPr>
            <w:r>
              <w:rPr>
                <w:rFonts w:ascii="Times New Roman"/>
                <w:sz w:val="18"/>
              </w:rPr>
              <w:t>0.39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90" w:right="0"/>
              <w:jc w:val="center"/>
              <w:rPr>
                <w:rFonts w:ascii="Times New Roman" w:hAnsi="Times New Roman" w:cs="Times New Roman" w:eastAsia="Times New Roman" w:hint="default"/>
                <w:sz w:val="18"/>
                <w:szCs w:val="18"/>
              </w:rPr>
            </w:pPr>
            <w:r>
              <w:rPr>
                <w:rFonts w:ascii="Times New Roman"/>
                <w:sz w:val="18"/>
              </w:rPr>
              <w:t>0.39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67"/>
              <w:jc w:val="left"/>
              <w:rPr>
                <w:rFonts w:ascii="宋体" w:hAnsi="宋体" w:cs="宋体" w:eastAsia="宋体" w:hint="default"/>
                <w:sz w:val="18"/>
                <w:szCs w:val="18"/>
              </w:rPr>
            </w:pPr>
            <w:r>
              <w:rPr>
                <w:rFonts w:ascii="宋体" w:hAnsi="宋体" w:cs="宋体" w:eastAsia="宋体" w:hint="default"/>
                <w:sz w:val="18"/>
                <w:szCs w:val="18"/>
              </w:rPr>
              <w:t>全部 赎回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北京 银行 上地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600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2" w:right="0"/>
              <w:jc w:val="left"/>
              <w:rPr>
                <w:rFonts w:ascii="Times New Roman" w:hAnsi="Times New Roman" w:cs="Times New Roman" w:eastAsia="Times New Roman" w:hint="default"/>
                <w:sz w:val="18"/>
                <w:szCs w:val="18"/>
              </w:rPr>
            </w:pPr>
            <w:r>
              <w:rPr>
                <w:rFonts w:ascii="Times New Roman"/>
                <w:sz w:val="18"/>
              </w:rPr>
              <w:t>2.00%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90" w:right="0"/>
              <w:jc w:val="center"/>
              <w:rPr>
                <w:rFonts w:ascii="Times New Roman" w:hAnsi="Times New Roman" w:cs="Times New Roman" w:eastAsia="Times New Roman" w:hint="default"/>
                <w:sz w:val="18"/>
                <w:szCs w:val="18"/>
              </w:rPr>
            </w:pPr>
            <w:r>
              <w:rPr>
                <w:rFonts w:ascii="Times New Roman"/>
                <w:sz w:val="18"/>
              </w:rPr>
              <w:t>1.22</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未到 期</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6"/>
              <w:jc w:val="both"/>
              <w:rPr>
                <w:rFonts w:ascii="宋体" w:hAnsi="宋体" w:cs="宋体" w:eastAsia="宋体" w:hint="default"/>
                <w:sz w:val="18"/>
                <w:szCs w:val="18"/>
              </w:rPr>
            </w:pPr>
            <w:r>
              <w:rPr>
                <w:rFonts w:ascii="宋体" w:hAnsi="宋体" w:cs="宋体" w:eastAsia="宋体" w:hint="default"/>
                <w:sz w:val="18"/>
                <w:szCs w:val="18"/>
              </w:rPr>
              <w:t>北京 银行 上地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z w:val="18"/>
              </w:rPr>
              <w:t>1,500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62" w:right="0"/>
              <w:jc w:val="left"/>
              <w:rPr>
                <w:rFonts w:ascii="Times New Roman" w:hAnsi="Times New Roman" w:cs="Times New Roman" w:eastAsia="Times New Roman" w:hint="default"/>
                <w:sz w:val="18"/>
                <w:szCs w:val="18"/>
              </w:rPr>
            </w:pPr>
            <w:r>
              <w:rPr>
                <w:rFonts w:ascii="Times New Roman"/>
                <w:sz w:val="18"/>
              </w:rPr>
              <w:t>2.00%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90" w:right="0"/>
              <w:jc w:val="center"/>
              <w:rPr>
                <w:rFonts w:ascii="Times New Roman" w:hAnsi="Times New Roman" w:cs="Times New Roman" w:eastAsia="Times New Roman" w:hint="default"/>
                <w:sz w:val="18"/>
                <w:szCs w:val="18"/>
              </w:rPr>
            </w:pPr>
            <w:r>
              <w:rPr>
                <w:rFonts w:ascii="Times New Roman"/>
                <w:sz w:val="18"/>
              </w:rPr>
              <w:t>1.07</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67"/>
              <w:jc w:val="left"/>
              <w:rPr>
                <w:rFonts w:ascii="宋体" w:hAnsi="宋体" w:cs="宋体" w:eastAsia="宋体" w:hint="default"/>
                <w:sz w:val="18"/>
                <w:szCs w:val="18"/>
              </w:rPr>
            </w:pPr>
            <w:r>
              <w:rPr>
                <w:rFonts w:ascii="宋体" w:hAnsi="宋体" w:cs="宋体" w:eastAsia="宋体" w:hint="default"/>
                <w:sz w:val="18"/>
                <w:szCs w:val="18"/>
              </w:rPr>
              <w:t>未到 期</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59"/>
        <w:gridCol w:w="562"/>
        <w:gridCol w:w="562"/>
        <w:gridCol w:w="562"/>
        <w:gridCol w:w="548"/>
        <w:gridCol w:w="547"/>
        <w:gridCol w:w="547"/>
        <w:gridCol w:w="538"/>
      </w:tblGrid>
      <w:tr>
        <w:trPr>
          <w:trHeight w:val="356"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恒天</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中岩 投资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7"/>
              <w:jc w:val="right"/>
              <w:rPr>
                <w:rFonts w:ascii="Times New Roman" w:hAnsi="Times New Roman" w:cs="Times New Roman" w:eastAsia="Times New Roman" w:hint="default"/>
                <w:sz w:val="18"/>
                <w:szCs w:val="18"/>
              </w:rPr>
            </w:pPr>
            <w:r>
              <w:rPr>
                <w:rFonts w:ascii="Times New Roman"/>
                <w:sz w:val="18"/>
              </w:rPr>
              <w:t>200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4.80%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90" w:right="0"/>
              <w:jc w:val="center"/>
              <w:rPr>
                <w:rFonts w:ascii="Times New Roman" w:hAnsi="Times New Roman" w:cs="Times New Roman" w:eastAsia="Times New Roman" w:hint="default"/>
                <w:sz w:val="18"/>
                <w:szCs w:val="18"/>
              </w:rPr>
            </w:pPr>
            <w:r>
              <w:rPr>
                <w:rFonts w:ascii="Times New Roman"/>
                <w:sz w:val="18"/>
              </w:rPr>
              <w:t>0.87</w:t>
            </w: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未到 期</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133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6"/>
              <w:jc w:val="both"/>
              <w:rPr>
                <w:rFonts w:ascii="宋体" w:hAnsi="宋体" w:cs="宋体" w:eastAsia="宋体" w:hint="default"/>
                <w:sz w:val="18"/>
                <w:szCs w:val="18"/>
              </w:rPr>
            </w:pPr>
            <w:r>
              <w:rPr>
                <w:rFonts w:ascii="宋体" w:hAnsi="宋体" w:cs="宋体" w:eastAsia="宋体" w:hint="default"/>
                <w:sz w:val="18"/>
                <w:szCs w:val="18"/>
              </w:rPr>
              <w:t>华夏 银行 知春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z w:val="18"/>
              </w:rPr>
              <w:t>1,500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62" w:right="0"/>
              <w:jc w:val="left"/>
              <w:rPr>
                <w:rFonts w:ascii="Times New Roman" w:hAnsi="Times New Roman" w:cs="Times New Roman" w:eastAsia="Times New Roman" w:hint="default"/>
                <w:sz w:val="18"/>
                <w:szCs w:val="18"/>
              </w:rPr>
            </w:pPr>
            <w:r>
              <w:rPr>
                <w:rFonts w:ascii="Times New Roman"/>
                <w:sz w:val="18"/>
              </w:rPr>
              <w:t>3.85%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90" w:right="0"/>
              <w:jc w:val="center"/>
              <w:rPr>
                <w:rFonts w:ascii="Times New Roman" w:hAnsi="Times New Roman" w:cs="Times New Roman" w:eastAsia="Times New Roman" w:hint="default"/>
                <w:sz w:val="18"/>
                <w:szCs w:val="18"/>
              </w:rPr>
            </w:pPr>
            <w:r>
              <w:rPr>
                <w:rFonts w:ascii="Times New Roman"/>
                <w:sz w:val="18"/>
              </w:rPr>
              <w:t>3.06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90" w:right="0"/>
              <w:jc w:val="center"/>
              <w:rPr>
                <w:rFonts w:ascii="Times New Roman" w:hAnsi="Times New Roman" w:cs="Times New Roman" w:eastAsia="Times New Roman" w:hint="default"/>
                <w:sz w:val="18"/>
                <w:szCs w:val="18"/>
              </w:rPr>
            </w:pPr>
            <w:r>
              <w:rPr>
                <w:rFonts w:ascii="Times New Roman"/>
                <w:sz w:val="18"/>
              </w:rPr>
              <w:t>3.06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356"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招商</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560"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 世纪</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3.90%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9.59</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9.59</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城支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7"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招商</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1"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560"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 世纪</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14" w:lineRule="auto"/>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14" w:lineRule="auto"/>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14" w:lineRule="auto"/>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3.35%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7.52</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7.52</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14" w:lineRule="auto"/>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城支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民生</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1,000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4.20%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99" w:right="0"/>
              <w:jc w:val="center"/>
              <w:rPr>
                <w:rFonts w:ascii="Times New Roman" w:hAnsi="Times New Roman" w:cs="Times New Roman" w:eastAsia="Times New Roman" w:hint="default"/>
                <w:sz w:val="18"/>
                <w:szCs w:val="18"/>
              </w:rPr>
            </w:pPr>
            <w:r>
              <w:rPr>
                <w:rFonts w:ascii="Times New Roman"/>
                <w:sz w:val="18"/>
              </w:rPr>
              <w:t>10.36</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99" w:right="0"/>
              <w:jc w:val="center"/>
              <w:rPr>
                <w:rFonts w:ascii="Times New Roman" w:hAnsi="Times New Roman" w:cs="Times New Roman" w:eastAsia="Times New Roman" w:hint="default"/>
                <w:sz w:val="18"/>
                <w:szCs w:val="18"/>
              </w:rPr>
            </w:pPr>
            <w:r>
              <w:rPr>
                <w:rFonts w:ascii="Times New Roman"/>
                <w:sz w:val="18"/>
              </w:rPr>
              <w:t>10.36</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成府</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路支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59"/>
        <w:gridCol w:w="562"/>
        <w:gridCol w:w="562"/>
        <w:gridCol w:w="562"/>
        <w:gridCol w:w="548"/>
        <w:gridCol w:w="547"/>
        <w:gridCol w:w="547"/>
        <w:gridCol w:w="538"/>
      </w:tblGrid>
      <w:tr>
        <w:trPr>
          <w:trHeight w:val="356"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民生</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8,200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4.05%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122.56</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122.56</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成府</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路支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7"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1"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民生</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8"/>
              <w:jc w:val="right"/>
              <w:rPr>
                <w:rFonts w:ascii="Times New Roman" w:hAnsi="Times New Roman" w:cs="Times New Roman" w:eastAsia="Times New Roman" w:hint="default"/>
                <w:sz w:val="18"/>
                <w:szCs w:val="18"/>
              </w:rPr>
            </w:pPr>
            <w:r>
              <w:rPr>
                <w:rFonts w:ascii="Times New Roman"/>
                <w:sz w:val="18"/>
              </w:rPr>
              <w:t>3,100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62" w:right="0"/>
              <w:jc w:val="left"/>
              <w:rPr>
                <w:rFonts w:ascii="Times New Roman" w:hAnsi="Times New Roman" w:cs="Times New Roman" w:eastAsia="Times New Roman" w:hint="default"/>
                <w:sz w:val="18"/>
                <w:szCs w:val="18"/>
              </w:rPr>
            </w:pPr>
            <w:r>
              <w:rPr>
                <w:rFonts w:ascii="Times New Roman"/>
                <w:sz w:val="18"/>
              </w:rPr>
              <w:t>4.05%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1"/>
              <w:jc w:val="right"/>
              <w:rPr>
                <w:rFonts w:ascii="Times New Roman" w:hAnsi="Times New Roman" w:cs="Times New Roman" w:eastAsia="Times New Roman" w:hint="default"/>
                <w:sz w:val="18"/>
                <w:szCs w:val="18"/>
              </w:rPr>
            </w:pPr>
            <w:r>
              <w:rPr>
                <w:rFonts w:ascii="Times New Roman"/>
                <w:sz w:val="18"/>
              </w:rPr>
              <w:t>31.01</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1"/>
              <w:jc w:val="right"/>
              <w:rPr>
                <w:rFonts w:ascii="Times New Roman" w:hAnsi="Times New Roman" w:cs="Times New Roman" w:eastAsia="Times New Roman" w:hint="default"/>
                <w:sz w:val="18"/>
                <w:szCs w:val="18"/>
              </w:rPr>
            </w:pPr>
            <w:r>
              <w:rPr>
                <w:rFonts w:ascii="Times New Roman"/>
                <w:sz w:val="18"/>
              </w:rPr>
              <w:t>31.01</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成府</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路支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6"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民生</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5"/>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7,500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3.90%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73.37</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73.37</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成府</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路支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7"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1"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民生</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8"/>
              <w:jc w:val="right"/>
              <w:rPr>
                <w:rFonts w:ascii="Times New Roman" w:hAnsi="Times New Roman" w:cs="Times New Roman" w:eastAsia="Times New Roman" w:hint="default"/>
                <w:sz w:val="18"/>
                <w:szCs w:val="18"/>
              </w:rPr>
            </w:pPr>
            <w:r>
              <w:rPr>
                <w:rFonts w:ascii="Times New Roman"/>
                <w:sz w:val="18"/>
              </w:rPr>
              <w:t>3,100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62" w:right="0"/>
              <w:jc w:val="left"/>
              <w:rPr>
                <w:rFonts w:ascii="Times New Roman" w:hAnsi="Times New Roman" w:cs="Times New Roman" w:eastAsia="Times New Roman" w:hint="default"/>
                <w:sz w:val="18"/>
                <w:szCs w:val="18"/>
              </w:rPr>
            </w:pPr>
            <w:r>
              <w:rPr>
                <w:rFonts w:ascii="Times New Roman"/>
                <w:sz w:val="18"/>
              </w:rPr>
              <w:t>3.90%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1"/>
              <w:jc w:val="right"/>
              <w:rPr>
                <w:rFonts w:ascii="Times New Roman" w:hAnsi="Times New Roman" w:cs="Times New Roman" w:eastAsia="Times New Roman" w:hint="default"/>
                <w:sz w:val="18"/>
                <w:szCs w:val="18"/>
              </w:rPr>
            </w:pPr>
            <w:r>
              <w:rPr>
                <w:rFonts w:ascii="Times New Roman"/>
                <w:sz w:val="18"/>
              </w:rPr>
              <w:t>30.5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1"/>
              <w:jc w:val="right"/>
              <w:rPr>
                <w:rFonts w:ascii="Times New Roman" w:hAnsi="Times New Roman" w:cs="Times New Roman" w:eastAsia="Times New Roman" w:hint="default"/>
                <w:sz w:val="18"/>
                <w:szCs w:val="18"/>
              </w:rPr>
            </w:pPr>
            <w:r>
              <w:rPr>
                <w:rFonts w:ascii="Times New Roman"/>
                <w:sz w:val="18"/>
              </w:rPr>
              <w:t>30.5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成府</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路支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59"/>
        <w:gridCol w:w="562"/>
        <w:gridCol w:w="562"/>
        <w:gridCol w:w="562"/>
        <w:gridCol w:w="548"/>
        <w:gridCol w:w="547"/>
        <w:gridCol w:w="547"/>
        <w:gridCol w:w="538"/>
      </w:tblGrid>
      <w:tr>
        <w:trPr>
          <w:trHeight w:val="356"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民生</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1,000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3.80%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90" w:right="0"/>
              <w:jc w:val="center"/>
              <w:rPr>
                <w:rFonts w:ascii="Times New Roman" w:hAnsi="Times New Roman" w:cs="Times New Roman" w:eastAsia="Times New Roman" w:hint="default"/>
                <w:sz w:val="18"/>
                <w:szCs w:val="18"/>
              </w:rPr>
            </w:pPr>
            <w:r>
              <w:rPr>
                <w:rFonts w:ascii="Times New Roman"/>
                <w:sz w:val="18"/>
              </w:rPr>
              <w:t>9.52</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90" w:right="0"/>
              <w:jc w:val="center"/>
              <w:rPr>
                <w:rFonts w:ascii="Times New Roman" w:hAnsi="Times New Roman" w:cs="Times New Roman" w:eastAsia="Times New Roman" w:hint="default"/>
                <w:sz w:val="18"/>
                <w:szCs w:val="18"/>
              </w:rPr>
            </w:pPr>
            <w:r>
              <w:rPr>
                <w:rFonts w:ascii="Times New Roman"/>
                <w:sz w:val="18"/>
              </w:rPr>
              <w:t>9.52</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成府</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路支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7"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1"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民生</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8"/>
              <w:jc w:val="right"/>
              <w:rPr>
                <w:rFonts w:ascii="Times New Roman" w:hAnsi="Times New Roman" w:cs="Times New Roman" w:eastAsia="Times New Roman" w:hint="default"/>
                <w:sz w:val="18"/>
                <w:szCs w:val="18"/>
              </w:rPr>
            </w:pPr>
            <w:r>
              <w:rPr>
                <w:rFonts w:ascii="Times New Roman"/>
                <w:sz w:val="18"/>
              </w:rPr>
              <w:t>5,000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62" w:right="0"/>
              <w:jc w:val="left"/>
              <w:rPr>
                <w:rFonts w:ascii="Times New Roman" w:hAnsi="Times New Roman" w:cs="Times New Roman" w:eastAsia="Times New Roman" w:hint="default"/>
                <w:sz w:val="18"/>
                <w:szCs w:val="18"/>
              </w:rPr>
            </w:pPr>
            <w:r>
              <w:rPr>
                <w:rFonts w:ascii="Times New Roman"/>
                <w:sz w:val="18"/>
              </w:rPr>
              <w:t>3.85%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99" w:right="0"/>
              <w:jc w:val="center"/>
              <w:rPr>
                <w:rFonts w:ascii="Times New Roman" w:hAnsi="Times New Roman" w:cs="Times New Roman" w:eastAsia="Times New Roman" w:hint="default"/>
                <w:sz w:val="18"/>
                <w:szCs w:val="18"/>
              </w:rPr>
            </w:pPr>
            <w:r>
              <w:rPr>
                <w:rFonts w:ascii="Times New Roman"/>
                <w:sz w:val="18"/>
              </w:rPr>
              <w:t>96.77</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99" w:right="0"/>
              <w:jc w:val="center"/>
              <w:rPr>
                <w:rFonts w:ascii="Times New Roman" w:hAnsi="Times New Roman" w:cs="Times New Roman" w:eastAsia="Times New Roman" w:hint="default"/>
                <w:sz w:val="18"/>
                <w:szCs w:val="18"/>
              </w:rPr>
            </w:pPr>
            <w:r>
              <w:rPr>
                <w:rFonts w:ascii="Times New Roman"/>
                <w:sz w:val="18"/>
              </w:rPr>
              <w:t>96.77</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成府</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路支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6"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民生</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2,600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3.85%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99" w:right="0"/>
              <w:jc w:val="center"/>
              <w:rPr>
                <w:rFonts w:ascii="Times New Roman" w:hAnsi="Times New Roman" w:cs="Times New Roman" w:eastAsia="Times New Roman" w:hint="default"/>
                <w:sz w:val="18"/>
                <w:szCs w:val="18"/>
              </w:rPr>
            </w:pPr>
            <w:r>
              <w:rPr>
                <w:rFonts w:ascii="Times New Roman"/>
                <w:sz w:val="18"/>
              </w:rPr>
              <w:t>24.96</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99" w:right="0"/>
              <w:jc w:val="center"/>
              <w:rPr>
                <w:rFonts w:ascii="Times New Roman" w:hAnsi="Times New Roman" w:cs="Times New Roman" w:eastAsia="Times New Roman" w:hint="default"/>
                <w:sz w:val="18"/>
                <w:szCs w:val="18"/>
              </w:rPr>
            </w:pPr>
            <w:r>
              <w:rPr>
                <w:rFonts w:ascii="Times New Roman"/>
                <w:sz w:val="18"/>
              </w:rPr>
              <w:t>24.96</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成府</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路支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7"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1"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民生</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8"/>
              <w:jc w:val="right"/>
              <w:rPr>
                <w:rFonts w:ascii="Times New Roman" w:hAnsi="Times New Roman" w:cs="Times New Roman" w:eastAsia="Times New Roman" w:hint="default"/>
                <w:sz w:val="18"/>
                <w:szCs w:val="18"/>
              </w:rPr>
            </w:pPr>
            <w:r>
              <w:rPr>
                <w:rFonts w:ascii="Times New Roman"/>
                <w:sz w:val="18"/>
              </w:rPr>
              <w:t>3,200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62" w:right="0"/>
              <w:jc w:val="left"/>
              <w:rPr>
                <w:rFonts w:ascii="Times New Roman" w:hAnsi="Times New Roman" w:cs="Times New Roman" w:eastAsia="Times New Roman" w:hint="default"/>
                <w:sz w:val="18"/>
                <w:szCs w:val="18"/>
              </w:rPr>
            </w:pPr>
            <w:r>
              <w:rPr>
                <w:rFonts w:ascii="Times New Roman"/>
                <w:sz w:val="18"/>
              </w:rPr>
              <w:t>3.90%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06" w:right="0"/>
              <w:jc w:val="center"/>
              <w:rPr>
                <w:rFonts w:ascii="Times New Roman" w:hAnsi="Times New Roman" w:cs="Times New Roman" w:eastAsia="Times New Roman" w:hint="default"/>
                <w:sz w:val="18"/>
                <w:szCs w:val="18"/>
              </w:rPr>
            </w:pPr>
            <w:r>
              <w:rPr>
                <w:rFonts w:ascii="Times New Roman"/>
                <w:sz w:val="18"/>
              </w:rPr>
              <w:t>31.11</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06" w:right="0"/>
              <w:jc w:val="center"/>
              <w:rPr>
                <w:rFonts w:ascii="Times New Roman" w:hAnsi="Times New Roman" w:cs="Times New Roman" w:eastAsia="Times New Roman" w:hint="default"/>
                <w:sz w:val="18"/>
                <w:szCs w:val="18"/>
              </w:rPr>
            </w:pPr>
            <w:r>
              <w:rPr>
                <w:rFonts w:ascii="Times New Roman"/>
                <w:sz w:val="18"/>
              </w:rPr>
              <w:t>31.11</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成府</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路支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59"/>
        <w:gridCol w:w="562"/>
        <w:gridCol w:w="562"/>
        <w:gridCol w:w="562"/>
        <w:gridCol w:w="548"/>
        <w:gridCol w:w="547"/>
        <w:gridCol w:w="547"/>
        <w:gridCol w:w="538"/>
      </w:tblGrid>
      <w:tr>
        <w:trPr>
          <w:trHeight w:val="356"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民生</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7"/>
              <w:jc w:val="right"/>
              <w:rPr>
                <w:rFonts w:ascii="Times New Roman" w:hAnsi="Times New Roman" w:cs="Times New Roman" w:eastAsia="Times New Roman" w:hint="default"/>
                <w:sz w:val="18"/>
                <w:szCs w:val="18"/>
              </w:rPr>
            </w:pPr>
            <w:r>
              <w:rPr>
                <w:rFonts w:ascii="Times New Roman"/>
                <w:sz w:val="18"/>
              </w:rPr>
              <w:t>970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3.65%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90" w:right="0"/>
              <w:jc w:val="center"/>
              <w:rPr>
                <w:rFonts w:ascii="Times New Roman" w:hAnsi="Times New Roman" w:cs="Times New Roman" w:eastAsia="Times New Roman" w:hint="default"/>
                <w:sz w:val="18"/>
                <w:szCs w:val="18"/>
              </w:rPr>
            </w:pPr>
            <w:r>
              <w:rPr>
                <w:rFonts w:ascii="Times New Roman"/>
                <w:sz w:val="18"/>
              </w:rPr>
              <w:t>8.94</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90" w:right="0"/>
              <w:jc w:val="center"/>
              <w:rPr>
                <w:rFonts w:ascii="Times New Roman" w:hAnsi="Times New Roman" w:cs="Times New Roman" w:eastAsia="Times New Roman" w:hint="default"/>
                <w:sz w:val="18"/>
                <w:szCs w:val="18"/>
              </w:rPr>
            </w:pPr>
            <w:r>
              <w:rPr>
                <w:rFonts w:ascii="Times New Roman"/>
                <w:sz w:val="18"/>
              </w:rPr>
              <w:t>8.94</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成府</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路支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7"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1"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民生</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8"/>
              <w:jc w:val="right"/>
              <w:rPr>
                <w:rFonts w:ascii="Times New Roman" w:hAnsi="Times New Roman" w:cs="Times New Roman" w:eastAsia="Times New Roman" w:hint="default"/>
                <w:sz w:val="18"/>
                <w:szCs w:val="18"/>
              </w:rPr>
            </w:pPr>
            <w:r>
              <w:rPr>
                <w:rFonts w:ascii="Times New Roman"/>
                <w:sz w:val="18"/>
              </w:rPr>
              <w:t>2,000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62" w:right="0"/>
              <w:jc w:val="left"/>
              <w:rPr>
                <w:rFonts w:ascii="Times New Roman" w:hAnsi="Times New Roman" w:cs="Times New Roman" w:eastAsia="Times New Roman" w:hint="default"/>
                <w:sz w:val="18"/>
                <w:szCs w:val="18"/>
              </w:rPr>
            </w:pPr>
            <w:r>
              <w:rPr>
                <w:rFonts w:ascii="Times New Roman"/>
                <w:sz w:val="18"/>
              </w:rPr>
              <w:t>3.70%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99" w:right="0"/>
              <w:jc w:val="center"/>
              <w:rPr>
                <w:rFonts w:ascii="Times New Roman" w:hAnsi="Times New Roman" w:cs="Times New Roman" w:eastAsia="Times New Roman" w:hint="default"/>
                <w:sz w:val="18"/>
                <w:szCs w:val="18"/>
              </w:rPr>
            </w:pPr>
            <w:r>
              <w:rPr>
                <w:rFonts w:ascii="Times New Roman"/>
                <w:sz w:val="18"/>
              </w:rPr>
              <w:t>18.57</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99" w:right="0"/>
              <w:jc w:val="center"/>
              <w:rPr>
                <w:rFonts w:ascii="Times New Roman" w:hAnsi="Times New Roman" w:cs="Times New Roman" w:eastAsia="Times New Roman" w:hint="default"/>
                <w:sz w:val="18"/>
                <w:szCs w:val="18"/>
              </w:rPr>
            </w:pPr>
            <w:r>
              <w:rPr>
                <w:rFonts w:ascii="Times New Roman"/>
                <w:sz w:val="18"/>
              </w:rPr>
              <w:t>18.57</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成府</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路支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6"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民生</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3,000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3.70%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99" w:right="0"/>
              <w:jc w:val="center"/>
              <w:rPr>
                <w:rFonts w:ascii="Times New Roman" w:hAnsi="Times New Roman" w:cs="Times New Roman" w:eastAsia="Times New Roman" w:hint="default"/>
                <w:sz w:val="18"/>
                <w:szCs w:val="18"/>
              </w:rPr>
            </w:pPr>
            <w:r>
              <w:rPr>
                <w:rFonts w:ascii="Times New Roman"/>
                <w:sz w:val="18"/>
              </w:rPr>
              <w:t>27.67</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99" w:right="0"/>
              <w:jc w:val="center"/>
              <w:rPr>
                <w:rFonts w:ascii="Times New Roman" w:hAnsi="Times New Roman" w:cs="Times New Roman" w:eastAsia="Times New Roman" w:hint="default"/>
                <w:sz w:val="18"/>
                <w:szCs w:val="18"/>
              </w:rPr>
            </w:pPr>
            <w:r>
              <w:rPr>
                <w:rFonts w:ascii="Times New Roman"/>
                <w:sz w:val="18"/>
              </w:rPr>
              <w:t>27.67</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成府</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路支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7"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1"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民生</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7"/>
              <w:jc w:val="right"/>
              <w:rPr>
                <w:rFonts w:ascii="Times New Roman" w:hAnsi="Times New Roman" w:cs="Times New Roman" w:eastAsia="Times New Roman" w:hint="default"/>
                <w:sz w:val="18"/>
                <w:szCs w:val="18"/>
              </w:rPr>
            </w:pPr>
            <w:r>
              <w:rPr>
                <w:rFonts w:ascii="Times New Roman"/>
                <w:sz w:val="18"/>
              </w:rPr>
              <w:t>950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62" w:right="0"/>
              <w:jc w:val="left"/>
              <w:rPr>
                <w:rFonts w:ascii="Times New Roman" w:hAnsi="Times New Roman" w:cs="Times New Roman" w:eastAsia="Times New Roman" w:hint="default"/>
                <w:sz w:val="18"/>
                <w:szCs w:val="18"/>
              </w:rPr>
            </w:pPr>
            <w:r>
              <w:rPr>
                <w:rFonts w:ascii="Times New Roman"/>
                <w:sz w:val="18"/>
              </w:rPr>
              <w:t>3.70%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79" w:right="0"/>
              <w:jc w:val="center"/>
              <w:rPr>
                <w:rFonts w:ascii="Times New Roman" w:hAnsi="Times New Roman" w:cs="Times New Roman" w:eastAsia="Times New Roman" w:hint="default"/>
                <w:sz w:val="18"/>
                <w:szCs w:val="18"/>
              </w:rPr>
            </w:pPr>
            <w:r>
              <w:rPr>
                <w:rFonts w:ascii="Times New Roman"/>
                <w:sz w:val="18"/>
              </w:rPr>
              <w:t>8.8</w:t>
            </w: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7"/>
              <w:jc w:val="left"/>
              <w:rPr>
                <w:rFonts w:ascii="宋体" w:hAnsi="宋体" w:cs="宋体" w:eastAsia="宋体" w:hint="default"/>
                <w:sz w:val="18"/>
                <w:szCs w:val="18"/>
              </w:rPr>
            </w:pPr>
            <w:r>
              <w:rPr>
                <w:rFonts w:ascii="宋体" w:hAnsi="宋体" w:cs="宋体" w:eastAsia="宋体" w:hint="default"/>
                <w:sz w:val="18"/>
                <w:szCs w:val="18"/>
              </w:rPr>
              <w:t>未到 期</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成府</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路支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59"/>
        <w:gridCol w:w="562"/>
        <w:gridCol w:w="562"/>
        <w:gridCol w:w="562"/>
        <w:gridCol w:w="548"/>
        <w:gridCol w:w="547"/>
        <w:gridCol w:w="547"/>
        <w:gridCol w:w="538"/>
      </w:tblGrid>
      <w:tr>
        <w:trPr>
          <w:trHeight w:val="356"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民生</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3,000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3.70%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99" w:right="0"/>
              <w:jc w:val="center"/>
              <w:rPr>
                <w:rFonts w:ascii="Times New Roman" w:hAnsi="Times New Roman" w:cs="Times New Roman" w:eastAsia="Times New Roman" w:hint="default"/>
                <w:sz w:val="18"/>
                <w:szCs w:val="18"/>
              </w:rPr>
            </w:pPr>
            <w:r>
              <w:rPr>
                <w:rFonts w:ascii="Times New Roman"/>
                <w:sz w:val="18"/>
              </w:rPr>
              <w:t>27.67</w:t>
            </w: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未到 期</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成府</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路支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7"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1"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民生</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8"/>
              <w:jc w:val="right"/>
              <w:rPr>
                <w:rFonts w:ascii="Times New Roman" w:hAnsi="Times New Roman" w:cs="Times New Roman" w:eastAsia="Times New Roman" w:hint="default"/>
                <w:sz w:val="18"/>
                <w:szCs w:val="18"/>
              </w:rPr>
            </w:pPr>
            <w:r>
              <w:rPr>
                <w:rFonts w:ascii="Times New Roman"/>
                <w:sz w:val="18"/>
              </w:rPr>
              <w:t>7,000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62" w:right="0"/>
              <w:jc w:val="left"/>
              <w:rPr>
                <w:rFonts w:ascii="Times New Roman" w:hAnsi="Times New Roman" w:cs="Times New Roman" w:eastAsia="Times New Roman" w:hint="default"/>
                <w:sz w:val="18"/>
                <w:szCs w:val="18"/>
              </w:rPr>
            </w:pPr>
            <w:r>
              <w:rPr>
                <w:rFonts w:ascii="Times New Roman"/>
                <w:sz w:val="18"/>
              </w:rPr>
              <w:t>3.70%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99" w:right="0"/>
              <w:jc w:val="center"/>
              <w:rPr>
                <w:rFonts w:ascii="Times New Roman" w:hAnsi="Times New Roman" w:cs="Times New Roman" w:eastAsia="Times New Roman" w:hint="default"/>
                <w:sz w:val="18"/>
                <w:szCs w:val="18"/>
              </w:rPr>
            </w:pPr>
            <w:r>
              <w:rPr>
                <w:rFonts w:ascii="Times New Roman"/>
                <w:sz w:val="18"/>
              </w:rPr>
              <w:t>64.57</w:t>
            </w: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7"/>
              <w:jc w:val="left"/>
              <w:rPr>
                <w:rFonts w:ascii="宋体" w:hAnsi="宋体" w:cs="宋体" w:eastAsia="宋体" w:hint="default"/>
                <w:sz w:val="18"/>
                <w:szCs w:val="18"/>
              </w:rPr>
            </w:pPr>
            <w:r>
              <w:rPr>
                <w:rFonts w:ascii="宋体" w:hAnsi="宋体" w:cs="宋体" w:eastAsia="宋体" w:hint="default"/>
                <w:sz w:val="18"/>
                <w:szCs w:val="18"/>
              </w:rPr>
              <w:t>未到 期</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成府</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路支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164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华夏 银行 北京 知春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3.23%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74.95</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未到 期</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1"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9"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8"/>
              <w:jc w:val="right"/>
              <w:rPr>
                <w:rFonts w:ascii="Times New Roman" w:hAnsi="Times New Roman" w:cs="Times New Roman" w:eastAsia="Times New Roman" w:hint="default"/>
                <w:sz w:val="18"/>
                <w:szCs w:val="18"/>
              </w:rPr>
            </w:pPr>
            <w:r>
              <w:rPr>
                <w:rFonts w:ascii="Times New Roman"/>
                <w:sz w:val="18"/>
              </w:rPr>
              <w:t>9,000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62" w:right="0"/>
              <w:jc w:val="left"/>
              <w:rPr>
                <w:rFonts w:ascii="Times New Roman" w:hAnsi="Times New Roman" w:cs="Times New Roman" w:eastAsia="Times New Roman" w:hint="default"/>
                <w:sz w:val="18"/>
                <w:szCs w:val="18"/>
              </w:rPr>
            </w:pPr>
            <w:r>
              <w:rPr>
                <w:rFonts w:ascii="Times New Roman"/>
                <w:sz w:val="18"/>
              </w:rPr>
              <w:t>4.15%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99" w:right="0"/>
              <w:jc w:val="center"/>
              <w:rPr>
                <w:rFonts w:ascii="Times New Roman" w:hAnsi="Times New Roman" w:cs="Times New Roman" w:eastAsia="Times New Roman" w:hint="default"/>
                <w:sz w:val="18"/>
                <w:szCs w:val="18"/>
              </w:rPr>
            </w:pPr>
            <w:r>
              <w:rPr>
                <w:rFonts w:ascii="Times New Roman"/>
                <w:sz w:val="18"/>
              </w:rPr>
              <w:t>190.9</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22" w:right="0"/>
              <w:jc w:val="left"/>
              <w:rPr>
                <w:rFonts w:ascii="Times New Roman" w:hAnsi="Times New Roman" w:cs="Times New Roman" w:eastAsia="Times New Roman" w:hint="default"/>
                <w:sz w:val="18"/>
                <w:szCs w:val="18"/>
              </w:rPr>
            </w:pPr>
            <w:r>
              <w:rPr>
                <w:rFonts w:ascii="Times New Roman"/>
                <w:sz w:val="18"/>
              </w:rPr>
              <w:t>190.9</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中关</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59"/>
        <w:gridCol w:w="562"/>
        <w:gridCol w:w="562"/>
        <w:gridCol w:w="562"/>
        <w:gridCol w:w="548"/>
        <w:gridCol w:w="547"/>
        <w:gridCol w:w="547"/>
        <w:gridCol w:w="538"/>
      </w:tblGrid>
      <w:tr>
        <w:trPr>
          <w:trHeight w:val="356"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4.15%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40" w:right="0"/>
              <w:jc w:val="left"/>
              <w:rPr>
                <w:rFonts w:ascii="Times New Roman" w:hAnsi="Times New Roman" w:cs="Times New Roman" w:eastAsia="Times New Roman" w:hint="default"/>
                <w:sz w:val="18"/>
                <w:szCs w:val="18"/>
              </w:rPr>
            </w:pPr>
            <w:r>
              <w:rPr>
                <w:rFonts w:ascii="Times New Roman"/>
                <w:sz w:val="18"/>
              </w:rPr>
              <w:t>212.11</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40" w:right="0"/>
              <w:jc w:val="left"/>
              <w:rPr>
                <w:rFonts w:ascii="Times New Roman" w:hAnsi="Times New Roman" w:cs="Times New Roman" w:eastAsia="Times New Roman" w:hint="default"/>
                <w:sz w:val="18"/>
                <w:szCs w:val="18"/>
              </w:rPr>
            </w:pPr>
            <w:r>
              <w:rPr>
                <w:rFonts w:ascii="Times New Roman"/>
                <w:sz w:val="18"/>
              </w:rPr>
              <w:t>212.11</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中关</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7"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1"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8"/>
              <w:jc w:val="right"/>
              <w:rPr>
                <w:rFonts w:ascii="Times New Roman" w:hAnsi="Times New Roman" w:cs="Times New Roman" w:eastAsia="Times New Roman" w:hint="default"/>
                <w:sz w:val="18"/>
                <w:szCs w:val="18"/>
              </w:rPr>
            </w:pPr>
            <w:r>
              <w:rPr>
                <w:rFonts w:ascii="Times New Roman"/>
                <w:spacing w:val="-1"/>
                <w:sz w:val="18"/>
              </w:rPr>
              <w:t>17,000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62" w:right="0"/>
              <w:jc w:val="left"/>
              <w:rPr>
                <w:rFonts w:ascii="Times New Roman" w:hAnsi="Times New Roman" w:cs="Times New Roman" w:eastAsia="Times New Roman" w:hint="default"/>
                <w:sz w:val="18"/>
                <w:szCs w:val="18"/>
              </w:rPr>
            </w:pPr>
            <w:r>
              <w:rPr>
                <w:rFonts w:ascii="Times New Roman"/>
                <w:sz w:val="18"/>
              </w:rPr>
              <w:t>4.15%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33" w:right="0"/>
              <w:jc w:val="left"/>
              <w:rPr>
                <w:rFonts w:ascii="Times New Roman" w:hAnsi="Times New Roman" w:cs="Times New Roman" w:eastAsia="Times New Roman" w:hint="default"/>
                <w:sz w:val="18"/>
                <w:szCs w:val="18"/>
              </w:rPr>
            </w:pPr>
            <w:r>
              <w:rPr>
                <w:rFonts w:ascii="Times New Roman"/>
                <w:sz w:val="18"/>
              </w:rPr>
              <w:t>360.59</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33" w:right="0"/>
              <w:jc w:val="left"/>
              <w:rPr>
                <w:rFonts w:ascii="Times New Roman" w:hAnsi="Times New Roman" w:cs="Times New Roman" w:eastAsia="Times New Roman" w:hint="default"/>
                <w:sz w:val="18"/>
                <w:szCs w:val="18"/>
              </w:rPr>
            </w:pPr>
            <w:r>
              <w:rPr>
                <w:rFonts w:ascii="Times New Roman"/>
                <w:sz w:val="18"/>
              </w:rPr>
              <w:t>360.59</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中关</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6"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9,600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3.85%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33" w:right="0"/>
              <w:jc w:val="left"/>
              <w:rPr>
                <w:rFonts w:ascii="Times New Roman" w:hAnsi="Times New Roman" w:cs="Times New Roman" w:eastAsia="Times New Roman" w:hint="default"/>
                <w:sz w:val="18"/>
                <w:szCs w:val="18"/>
              </w:rPr>
            </w:pPr>
            <w:r>
              <w:rPr>
                <w:rFonts w:ascii="Times New Roman"/>
                <w:sz w:val="18"/>
              </w:rPr>
              <w:t>188.91</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33" w:right="0"/>
              <w:jc w:val="left"/>
              <w:rPr>
                <w:rFonts w:ascii="Times New Roman" w:hAnsi="Times New Roman" w:cs="Times New Roman" w:eastAsia="Times New Roman" w:hint="default"/>
                <w:sz w:val="18"/>
                <w:szCs w:val="18"/>
              </w:rPr>
            </w:pPr>
            <w:r>
              <w:rPr>
                <w:rFonts w:ascii="Times New Roman"/>
                <w:sz w:val="18"/>
              </w:rPr>
              <w:t>188.91</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中关</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7"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1"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62" w:right="0"/>
              <w:jc w:val="left"/>
              <w:rPr>
                <w:rFonts w:ascii="Times New Roman" w:hAnsi="Times New Roman" w:cs="Times New Roman" w:eastAsia="Times New Roman" w:hint="default"/>
                <w:sz w:val="18"/>
                <w:szCs w:val="18"/>
              </w:rPr>
            </w:pPr>
            <w:r>
              <w:rPr>
                <w:rFonts w:ascii="Times New Roman"/>
                <w:sz w:val="18"/>
              </w:rPr>
              <w:t>3.85%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33" w:right="0"/>
              <w:jc w:val="left"/>
              <w:rPr>
                <w:rFonts w:ascii="Times New Roman" w:hAnsi="Times New Roman" w:cs="Times New Roman" w:eastAsia="Times New Roman" w:hint="default"/>
                <w:sz w:val="18"/>
                <w:szCs w:val="18"/>
              </w:rPr>
            </w:pPr>
            <w:r>
              <w:rPr>
                <w:rFonts w:ascii="Times New Roman"/>
                <w:sz w:val="18"/>
              </w:rPr>
              <w:t>196.78</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33" w:right="0"/>
              <w:jc w:val="left"/>
              <w:rPr>
                <w:rFonts w:ascii="Times New Roman" w:hAnsi="Times New Roman" w:cs="Times New Roman" w:eastAsia="Times New Roman" w:hint="default"/>
                <w:sz w:val="18"/>
                <w:szCs w:val="18"/>
              </w:rPr>
            </w:pPr>
            <w:r>
              <w:rPr>
                <w:rFonts w:ascii="Times New Roman"/>
                <w:sz w:val="18"/>
              </w:rPr>
              <w:t>196.78</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中关</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59"/>
        <w:gridCol w:w="562"/>
        <w:gridCol w:w="562"/>
        <w:gridCol w:w="562"/>
        <w:gridCol w:w="548"/>
        <w:gridCol w:w="547"/>
        <w:gridCol w:w="547"/>
        <w:gridCol w:w="538"/>
      </w:tblGrid>
      <w:tr>
        <w:trPr>
          <w:trHeight w:val="356"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pacing w:val="-1"/>
                <w:sz w:val="18"/>
              </w:rPr>
              <w:t>17,400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3.85%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334.95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334.95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中关</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7"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1"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62" w:right="0"/>
              <w:jc w:val="left"/>
              <w:rPr>
                <w:rFonts w:ascii="Times New Roman" w:hAnsi="Times New Roman" w:cs="Times New Roman" w:eastAsia="Times New Roman" w:hint="default"/>
                <w:sz w:val="18"/>
                <w:szCs w:val="18"/>
              </w:rPr>
            </w:pPr>
            <w:r>
              <w:rPr>
                <w:rFonts w:ascii="Times New Roman"/>
                <w:sz w:val="18"/>
              </w:rPr>
              <w:t>4.00%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1"/>
              <w:jc w:val="right"/>
              <w:rPr>
                <w:rFonts w:ascii="Times New Roman" w:hAnsi="Times New Roman" w:cs="Times New Roman" w:eastAsia="Times New Roman" w:hint="default"/>
                <w:sz w:val="18"/>
                <w:szCs w:val="18"/>
              </w:rPr>
            </w:pPr>
            <w:r>
              <w:rPr>
                <w:rFonts w:ascii="Times New Roman"/>
                <w:sz w:val="18"/>
              </w:rPr>
              <w:t>134.4</w:t>
            </w: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7"/>
              <w:jc w:val="left"/>
              <w:rPr>
                <w:rFonts w:ascii="宋体" w:hAnsi="宋体" w:cs="宋体" w:eastAsia="宋体" w:hint="default"/>
                <w:sz w:val="18"/>
                <w:szCs w:val="18"/>
              </w:rPr>
            </w:pPr>
            <w:r>
              <w:rPr>
                <w:rFonts w:ascii="宋体" w:hAnsi="宋体" w:cs="宋体" w:eastAsia="宋体" w:hint="default"/>
                <w:sz w:val="18"/>
                <w:szCs w:val="18"/>
              </w:rPr>
              <w:t>未到 期</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中关</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6"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pacing w:val="-1"/>
                <w:sz w:val="18"/>
              </w:rPr>
              <w:t>10,780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4.00%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180.86</w:t>
            </w: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未到 期</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中关</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165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76"/>
              <w:jc w:val="both"/>
              <w:rPr>
                <w:rFonts w:ascii="宋体" w:hAnsi="宋体" w:cs="宋体" w:eastAsia="宋体" w:hint="default"/>
                <w:sz w:val="18"/>
                <w:szCs w:val="18"/>
              </w:rPr>
            </w:pPr>
            <w:r>
              <w:rPr>
                <w:rFonts w:ascii="宋体" w:hAnsi="宋体" w:cs="宋体" w:eastAsia="宋体" w:hint="default"/>
                <w:sz w:val="18"/>
                <w:szCs w:val="18"/>
              </w:rPr>
              <w:t>中国 银行 深圳 中兴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6"/>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6"/>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6"/>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6"/>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中国 银行 深圳 中兴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3.35%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59"/>
        <w:gridCol w:w="562"/>
        <w:gridCol w:w="562"/>
        <w:gridCol w:w="562"/>
        <w:gridCol w:w="548"/>
        <w:gridCol w:w="547"/>
        <w:gridCol w:w="547"/>
        <w:gridCol w:w="538"/>
      </w:tblGrid>
      <w:tr>
        <w:trPr>
          <w:trHeight w:val="356"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恒天</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中岩 投资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7"/>
              <w:jc w:val="right"/>
              <w:rPr>
                <w:rFonts w:ascii="Times New Roman" w:hAnsi="Times New Roman" w:cs="Times New Roman" w:eastAsia="Times New Roman" w:hint="default"/>
                <w:sz w:val="18"/>
                <w:szCs w:val="18"/>
              </w:rPr>
            </w:pPr>
            <w:r>
              <w:rPr>
                <w:rFonts w:ascii="Times New Roman"/>
                <w:sz w:val="18"/>
              </w:rPr>
              <w:t>500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5.00%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2.31</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2.31</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7"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恒天</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7"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9" w:lineRule="auto" w:before="9"/>
              <w:ind w:left="24" w:right="176"/>
              <w:jc w:val="both"/>
              <w:rPr>
                <w:rFonts w:ascii="宋体" w:hAnsi="宋体" w:cs="宋体" w:eastAsia="宋体" w:hint="default"/>
                <w:sz w:val="18"/>
                <w:szCs w:val="18"/>
              </w:rPr>
            </w:pPr>
            <w:r>
              <w:rPr>
                <w:rFonts w:ascii="宋体" w:hAnsi="宋体" w:cs="宋体" w:eastAsia="宋体" w:hint="default"/>
                <w:sz w:val="18"/>
                <w:szCs w:val="18"/>
              </w:rPr>
              <w:t>中岩 投资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
              <w:jc w:val="right"/>
              <w:rPr>
                <w:rFonts w:ascii="Times New Roman" w:hAnsi="Times New Roman" w:cs="Times New Roman" w:eastAsia="Times New Roman" w:hint="default"/>
                <w:sz w:val="18"/>
                <w:szCs w:val="18"/>
              </w:rPr>
            </w:pPr>
            <w:r>
              <w:rPr>
                <w:rFonts w:ascii="Times New Roman"/>
                <w:sz w:val="18"/>
              </w:rPr>
              <w:t>500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62" w:right="0"/>
              <w:jc w:val="left"/>
              <w:rPr>
                <w:rFonts w:ascii="Times New Roman" w:hAnsi="Times New Roman" w:cs="Times New Roman" w:eastAsia="Times New Roman" w:hint="default"/>
                <w:sz w:val="18"/>
                <w:szCs w:val="18"/>
              </w:rPr>
            </w:pPr>
            <w:r>
              <w:rPr>
                <w:rFonts w:ascii="Times New Roman"/>
                <w:sz w:val="18"/>
              </w:rPr>
              <w:t>5.00%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1"/>
              <w:jc w:val="right"/>
              <w:rPr>
                <w:rFonts w:ascii="Times New Roman" w:hAnsi="Times New Roman" w:cs="Times New Roman" w:eastAsia="Times New Roman" w:hint="default"/>
                <w:sz w:val="18"/>
                <w:szCs w:val="18"/>
              </w:rPr>
            </w:pPr>
            <w:r>
              <w:rPr>
                <w:rFonts w:ascii="Times New Roman"/>
                <w:sz w:val="18"/>
              </w:rPr>
              <w:t>2.5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1"/>
              <w:jc w:val="right"/>
              <w:rPr>
                <w:rFonts w:ascii="Times New Roman" w:hAnsi="Times New Roman" w:cs="Times New Roman" w:eastAsia="Times New Roman" w:hint="default"/>
                <w:sz w:val="18"/>
                <w:szCs w:val="18"/>
              </w:rPr>
            </w:pPr>
            <w:r>
              <w:rPr>
                <w:rFonts w:ascii="Times New Roman"/>
                <w:sz w:val="18"/>
              </w:rPr>
              <w:t>2.5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易迪 基金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5,000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8.80%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370.08</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未到 期</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165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6"/>
              <w:jc w:val="both"/>
              <w:rPr>
                <w:rFonts w:ascii="宋体" w:hAnsi="宋体" w:cs="宋体" w:eastAsia="宋体" w:hint="default"/>
                <w:sz w:val="18"/>
                <w:szCs w:val="18"/>
              </w:rPr>
            </w:pPr>
            <w:r>
              <w:rPr>
                <w:rFonts w:ascii="宋体" w:hAnsi="宋体" w:cs="宋体" w:eastAsia="宋体" w:hint="default"/>
                <w:sz w:val="18"/>
                <w:szCs w:val="18"/>
              </w:rPr>
              <w:t>中国 银行 深圳 中兴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3.25%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恒天</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中岩 投资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7"/>
              <w:jc w:val="right"/>
              <w:rPr>
                <w:rFonts w:ascii="Times New Roman" w:hAnsi="Times New Roman" w:cs="Times New Roman" w:eastAsia="Times New Roman" w:hint="default"/>
                <w:sz w:val="18"/>
                <w:szCs w:val="18"/>
              </w:rPr>
            </w:pPr>
            <w:r>
              <w:rPr>
                <w:rFonts w:ascii="Times New Roman"/>
                <w:sz w:val="18"/>
              </w:rPr>
              <w:t>500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5.00%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2.37</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2.37</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7"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恒天</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7"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176"/>
              <w:jc w:val="both"/>
              <w:rPr>
                <w:rFonts w:ascii="宋体" w:hAnsi="宋体" w:cs="宋体" w:eastAsia="宋体" w:hint="default"/>
                <w:sz w:val="18"/>
                <w:szCs w:val="18"/>
              </w:rPr>
            </w:pPr>
            <w:r>
              <w:rPr>
                <w:rFonts w:ascii="宋体" w:hAnsi="宋体" w:cs="宋体" w:eastAsia="宋体" w:hint="default"/>
                <w:sz w:val="18"/>
                <w:szCs w:val="18"/>
              </w:rPr>
              <w:t>中岩 投资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7"/>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7"/>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8"/>
              <w:jc w:val="right"/>
              <w:rPr>
                <w:rFonts w:ascii="Times New Roman" w:hAnsi="Times New Roman" w:cs="Times New Roman" w:eastAsia="Times New Roman" w:hint="default"/>
                <w:sz w:val="18"/>
                <w:szCs w:val="18"/>
              </w:rPr>
            </w:pPr>
            <w:r>
              <w:rPr>
                <w:rFonts w:ascii="Times New Roman"/>
                <w:sz w:val="18"/>
              </w:rPr>
              <w:t>1,000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7"/>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7"/>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62" w:right="0"/>
              <w:jc w:val="left"/>
              <w:rPr>
                <w:rFonts w:ascii="Times New Roman" w:hAnsi="Times New Roman" w:cs="Times New Roman" w:eastAsia="Times New Roman" w:hint="default"/>
                <w:sz w:val="18"/>
                <w:szCs w:val="18"/>
              </w:rPr>
            </w:pPr>
            <w:r>
              <w:rPr>
                <w:rFonts w:ascii="Times New Roman"/>
                <w:sz w:val="18"/>
              </w:rPr>
              <w:t>4.80%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1"/>
              <w:jc w:val="right"/>
              <w:rPr>
                <w:rFonts w:ascii="Times New Roman" w:hAnsi="Times New Roman" w:cs="Times New Roman" w:eastAsia="Times New Roman" w:hint="default"/>
                <w:sz w:val="18"/>
                <w:szCs w:val="18"/>
              </w:rPr>
            </w:pPr>
            <w:r>
              <w:rPr>
                <w:rFonts w:ascii="Times New Roman"/>
                <w:sz w:val="18"/>
              </w:rPr>
              <w:t>4.2</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1"/>
              <w:jc w:val="right"/>
              <w:rPr>
                <w:rFonts w:ascii="Times New Roman" w:hAnsi="Times New Roman" w:cs="Times New Roman" w:eastAsia="Times New Roman" w:hint="default"/>
                <w:sz w:val="18"/>
                <w:szCs w:val="18"/>
              </w:rPr>
            </w:pPr>
            <w:r>
              <w:rPr>
                <w:rFonts w:ascii="Times New Roman"/>
                <w:sz w:val="18"/>
              </w:rPr>
              <w:t>4.2</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7"/>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59"/>
        <w:gridCol w:w="562"/>
        <w:gridCol w:w="562"/>
        <w:gridCol w:w="562"/>
        <w:gridCol w:w="548"/>
        <w:gridCol w:w="547"/>
        <w:gridCol w:w="547"/>
        <w:gridCol w:w="538"/>
      </w:tblGrid>
      <w:tr>
        <w:trPr>
          <w:trHeight w:val="356"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560"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银行 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3.70%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4.21</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4.21</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国贸</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7"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1"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560"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银行 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14" w:lineRule="auto"/>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14" w:lineRule="auto"/>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14" w:lineRule="auto"/>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2.30%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0.46</w:t>
            </w: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14" w:lineRule="auto"/>
              <w:ind w:left="23" w:right="167"/>
              <w:jc w:val="left"/>
              <w:rPr>
                <w:rFonts w:ascii="宋体" w:hAnsi="宋体" w:cs="宋体" w:eastAsia="宋体" w:hint="default"/>
                <w:sz w:val="18"/>
                <w:szCs w:val="18"/>
              </w:rPr>
            </w:pPr>
            <w:r>
              <w:rPr>
                <w:rFonts w:ascii="宋体" w:hAnsi="宋体" w:cs="宋体" w:eastAsia="宋体" w:hint="default"/>
                <w:sz w:val="18"/>
                <w:szCs w:val="18"/>
              </w:rPr>
              <w:t>未到 期</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国贸</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1,000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4.15%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99" w:right="0"/>
              <w:jc w:val="center"/>
              <w:rPr>
                <w:rFonts w:ascii="Times New Roman" w:hAnsi="Times New Roman" w:cs="Times New Roman" w:eastAsia="Times New Roman" w:hint="default"/>
                <w:sz w:val="18"/>
                <w:szCs w:val="18"/>
              </w:rPr>
            </w:pPr>
            <w:r>
              <w:rPr>
                <w:rFonts w:ascii="Times New Roman"/>
                <w:sz w:val="18"/>
              </w:rPr>
              <w:t>21.21</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99" w:right="0"/>
              <w:jc w:val="center"/>
              <w:rPr>
                <w:rFonts w:ascii="Times New Roman" w:hAnsi="Times New Roman" w:cs="Times New Roman" w:eastAsia="Times New Roman" w:hint="default"/>
                <w:sz w:val="18"/>
                <w:szCs w:val="18"/>
              </w:rPr>
            </w:pPr>
            <w:r>
              <w:rPr>
                <w:rFonts w:ascii="Times New Roman"/>
                <w:sz w:val="18"/>
              </w:rPr>
              <w:t>21.21</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中关</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7"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1"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8"/>
              <w:jc w:val="right"/>
              <w:rPr>
                <w:rFonts w:ascii="Times New Roman" w:hAnsi="Times New Roman" w:cs="Times New Roman" w:eastAsia="Times New Roman" w:hint="default"/>
                <w:sz w:val="18"/>
                <w:szCs w:val="18"/>
              </w:rPr>
            </w:pPr>
            <w:r>
              <w:rPr>
                <w:rFonts w:ascii="Times New Roman"/>
                <w:sz w:val="18"/>
              </w:rPr>
              <w:t>3,000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62" w:right="0"/>
              <w:jc w:val="left"/>
              <w:rPr>
                <w:rFonts w:ascii="Times New Roman" w:hAnsi="Times New Roman" w:cs="Times New Roman" w:eastAsia="Times New Roman" w:hint="default"/>
                <w:sz w:val="18"/>
                <w:szCs w:val="18"/>
              </w:rPr>
            </w:pPr>
            <w:r>
              <w:rPr>
                <w:rFonts w:ascii="Times New Roman"/>
                <w:sz w:val="18"/>
              </w:rPr>
              <w:t>3.80%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99" w:right="0"/>
              <w:jc w:val="center"/>
              <w:rPr>
                <w:rFonts w:ascii="Times New Roman" w:hAnsi="Times New Roman" w:cs="Times New Roman" w:eastAsia="Times New Roman" w:hint="default"/>
                <w:sz w:val="18"/>
                <w:szCs w:val="18"/>
              </w:rPr>
            </w:pPr>
            <w:r>
              <w:rPr>
                <w:rFonts w:ascii="Times New Roman"/>
                <w:sz w:val="18"/>
              </w:rPr>
              <w:t>29.77</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99" w:right="0"/>
              <w:jc w:val="center"/>
              <w:rPr>
                <w:rFonts w:ascii="Times New Roman" w:hAnsi="Times New Roman" w:cs="Times New Roman" w:eastAsia="Times New Roman" w:hint="default"/>
                <w:sz w:val="18"/>
                <w:szCs w:val="18"/>
              </w:rPr>
            </w:pPr>
            <w:r>
              <w:rPr>
                <w:rFonts w:ascii="Times New Roman"/>
                <w:sz w:val="18"/>
              </w:rPr>
              <w:t>29.77</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中关</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59"/>
        <w:gridCol w:w="562"/>
        <w:gridCol w:w="562"/>
        <w:gridCol w:w="562"/>
        <w:gridCol w:w="548"/>
        <w:gridCol w:w="547"/>
        <w:gridCol w:w="547"/>
        <w:gridCol w:w="538"/>
      </w:tblGrid>
      <w:tr>
        <w:trPr>
          <w:trHeight w:val="356"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3,000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3.80%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99" w:right="0"/>
              <w:jc w:val="center"/>
              <w:rPr>
                <w:rFonts w:ascii="Times New Roman" w:hAnsi="Times New Roman" w:cs="Times New Roman" w:eastAsia="Times New Roman" w:hint="default"/>
                <w:sz w:val="18"/>
                <w:szCs w:val="18"/>
              </w:rPr>
            </w:pPr>
            <w:r>
              <w:rPr>
                <w:rFonts w:ascii="Times New Roman"/>
                <w:sz w:val="18"/>
              </w:rPr>
              <w:t>29.77</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99" w:right="0"/>
              <w:jc w:val="center"/>
              <w:rPr>
                <w:rFonts w:ascii="Times New Roman" w:hAnsi="Times New Roman" w:cs="Times New Roman" w:eastAsia="Times New Roman" w:hint="default"/>
                <w:sz w:val="18"/>
                <w:szCs w:val="18"/>
              </w:rPr>
            </w:pPr>
            <w:r>
              <w:rPr>
                <w:rFonts w:ascii="Times New Roman"/>
                <w:sz w:val="18"/>
              </w:rPr>
              <w:t>29.77</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中关</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7"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1"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8"/>
              <w:jc w:val="right"/>
              <w:rPr>
                <w:rFonts w:ascii="Times New Roman" w:hAnsi="Times New Roman" w:cs="Times New Roman" w:eastAsia="Times New Roman" w:hint="default"/>
                <w:sz w:val="18"/>
                <w:szCs w:val="18"/>
              </w:rPr>
            </w:pPr>
            <w:r>
              <w:rPr>
                <w:rFonts w:ascii="Times New Roman"/>
                <w:sz w:val="18"/>
              </w:rPr>
              <w:t>2,500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62" w:right="0"/>
              <w:jc w:val="left"/>
              <w:rPr>
                <w:rFonts w:ascii="Times New Roman" w:hAnsi="Times New Roman" w:cs="Times New Roman" w:eastAsia="Times New Roman" w:hint="default"/>
                <w:sz w:val="18"/>
                <w:szCs w:val="18"/>
              </w:rPr>
            </w:pPr>
            <w:r>
              <w:rPr>
                <w:rFonts w:ascii="Times New Roman"/>
                <w:sz w:val="18"/>
              </w:rPr>
              <w:t>3.80%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99" w:right="0"/>
              <w:jc w:val="center"/>
              <w:rPr>
                <w:rFonts w:ascii="Times New Roman" w:hAnsi="Times New Roman" w:cs="Times New Roman" w:eastAsia="Times New Roman" w:hint="default"/>
                <w:sz w:val="18"/>
                <w:szCs w:val="18"/>
              </w:rPr>
            </w:pPr>
            <w:r>
              <w:rPr>
                <w:rFonts w:ascii="Times New Roman"/>
                <w:sz w:val="18"/>
              </w:rPr>
              <w:t>24.81</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99" w:right="0"/>
              <w:jc w:val="center"/>
              <w:rPr>
                <w:rFonts w:ascii="Times New Roman" w:hAnsi="Times New Roman" w:cs="Times New Roman" w:eastAsia="Times New Roman" w:hint="default"/>
                <w:sz w:val="18"/>
                <w:szCs w:val="18"/>
              </w:rPr>
            </w:pPr>
            <w:r>
              <w:rPr>
                <w:rFonts w:ascii="Times New Roman"/>
                <w:sz w:val="18"/>
              </w:rPr>
              <w:t>24.81</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中关</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6"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恒天</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中岩 投资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1,000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5.00%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90" w:right="0"/>
              <w:jc w:val="center"/>
              <w:rPr>
                <w:rFonts w:ascii="Times New Roman" w:hAnsi="Times New Roman" w:cs="Times New Roman" w:eastAsia="Times New Roman" w:hint="default"/>
                <w:sz w:val="18"/>
                <w:szCs w:val="18"/>
              </w:rPr>
            </w:pPr>
            <w:r>
              <w:rPr>
                <w:rFonts w:ascii="Times New Roman"/>
                <w:sz w:val="18"/>
              </w:rPr>
              <w:t>4.63</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90" w:right="0"/>
              <w:jc w:val="center"/>
              <w:rPr>
                <w:rFonts w:ascii="Times New Roman" w:hAnsi="Times New Roman" w:cs="Times New Roman" w:eastAsia="Times New Roman" w:hint="default"/>
                <w:sz w:val="18"/>
                <w:szCs w:val="18"/>
              </w:rPr>
            </w:pPr>
            <w:r>
              <w:rPr>
                <w:rFonts w:ascii="Times New Roman"/>
                <w:sz w:val="18"/>
              </w:rPr>
              <w:t>4.63</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7"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1"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9"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8"/>
              <w:jc w:val="right"/>
              <w:rPr>
                <w:rFonts w:ascii="Times New Roman" w:hAnsi="Times New Roman" w:cs="Times New Roman" w:eastAsia="Times New Roman" w:hint="default"/>
                <w:sz w:val="18"/>
                <w:szCs w:val="18"/>
              </w:rPr>
            </w:pPr>
            <w:r>
              <w:rPr>
                <w:rFonts w:ascii="Times New Roman"/>
                <w:sz w:val="18"/>
              </w:rPr>
              <w:t>2,000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62" w:right="0"/>
              <w:jc w:val="left"/>
              <w:rPr>
                <w:rFonts w:ascii="Times New Roman" w:hAnsi="Times New Roman" w:cs="Times New Roman" w:eastAsia="Times New Roman" w:hint="default"/>
                <w:sz w:val="18"/>
                <w:szCs w:val="18"/>
              </w:rPr>
            </w:pPr>
            <w:r>
              <w:rPr>
                <w:rFonts w:ascii="Times New Roman"/>
                <w:sz w:val="18"/>
              </w:rPr>
              <w:t>3.65%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99" w:right="0"/>
              <w:jc w:val="center"/>
              <w:rPr>
                <w:rFonts w:ascii="Times New Roman" w:hAnsi="Times New Roman" w:cs="Times New Roman" w:eastAsia="Times New Roman" w:hint="default"/>
                <w:sz w:val="18"/>
                <w:szCs w:val="18"/>
              </w:rPr>
            </w:pPr>
            <w:r>
              <w:rPr>
                <w:rFonts w:ascii="Times New Roman"/>
                <w:sz w:val="18"/>
              </w:rPr>
              <w:t>19.06</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99" w:right="0"/>
              <w:jc w:val="center"/>
              <w:rPr>
                <w:rFonts w:ascii="Times New Roman" w:hAnsi="Times New Roman" w:cs="Times New Roman" w:eastAsia="Times New Roman" w:hint="default"/>
                <w:sz w:val="18"/>
                <w:szCs w:val="18"/>
              </w:rPr>
            </w:pPr>
            <w:r>
              <w:rPr>
                <w:rFonts w:ascii="Times New Roman"/>
                <w:sz w:val="18"/>
              </w:rPr>
              <w:t>19.06</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中关</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59"/>
        <w:gridCol w:w="562"/>
        <w:gridCol w:w="562"/>
        <w:gridCol w:w="562"/>
        <w:gridCol w:w="548"/>
        <w:gridCol w:w="547"/>
        <w:gridCol w:w="547"/>
        <w:gridCol w:w="538"/>
      </w:tblGrid>
      <w:tr>
        <w:trPr>
          <w:trHeight w:val="356"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3,000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3.75%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90" w:right="0"/>
              <w:jc w:val="center"/>
              <w:rPr>
                <w:rFonts w:ascii="Times New Roman" w:hAnsi="Times New Roman" w:cs="Times New Roman" w:eastAsia="Times New Roman" w:hint="default"/>
                <w:sz w:val="18"/>
                <w:szCs w:val="18"/>
              </w:rPr>
            </w:pPr>
            <w:r>
              <w:rPr>
                <w:rFonts w:ascii="Times New Roman"/>
                <w:sz w:val="18"/>
              </w:rPr>
              <w:t>57.5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90" w:right="0"/>
              <w:jc w:val="center"/>
              <w:rPr>
                <w:rFonts w:ascii="Times New Roman" w:hAnsi="Times New Roman" w:cs="Times New Roman" w:eastAsia="Times New Roman" w:hint="default"/>
                <w:sz w:val="18"/>
                <w:szCs w:val="18"/>
              </w:rPr>
            </w:pPr>
            <w:r>
              <w:rPr>
                <w:rFonts w:ascii="Times New Roman"/>
                <w:sz w:val="18"/>
              </w:rPr>
              <w:t>57.5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中关</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7"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1"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8"/>
              <w:jc w:val="right"/>
              <w:rPr>
                <w:rFonts w:ascii="Times New Roman" w:hAnsi="Times New Roman" w:cs="Times New Roman" w:eastAsia="Times New Roman" w:hint="default"/>
                <w:sz w:val="18"/>
                <w:szCs w:val="18"/>
              </w:rPr>
            </w:pPr>
            <w:r>
              <w:rPr>
                <w:rFonts w:ascii="Times New Roman"/>
                <w:sz w:val="18"/>
              </w:rPr>
              <w:t>3,500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62" w:right="0"/>
              <w:jc w:val="left"/>
              <w:rPr>
                <w:rFonts w:ascii="Times New Roman" w:hAnsi="Times New Roman" w:cs="Times New Roman" w:eastAsia="Times New Roman" w:hint="default"/>
                <w:sz w:val="18"/>
                <w:szCs w:val="18"/>
              </w:rPr>
            </w:pPr>
            <w:r>
              <w:rPr>
                <w:rFonts w:ascii="Times New Roman"/>
                <w:sz w:val="18"/>
              </w:rPr>
              <w:t>3.75%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99" w:right="0"/>
              <w:jc w:val="center"/>
              <w:rPr>
                <w:rFonts w:ascii="Times New Roman" w:hAnsi="Times New Roman" w:cs="Times New Roman" w:eastAsia="Times New Roman" w:hint="default"/>
                <w:sz w:val="18"/>
                <w:szCs w:val="18"/>
              </w:rPr>
            </w:pPr>
            <w:r>
              <w:rPr>
                <w:rFonts w:ascii="Times New Roman"/>
                <w:sz w:val="18"/>
              </w:rPr>
              <w:t>67.08</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99" w:right="0"/>
              <w:jc w:val="center"/>
              <w:rPr>
                <w:rFonts w:ascii="Times New Roman" w:hAnsi="Times New Roman" w:cs="Times New Roman" w:eastAsia="Times New Roman" w:hint="default"/>
                <w:sz w:val="18"/>
                <w:szCs w:val="18"/>
              </w:rPr>
            </w:pPr>
            <w:r>
              <w:rPr>
                <w:rFonts w:ascii="Times New Roman"/>
                <w:sz w:val="18"/>
              </w:rPr>
              <w:t>67.08</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中关</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6"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易迪 基金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1,000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8.80%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99" w:right="0"/>
              <w:jc w:val="center"/>
              <w:rPr>
                <w:rFonts w:ascii="Times New Roman" w:hAnsi="Times New Roman" w:cs="Times New Roman" w:eastAsia="Times New Roman" w:hint="default"/>
                <w:sz w:val="18"/>
                <w:szCs w:val="18"/>
              </w:rPr>
            </w:pPr>
            <w:r>
              <w:rPr>
                <w:rFonts w:ascii="Times New Roman"/>
                <w:sz w:val="18"/>
              </w:rPr>
              <w:t>74.26</w:t>
            </w: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未到 期</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7"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1"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9"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8"/>
              <w:jc w:val="right"/>
              <w:rPr>
                <w:rFonts w:ascii="Times New Roman" w:hAnsi="Times New Roman" w:cs="Times New Roman" w:eastAsia="Times New Roman" w:hint="default"/>
                <w:sz w:val="18"/>
                <w:szCs w:val="18"/>
              </w:rPr>
            </w:pPr>
            <w:r>
              <w:rPr>
                <w:rFonts w:ascii="Times New Roman"/>
                <w:sz w:val="18"/>
              </w:rPr>
              <w:t>1,000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62" w:right="0"/>
              <w:jc w:val="left"/>
              <w:rPr>
                <w:rFonts w:ascii="Times New Roman" w:hAnsi="Times New Roman" w:cs="Times New Roman" w:eastAsia="Times New Roman" w:hint="default"/>
                <w:sz w:val="18"/>
                <w:szCs w:val="18"/>
              </w:rPr>
            </w:pPr>
            <w:r>
              <w:rPr>
                <w:rFonts w:ascii="Times New Roman"/>
                <w:sz w:val="18"/>
              </w:rPr>
              <w:t>3.85%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99" w:right="0"/>
              <w:jc w:val="center"/>
              <w:rPr>
                <w:rFonts w:ascii="Times New Roman" w:hAnsi="Times New Roman" w:cs="Times New Roman" w:eastAsia="Times New Roman" w:hint="default"/>
                <w:sz w:val="18"/>
                <w:szCs w:val="18"/>
              </w:rPr>
            </w:pPr>
            <w:r>
              <w:rPr>
                <w:rFonts w:ascii="Times New Roman"/>
                <w:sz w:val="18"/>
              </w:rPr>
              <w:t>19.68</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99" w:right="0"/>
              <w:jc w:val="center"/>
              <w:rPr>
                <w:rFonts w:ascii="Times New Roman" w:hAnsi="Times New Roman" w:cs="Times New Roman" w:eastAsia="Times New Roman" w:hint="default"/>
                <w:sz w:val="18"/>
                <w:szCs w:val="18"/>
              </w:rPr>
            </w:pPr>
            <w:r>
              <w:rPr>
                <w:rFonts w:ascii="Times New Roman"/>
                <w:sz w:val="18"/>
              </w:rPr>
              <w:t>19.68</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中关</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59"/>
        <w:gridCol w:w="562"/>
        <w:gridCol w:w="562"/>
        <w:gridCol w:w="562"/>
        <w:gridCol w:w="548"/>
        <w:gridCol w:w="547"/>
        <w:gridCol w:w="547"/>
        <w:gridCol w:w="538"/>
      </w:tblGrid>
      <w:tr>
        <w:trPr>
          <w:trHeight w:val="356"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7"/>
              <w:jc w:val="right"/>
              <w:rPr>
                <w:rFonts w:ascii="Times New Roman" w:hAnsi="Times New Roman" w:cs="Times New Roman" w:eastAsia="Times New Roman" w:hint="default"/>
                <w:sz w:val="18"/>
                <w:szCs w:val="18"/>
              </w:rPr>
            </w:pPr>
            <w:r>
              <w:rPr>
                <w:rFonts w:ascii="Times New Roman"/>
                <w:sz w:val="18"/>
              </w:rPr>
              <w:t>120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3.70%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90" w:right="0"/>
              <w:jc w:val="center"/>
              <w:rPr>
                <w:rFonts w:ascii="Times New Roman" w:hAnsi="Times New Roman" w:cs="Times New Roman" w:eastAsia="Times New Roman" w:hint="default"/>
                <w:sz w:val="18"/>
                <w:szCs w:val="18"/>
              </w:rPr>
            </w:pPr>
            <w:r>
              <w:rPr>
                <w:rFonts w:ascii="Times New Roman"/>
                <w:sz w:val="18"/>
              </w:rPr>
              <w:t>0.62</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90" w:right="0"/>
              <w:jc w:val="center"/>
              <w:rPr>
                <w:rFonts w:ascii="Times New Roman" w:hAnsi="Times New Roman" w:cs="Times New Roman" w:eastAsia="Times New Roman" w:hint="default"/>
                <w:sz w:val="18"/>
                <w:szCs w:val="18"/>
              </w:rPr>
            </w:pPr>
            <w:r>
              <w:rPr>
                <w:rFonts w:ascii="Times New Roman"/>
                <w:sz w:val="18"/>
              </w:rPr>
              <w:t>0.62</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中关</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7"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1"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8"/>
              <w:jc w:val="right"/>
              <w:rPr>
                <w:rFonts w:ascii="Times New Roman" w:hAnsi="Times New Roman" w:cs="Times New Roman" w:eastAsia="Times New Roman" w:hint="default"/>
                <w:sz w:val="18"/>
                <w:szCs w:val="18"/>
              </w:rPr>
            </w:pPr>
            <w:r>
              <w:rPr>
                <w:rFonts w:ascii="Times New Roman"/>
                <w:sz w:val="18"/>
              </w:rPr>
              <w:t>2,100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62" w:right="0"/>
              <w:jc w:val="left"/>
              <w:rPr>
                <w:rFonts w:ascii="Times New Roman" w:hAnsi="Times New Roman" w:cs="Times New Roman" w:eastAsia="Times New Roman" w:hint="default"/>
                <w:sz w:val="18"/>
                <w:szCs w:val="18"/>
              </w:rPr>
            </w:pPr>
            <w:r>
              <w:rPr>
                <w:rFonts w:ascii="Times New Roman"/>
                <w:sz w:val="18"/>
              </w:rPr>
              <w:t>3.70%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99" w:right="0"/>
              <w:jc w:val="center"/>
              <w:rPr>
                <w:rFonts w:ascii="Times New Roman" w:hAnsi="Times New Roman" w:cs="Times New Roman" w:eastAsia="Times New Roman" w:hint="default"/>
                <w:sz w:val="18"/>
                <w:szCs w:val="18"/>
              </w:rPr>
            </w:pPr>
            <w:r>
              <w:rPr>
                <w:rFonts w:ascii="Times New Roman"/>
                <w:sz w:val="18"/>
              </w:rPr>
              <w:t>20.29</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99" w:right="0"/>
              <w:jc w:val="center"/>
              <w:rPr>
                <w:rFonts w:ascii="Times New Roman" w:hAnsi="Times New Roman" w:cs="Times New Roman" w:eastAsia="Times New Roman" w:hint="default"/>
                <w:sz w:val="18"/>
                <w:szCs w:val="18"/>
              </w:rPr>
            </w:pPr>
            <w:r>
              <w:rPr>
                <w:rFonts w:ascii="Times New Roman"/>
                <w:sz w:val="18"/>
              </w:rPr>
              <w:t>20.29</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中关</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6"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3,000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3.95%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99" w:right="0"/>
              <w:jc w:val="center"/>
              <w:rPr>
                <w:rFonts w:ascii="Times New Roman" w:hAnsi="Times New Roman" w:cs="Times New Roman" w:eastAsia="Times New Roman" w:hint="default"/>
                <w:sz w:val="18"/>
                <w:szCs w:val="18"/>
              </w:rPr>
            </w:pPr>
            <w:r>
              <w:rPr>
                <w:rFonts w:ascii="Times New Roman"/>
                <w:sz w:val="18"/>
              </w:rPr>
              <w:t>30.52</w:t>
            </w: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未到 期</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中关</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7"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1"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8"/>
              <w:jc w:val="right"/>
              <w:rPr>
                <w:rFonts w:ascii="Times New Roman" w:hAnsi="Times New Roman" w:cs="Times New Roman" w:eastAsia="Times New Roman" w:hint="default"/>
                <w:sz w:val="18"/>
                <w:szCs w:val="18"/>
              </w:rPr>
            </w:pPr>
            <w:r>
              <w:rPr>
                <w:rFonts w:ascii="Times New Roman"/>
                <w:sz w:val="18"/>
              </w:rPr>
              <w:t>3,000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62" w:right="0"/>
              <w:jc w:val="left"/>
              <w:rPr>
                <w:rFonts w:ascii="Times New Roman" w:hAnsi="Times New Roman" w:cs="Times New Roman" w:eastAsia="Times New Roman" w:hint="default"/>
                <w:sz w:val="18"/>
                <w:szCs w:val="18"/>
              </w:rPr>
            </w:pPr>
            <w:r>
              <w:rPr>
                <w:rFonts w:ascii="Times New Roman"/>
                <w:sz w:val="18"/>
              </w:rPr>
              <w:t>3.95%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99" w:right="0"/>
              <w:jc w:val="center"/>
              <w:rPr>
                <w:rFonts w:ascii="Times New Roman" w:hAnsi="Times New Roman" w:cs="Times New Roman" w:eastAsia="Times New Roman" w:hint="default"/>
                <w:sz w:val="18"/>
                <w:szCs w:val="18"/>
              </w:rPr>
            </w:pPr>
            <w:r>
              <w:rPr>
                <w:rFonts w:ascii="Times New Roman"/>
                <w:sz w:val="18"/>
              </w:rPr>
              <w:t>30.52</w:t>
            </w: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7"/>
              <w:jc w:val="left"/>
              <w:rPr>
                <w:rFonts w:ascii="宋体" w:hAnsi="宋体" w:cs="宋体" w:eastAsia="宋体" w:hint="default"/>
                <w:sz w:val="18"/>
                <w:szCs w:val="18"/>
              </w:rPr>
            </w:pPr>
            <w:r>
              <w:rPr>
                <w:rFonts w:ascii="宋体" w:hAnsi="宋体" w:cs="宋体" w:eastAsia="宋体" w:hint="default"/>
                <w:sz w:val="18"/>
                <w:szCs w:val="18"/>
              </w:rPr>
              <w:t>未到 期</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中关</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59"/>
        <w:gridCol w:w="562"/>
        <w:gridCol w:w="562"/>
        <w:gridCol w:w="562"/>
        <w:gridCol w:w="548"/>
        <w:gridCol w:w="547"/>
        <w:gridCol w:w="547"/>
        <w:gridCol w:w="538"/>
      </w:tblGrid>
      <w:tr>
        <w:trPr>
          <w:trHeight w:val="356"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2,700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41" w:right="0"/>
              <w:jc w:val="center"/>
              <w:rPr>
                <w:rFonts w:ascii="Times New Roman" w:hAnsi="Times New Roman" w:cs="Times New Roman" w:eastAsia="Times New Roman" w:hint="default"/>
                <w:sz w:val="18"/>
                <w:szCs w:val="18"/>
              </w:rPr>
            </w:pPr>
            <w:r>
              <w:rPr>
                <w:rFonts w:ascii="Times New Roman"/>
                <w:sz w:val="18"/>
              </w:rPr>
              <w:t>3.95%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99" w:right="0"/>
              <w:jc w:val="center"/>
              <w:rPr>
                <w:rFonts w:ascii="Times New Roman" w:hAnsi="Times New Roman" w:cs="Times New Roman" w:eastAsia="Times New Roman" w:hint="default"/>
                <w:sz w:val="18"/>
                <w:szCs w:val="18"/>
              </w:rPr>
            </w:pPr>
            <w:r>
              <w:rPr>
                <w:rFonts w:ascii="Times New Roman"/>
                <w:sz w:val="18"/>
              </w:rPr>
              <w:t>27.47</w:t>
            </w: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未到 期</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中关</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7"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1"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8"/>
              <w:jc w:val="right"/>
              <w:rPr>
                <w:rFonts w:ascii="Times New Roman" w:hAnsi="Times New Roman" w:cs="Times New Roman" w:eastAsia="Times New Roman" w:hint="default"/>
                <w:sz w:val="18"/>
                <w:szCs w:val="18"/>
              </w:rPr>
            </w:pPr>
            <w:r>
              <w:rPr>
                <w:rFonts w:ascii="Times New Roman"/>
                <w:sz w:val="18"/>
              </w:rPr>
              <w:t>1,000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41" w:right="0"/>
              <w:jc w:val="center"/>
              <w:rPr>
                <w:rFonts w:ascii="Times New Roman" w:hAnsi="Times New Roman" w:cs="Times New Roman" w:eastAsia="Times New Roman" w:hint="default"/>
                <w:sz w:val="18"/>
                <w:szCs w:val="18"/>
              </w:rPr>
            </w:pPr>
            <w:r>
              <w:rPr>
                <w:rFonts w:ascii="Times New Roman"/>
                <w:sz w:val="18"/>
              </w:rPr>
              <w:t>3.70%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90" w:right="0"/>
              <w:jc w:val="center"/>
              <w:rPr>
                <w:rFonts w:ascii="Times New Roman" w:hAnsi="Times New Roman" w:cs="Times New Roman" w:eastAsia="Times New Roman" w:hint="default"/>
                <w:sz w:val="18"/>
                <w:szCs w:val="18"/>
              </w:rPr>
            </w:pPr>
            <w:r>
              <w:rPr>
                <w:rFonts w:ascii="Times New Roman"/>
                <w:sz w:val="18"/>
              </w:rPr>
              <w:t>3.29</w:t>
            </w: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7"/>
              <w:jc w:val="left"/>
              <w:rPr>
                <w:rFonts w:ascii="宋体" w:hAnsi="宋体" w:cs="宋体" w:eastAsia="宋体" w:hint="default"/>
                <w:sz w:val="18"/>
                <w:szCs w:val="18"/>
              </w:rPr>
            </w:pPr>
            <w:r>
              <w:rPr>
                <w:rFonts w:ascii="宋体" w:hAnsi="宋体" w:cs="宋体" w:eastAsia="宋体" w:hint="default"/>
                <w:sz w:val="18"/>
                <w:szCs w:val="18"/>
              </w:rPr>
              <w:t>未到 期</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中关</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716" w:hRule="exact"/>
        </w:trPr>
        <w:tc>
          <w:tcPr>
            <w:tcW w:w="17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303,62</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4,166.</w:t>
            </w:r>
          </w:p>
          <w:p>
            <w:pPr>
              <w:pStyle w:val="TableParagraph"/>
              <w:spacing w:line="240" w:lineRule="auto" w:before="105"/>
              <w:ind w:left="347" w:right="0"/>
              <w:jc w:val="left"/>
              <w:rPr>
                <w:rFonts w:ascii="Times New Roman" w:hAnsi="Times New Roman" w:cs="Times New Roman" w:eastAsia="Times New Roman" w:hint="default"/>
                <w:sz w:val="18"/>
                <w:szCs w:val="18"/>
              </w:rPr>
            </w:pPr>
            <w:r>
              <w:rPr>
                <w:rFonts w:ascii="Times New Roman"/>
                <w:sz w:val="18"/>
              </w:rPr>
              <w:t>18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3,103.</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68</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委托理财出现预期无法收回本金或存在其他可能导致减值的情形</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8"/>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r>
        <w:rPr/>
        <w:t>十七、社会责任情况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3" w:firstLine="360"/>
        <w:jc w:val="left"/>
      </w:pPr>
      <w:r>
        <w:rPr>
          <w:spacing w:val="-2"/>
        </w:rPr>
        <w:t>公司自上市以来，一直积极履行企业社会责任，在努力为股东创造价值的同时，也积极承担对员工、客户、供应商、社</w:t>
      </w:r>
      <w:r>
        <w:rPr/>
        <w:t> 会等其他利益相关者的责任。</w:t>
      </w:r>
    </w:p>
    <w:p>
      <w:pPr>
        <w:pStyle w:val="BodyText"/>
        <w:spacing w:line="316" w:lineRule="auto" w:before="60"/>
        <w:ind w:right="986" w:firstLine="360"/>
        <w:jc w:val="left"/>
      </w:pPr>
      <w:r>
        <w:rPr>
          <w:spacing w:val="-2"/>
        </w:rPr>
        <w:t>公司严格按照《公司法》、《证券法》、《上市公司治理准则》、《深圳证券交易所创业板股票上市规则》、《深圳证</w:t>
      </w:r>
      <w:r>
        <w:rPr/>
        <w:t> </w:t>
      </w:r>
      <w:r>
        <w:rPr>
          <w:spacing w:val="-4"/>
        </w:rPr>
        <w:t>券交易所创业板上市公司规范运作指引》等法律、法规和《公司章程》等公司治理制度的相关要求，高度重视保护股东权益，</w:t>
      </w:r>
    </w:p>
    <w:p>
      <w:pPr>
        <w:spacing w:after="0" w:line="316"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4"/>
        <w:ind w:right="1118"/>
        <w:jc w:val="left"/>
      </w:pPr>
      <w:r>
        <w:rPr>
          <w:spacing w:val="-2"/>
        </w:rPr>
        <w:t>建立健全公司内部管理和控制制度，不断完善公司治理结构，提高公司治理水平，加强投资者关系维护管理，严格执行信息</w:t>
      </w:r>
      <w:r>
        <w:rPr>
          <w:spacing w:val="-64"/>
        </w:rPr>
        <w:t> </w:t>
      </w:r>
      <w:r>
        <w:rPr>
          <w:spacing w:val="-64"/>
        </w:rPr>
      </w:r>
      <w:r>
        <w:rPr/>
        <w:t>披露制度，认真履行信息披露义务，秉持公平、公正、公开的原则对待全体投资者，维护广大投资者的利益。</w:t>
      </w:r>
    </w:p>
    <w:p>
      <w:pPr>
        <w:pStyle w:val="BodyText"/>
        <w:spacing w:line="316" w:lineRule="auto" w:before="59"/>
        <w:ind w:right="1130" w:firstLine="360"/>
        <w:jc w:val="both"/>
      </w:pPr>
      <w:r>
        <w:rPr>
          <w:spacing w:val="-2"/>
        </w:rPr>
        <w:t>公司重视员工的职业发展规划，制定了完善的人力资源管理制度，尊重和维护员工个人权益，通过多种方式为员工提供</w:t>
      </w:r>
      <w:r>
        <w:rPr/>
        <w:t> </w:t>
      </w:r>
      <w:r>
        <w:rPr>
          <w:spacing w:val="-2"/>
        </w:rPr>
        <w:t>平等的发展机会，积极开展各类培训，重视员工的福利保障，努力为员工提供良好的劳动环境，重视人才培养，实现员工与</w:t>
      </w:r>
      <w:r>
        <w:rPr>
          <w:spacing w:val="-67"/>
        </w:rPr>
        <w:t> </w:t>
      </w:r>
      <w:r>
        <w:rPr>
          <w:spacing w:val="-67"/>
        </w:rPr>
      </w:r>
      <w:r>
        <w:rPr/>
        <w:t>企业的共同成长。</w:t>
      </w:r>
    </w:p>
    <w:p>
      <w:pPr>
        <w:pStyle w:val="BodyText"/>
        <w:spacing w:line="360" w:lineRule="auto" w:before="57"/>
        <w:ind w:left="513" w:right="1133"/>
        <w:jc w:val="left"/>
      </w:pPr>
      <w:r>
        <w:rPr/>
        <w:t>公司秉承诚信、共赢的原则，注重维护供应商与客户的关系，诚信对待客户和供应商，平等互助，精诚合作。 </w:t>
      </w:r>
      <w:r>
        <w:rPr>
          <w:spacing w:val="-2"/>
        </w:rPr>
        <w:t>公司注重企业经济效益和社会效益的共赢，严格遵守国家法律、法规、各项政策要求，依法经营、依法纳税，发展就业</w:t>
      </w:r>
    </w:p>
    <w:p>
      <w:pPr>
        <w:pStyle w:val="BodyText"/>
        <w:spacing w:line="222" w:lineRule="exact"/>
        <w:ind w:right="1133"/>
        <w:jc w:val="left"/>
      </w:pPr>
      <w:r>
        <w:rPr/>
        <w:t>岗位，努力支持地方经济发展。</w:t>
      </w:r>
    </w:p>
    <w:p>
      <w:pPr>
        <w:pStyle w:val="BodyText"/>
        <w:spacing w:line="300" w:lineRule="auto" w:before="117"/>
        <w:ind w:right="1131" w:firstLine="360"/>
        <w:jc w:val="both"/>
      </w:pPr>
      <w:r>
        <w:rPr>
          <w:rFonts w:ascii="Times New Roman" w:hAnsi="Times New Roman" w:cs="Times New Roman" w:eastAsia="Times New Roman" w:hint="default"/>
          <w:spacing w:val="-2"/>
        </w:rPr>
        <w:t>2020</w:t>
      </w:r>
      <w:r>
        <w:rPr>
          <w:spacing w:val="-2"/>
        </w:rPr>
        <w:t>年初，新冠疫情在武汉等地爆发。自疫情发生以来，公司始终高度关注疫情发展情况，迅速通过实际行动支持防疫</w:t>
      </w:r>
      <w:r>
        <w:rPr/>
        <w:t> </w:t>
      </w:r>
      <w:r>
        <w:rPr>
          <w:spacing w:val="-2"/>
        </w:rPr>
        <w:t>防控工作，竭尽所能，持续为抗击疫情提供全力支持。截至本报告披露日，公司已向汉川市人民医院捐赠</w:t>
      </w:r>
      <w:r>
        <w:rPr>
          <w:rFonts w:ascii="Times New Roman" w:hAnsi="Times New Roman" w:cs="Times New Roman" w:eastAsia="Times New Roman" w:hint="default"/>
          <w:spacing w:val="-2"/>
        </w:rPr>
        <w:t>60</w:t>
      </w:r>
      <w:r>
        <w:rPr>
          <w:spacing w:val="-2"/>
        </w:rPr>
        <w:t>万元，向华中科</w:t>
      </w:r>
      <w:r>
        <w:rPr>
          <w:spacing w:val="-65"/>
        </w:rPr>
        <w:t> </w:t>
      </w:r>
      <w:r>
        <w:rPr>
          <w:spacing w:val="-65"/>
        </w:rPr>
      </w:r>
      <w:r>
        <w:rPr>
          <w:spacing w:val="-2"/>
        </w:rPr>
        <w:t>技大学同济医学院附属梨园医院捐赠</w:t>
      </w:r>
      <w:r>
        <w:rPr>
          <w:rFonts w:ascii="Times New Roman" w:hAnsi="Times New Roman" w:cs="Times New Roman" w:eastAsia="Times New Roman" w:hint="default"/>
          <w:spacing w:val="-2"/>
        </w:rPr>
        <w:t>60</w:t>
      </w:r>
      <w:r>
        <w:rPr>
          <w:spacing w:val="-2"/>
        </w:rPr>
        <w:t>万元，向湖北省随州市随县环谭镇涢阳乡皮台村村委会捐赠口罩及红外测体温仪，以</w:t>
      </w:r>
      <w:r>
        <w:rPr>
          <w:spacing w:val="-62"/>
        </w:rPr>
        <w:t> </w:t>
      </w:r>
      <w:r>
        <w:rPr>
          <w:spacing w:val="-62"/>
        </w:rPr>
      </w:r>
      <w:r>
        <w:rPr/>
        <w:t>缓解当地医疗物资紧缺情况；公司全资子公司合肥君正向合肥高新区总工会捐赠</w:t>
      </w:r>
      <w:r>
        <w:rPr>
          <w:rFonts w:ascii="Times New Roman" w:hAnsi="Times New Roman" w:cs="Times New Roman" w:eastAsia="Times New Roman" w:hint="default"/>
        </w:rPr>
        <w:t>80</w:t>
      </w:r>
      <w:r>
        <w:rPr/>
        <w:t>万元。</w:t>
      </w:r>
    </w:p>
    <w:p>
      <w:pPr>
        <w:spacing w:line="240" w:lineRule="auto" w:before="2"/>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5714"/>
        <w:jc w:val="left"/>
      </w:pPr>
      <w:r>
        <w:rPr/>
        <w:t>上市公司及其子公司是否属于环境保护部门公布的重点排污单位 否</w:t>
      </w:r>
    </w:p>
    <w:p>
      <w:pPr>
        <w:pStyle w:val="BodyText"/>
        <w:spacing w:line="240" w:lineRule="auto" w:before="29"/>
        <w:ind w:right="1133"/>
        <w:jc w:val="left"/>
      </w:pPr>
      <w:r>
        <w:rPr/>
        <w:t>不适用。</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十八、其他重大事项的说明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right="1123"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日，公司召开第三届董事会第二十七次会议，审议通过了《关于公司发行股份及支付现金购买资产并募集 </w:t>
      </w:r>
      <w:r>
        <w:rPr>
          <w:spacing w:val="-1"/>
        </w:rPr>
        <w:t>配套资金方案的议案》等议案，公司及</w:t>
      </w:r>
      <w:r>
        <w:rPr>
          <w:rFonts w:ascii="Times New Roman" w:hAnsi="Times New Roman" w:cs="Times New Roman" w:eastAsia="Times New Roman" w:hint="default"/>
          <w:spacing w:val="-1"/>
        </w:rPr>
        <w:t>/</w:t>
      </w:r>
      <w:r>
        <w:rPr>
          <w:spacing w:val="-1"/>
        </w:rPr>
        <w:t>或全资子公司合肥君正拟通过发行股份及</w:t>
      </w:r>
      <w:r>
        <w:rPr>
          <w:rFonts w:ascii="Times New Roman" w:hAnsi="Times New Roman" w:cs="Times New Roman" w:eastAsia="Times New Roman" w:hint="default"/>
          <w:spacing w:val="-1"/>
        </w:rPr>
        <w:t>/</w:t>
      </w:r>
      <w:r>
        <w:rPr>
          <w:spacing w:val="-1"/>
        </w:rPr>
        <w:t>或支付现金方式购买屹唐投资</w:t>
      </w:r>
      <w:r>
        <w:rPr>
          <w:rFonts w:ascii="Times New Roman" w:hAnsi="Times New Roman" w:cs="Times New Roman" w:eastAsia="Times New Roman" w:hint="default"/>
          <w:spacing w:val="-1"/>
        </w:rPr>
        <w:t>99.9993%</w:t>
      </w:r>
      <w:r>
        <w:rPr>
          <w:spacing w:val="-1"/>
        </w:rPr>
        <w:t>财</w:t>
      </w:r>
      <w:r>
        <w:rPr>
          <w:spacing w:val="-51"/>
        </w:rPr>
        <w:t> </w:t>
      </w:r>
      <w:r>
        <w:rPr>
          <w:spacing w:val="-1"/>
        </w:rPr>
        <w:t>产份额、华创芯原</w:t>
      </w:r>
      <w:r>
        <w:rPr>
          <w:rFonts w:ascii="Times New Roman" w:hAnsi="Times New Roman" w:cs="Times New Roman" w:eastAsia="Times New Roman" w:hint="default"/>
          <w:spacing w:val="-1"/>
        </w:rPr>
        <w:t>100%</w:t>
      </w:r>
      <w:r>
        <w:rPr>
          <w:spacing w:val="-1"/>
        </w:rPr>
        <w:t>股权、民和志威</w:t>
      </w:r>
      <w:r>
        <w:rPr>
          <w:rFonts w:ascii="Times New Roman" w:hAnsi="Times New Roman" w:cs="Times New Roman" w:eastAsia="Times New Roman" w:hint="default"/>
          <w:spacing w:val="-1"/>
        </w:rPr>
        <w:t>99.90%</w:t>
      </w:r>
      <w:r>
        <w:rPr>
          <w:spacing w:val="-1"/>
        </w:rPr>
        <w:t>财产份额、</w:t>
      </w:r>
      <w:r>
        <w:rPr>
          <w:rFonts w:ascii="Times New Roman" w:hAnsi="Times New Roman" w:cs="Times New Roman" w:eastAsia="Times New Roman" w:hint="default"/>
          <w:spacing w:val="-1"/>
        </w:rPr>
        <w:t>AM100%</w:t>
      </w:r>
      <w:r>
        <w:rPr>
          <w:spacing w:val="-1"/>
        </w:rPr>
        <w:t>股权、</w:t>
      </w:r>
      <w:r>
        <w:rPr>
          <w:rFonts w:ascii="Times New Roman" w:hAnsi="Times New Roman" w:cs="Times New Roman" w:eastAsia="Times New Roman" w:hint="default"/>
          <w:spacing w:val="-1"/>
        </w:rPr>
        <w:t>WM100%</w:t>
      </w:r>
      <w:r>
        <w:rPr>
          <w:spacing w:val="-1"/>
        </w:rPr>
        <w:t>股权和厦门芯华</w:t>
      </w:r>
      <w:r>
        <w:rPr>
          <w:rFonts w:ascii="Times New Roman" w:hAnsi="Times New Roman" w:cs="Times New Roman" w:eastAsia="Times New Roman" w:hint="default"/>
          <w:spacing w:val="-1"/>
        </w:rPr>
        <w:t>100%</w:t>
      </w:r>
      <w:r>
        <w:rPr>
          <w:spacing w:val="-1"/>
        </w:rPr>
        <w:t>财产份额，上述交</w:t>
      </w:r>
      <w:r>
        <w:rPr/>
        <w:t> 易标的的主要资产为持有的北京矽成半导体有限公司的股权，本次交易完成后，公司将间接持有北京矽成</w:t>
      </w:r>
      <w:r>
        <w:rPr>
          <w:rFonts w:ascii="Times New Roman" w:hAnsi="Times New Roman" w:cs="Times New Roman" w:eastAsia="Times New Roman" w:hint="default"/>
        </w:rPr>
        <w:t>51.59%</w:t>
      </w:r>
      <w:r>
        <w:rPr/>
        <w:t>的股份和 闪胜创芯</w:t>
      </w:r>
      <w:r>
        <w:rPr>
          <w:rFonts w:ascii="Times New Roman" w:hAnsi="Times New Roman" w:cs="Times New Roman" w:eastAsia="Times New Roman" w:hint="default"/>
        </w:rPr>
        <w:t>53.29%</w:t>
      </w:r>
      <w:r>
        <w:rPr/>
        <w:t>的份额（闪胜创芯持有北京矽成</w:t>
      </w:r>
      <w:r>
        <w:rPr>
          <w:rFonts w:ascii="Times New Roman" w:hAnsi="Times New Roman" w:cs="Times New Roman" w:eastAsia="Times New Roman" w:hint="default"/>
        </w:rPr>
        <w:t>3.785%</w:t>
      </w:r>
      <w:r>
        <w:rPr/>
        <w:t>的股份）。</w:t>
      </w:r>
    </w:p>
    <w:p>
      <w:pPr>
        <w:pStyle w:val="BodyText"/>
        <w:spacing w:line="300" w:lineRule="auto" w:before="54"/>
        <w:ind w:right="986" w:firstLine="360"/>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8</w:t>
      </w:r>
      <w:r>
        <w:rPr>
          <w:spacing w:val="-2"/>
        </w:rPr>
        <w:t>日，公司召开第四届董事会第四次会议，审议通过了《关于继续推进重大资产重组事项暨拟对方案进行重大</w:t>
      </w:r>
      <w:r>
        <w:rPr/>
        <w:t> 调整的议案》。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日，公司召开第四届董事会第五次会议，审议通过了《关于调整公司本次重大资产重组方案的 </w:t>
      </w:r>
      <w:r>
        <w:rPr>
          <w:spacing w:val="-2"/>
        </w:rPr>
        <w:t>议案》和《关于</w:t>
      </w:r>
      <w:r>
        <w:rPr>
          <w:rFonts w:ascii="Times New Roman" w:hAnsi="Times New Roman" w:cs="Times New Roman" w:eastAsia="Times New Roman" w:hint="default"/>
          <w:spacing w:val="-2"/>
        </w:rPr>
        <w:t>&lt;</w:t>
      </w:r>
      <w:r>
        <w:rPr>
          <w:spacing w:val="-2"/>
        </w:rPr>
        <w:t>北京君正集成电路股份有限公司发行股份及支付现金购买资产并募集配套资金暨关联交易预案（修订稿）</w:t>
      </w:r>
      <w:r>
        <w:rPr>
          <w:rFonts w:ascii="Times New Roman" w:hAnsi="Times New Roman" w:cs="Times New Roman" w:eastAsia="Times New Roman" w:hint="default"/>
          <w:spacing w:val="-2"/>
        </w:rPr>
        <w:t>&gt;</w:t>
      </w:r>
      <w:r>
        <w:rPr>
          <w:rFonts w:ascii="Times New Roman" w:hAnsi="Times New Roman" w:cs="Times New Roman" w:eastAsia="Times New Roman" w:hint="default"/>
          <w:spacing w:val="-42"/>
        </w:rPr>
        <w:t> </w:t>
      </w:r>
      <w:r>
        <w:rPr/>
        <w:t>及其摘要的议案》等议案，对本次重大资产重组方案进行了调整。公司及</w:t>
      </w:r>
      <w:r>
        <w:rPr>
          <w:rFonts w:ascii="Times New Roman" w:hAnsi="Times New Roman" w:cs="Times New Roman" w:eastAsia="Times New Roman" w:hint="default"/>
        </w:rPr>
        <w:t>/</w:t>
      </w:r>
      <w:r>
        <w:rPr/>
        <w:t>或其全资子公司合肥君正拟以发行股份及</w:t>
      </w:r>
      <w:r>
        <w:rPr>
          <w:rFonts w:ascii="Times New Roman" w:hAnsi="Times New Roman" w:cs="Times New Roman" w:eastAsia="Times New Roman" w:hint="default"/>
        </w:rPr>
        <w:t>/</w:t>
      </w:r>
      <w:r>
        <w:rPr/>
        <w:t>或支付 </w:t>
      </w:r>
      <w:r>
        <w:rPr>
          <w:spacing w:val="-2"/>
        </w:rPr>
        <w:t>现金的方式购买屹唐投资、华创芯原、上海瑾矽、民和志威、闪胜创芯、</w:t>
      </w:r>
      <w:r>
        <w:rPr>
          <w:rFonts w:ascii="Times New Roman" w:hAnsi="Times New Roman" w:cs="Times New Roman" w:eastAsia="Times New Roman" w:hint="default"/>
          <w:spacing w:val="-2"/>
        </w:rPr>
        <w:t>WM</w:t>
      </w:r>
      <w:r>
        <w:rPr>
          <w:spacing w:val="-2"/>
        </w:rPr>
        <w:t>、</w:t>
      </w:r>
      <w:r>
        <w:rPr>
          <w:rFonts w:ascii="Times New Roman" w:hAnsi="Times New Roman" w:cs="Times New Roman" w:eastAsia="Times New Roman" w:hint="default"/>
          <w:spacing w:val="-2"/>
        </w:rPr>
        <w:t>AM</w:t>
      </w:r>
      <w:r>
        <w:rPr>
          <w:spacing w:val="-2"/>
        </w:rPr>
        <w:t>、厦门芯华持有的北京矽成</w:t>
      </w:r>
      <w:r>
        <w:rPr>
          <w:rFonts w:ascii="Times New Roman" w:hAnsi="Times New Roman" w:cs="Times New Roman" w:eastAsia="Times New Roman" w:hint="default"/>
          <w:spacing w:val="-2"/>
        </w:rPr>
        <w:t>59.99%</w:t>
      </w:r>
      <w:r>
        <w:rPr>
          <w:spacing w:val="-2"/>
        </w:rPr>
        <w:t>股权，</w:t>
      </w:r>
      <w:r>
        <w:rPr>
          <w:spacing w:val="-67"/>
        </w:rPr>
        <w:t> </w:t>
      </w:r>
      <w:r>
        <w:rPr>
          <w:spacing w:val="-67"/>
        </w:rPr>
      </w:r>
      <w:r>
        <w:rPr/>
        <w:t>武岳峰集电、上海集岑、北京青禾、万丰投资、承裕投资持有的上海承裕</w:t>
      </w:r>
      <w:r>
        <w:rPr>
          <w:rFonts w:ascii="Times New Roman" w:hAnsi="Times New Roman" w:cs="Times New Roman" w:eastAsia="Times New Roman" w:hint="default"/>
        </w:rPr>
        <w:t>100%</w:t>
      </w:r>
      <w:r>
        <w:rPr/>
        <w:t>财产份额。本次交易完成后，公司将直接及 间接合计持有北京矽成</w:t>
      </w:r>
      <w:r>
        <w:rPr>
          <w:rFonts w:ascii="Times New Roman" w:hAnsi="Times New Roman" w:cs="Times New Roman" w:eastAsia="Times New Roman" w:hint="default"/>
        </w:rPr>
        <w:t>100%</w:t>
      </w:r>
      <w:r>
        <w:rPr/>
        <w:t>股权。</w:t>
      </w:r>
    </w:p>
    <w:p>
      <w:pPr>
        <w:pStyle w:val="BodyText"/>
        <w:spacing w:line="300" w:lineRule="auto" w:before="53"/>
        <w:ind w:right="1131" w:firstLine="360"/>
        <w:jc w:val="both"/>
      </w:pP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日召开的第四届董事会第七次会议和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9</w:t>
      </w:r>
      <w:r>
        <w:rPr/>
        <w:t>日召开的</w:t>
      </w:r>
      <w:r>
        <w:rPr>
          <w:rFonts w:ascii="Times New Roman" w:hAnsi="Times New Roman" w:cs="Times New Roman" w:eastAsia="Times New Roman" w:hint="default"/>
        </w:rPr>
        <w:t>2019</w:t>
      </w:r>
      <w:r>
        <w:rPr/>
        <w:t>年第一次临时股东大会会议，审议通 过了《关于公司发行股份及支付现金购买资产并募集配套资金方案的议案》和《关于</w:t>
      </w:r>
      <w:r>
        <w:rPr>
          <w:rFonts w:ascii="Times New Roman" w:hAnsi="Times New Roman" w:cs="Times New Roman" w:eastAsia="Times New Roman" w:hint="default"/>
        </w:rPr>
        <w:t>&lt;</w:t>
      </w:r>
      <w:r>
        <w:rPr/>
        <w:t>北京君正集成电路股份有限公司发行 股份及支付现金购买资产并募集配套资金暨关联交易报告书（草案）</w:t>
      </w:r>
      <w:r>
        <w:rPr>
          <w:rFonts w:ascii="Times New Roman" w:hAnsi="Times New Roman" w:cs="Times New Roman" w:eastAsia="Times New Roman" w:hint="default"/>
        </w:rPr>
        <w:t>&gt;</w:t>
      </w:r>
      <w:r>
        <w:rPr/>
        <w:t>及其摘要的议案》等议案。</w:t>
      </w:r>
    </w:p>
    <w:p>
      <w:pPr>
        <w:pStyle w:val="BodyText"/>
        <w:spacing w:line="297" w:lineRule="auto" w:before="54"/>
        <w:ind w:right="1131" w:firstLine="36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14</w:t>
      </w:r>
      <w:r>
        <w:rPr>
          <w:spacing w:val="-2"/>
        </w:rPr>
        <w:t>日，中国证监会上市公司并购重组审核委员会召开</w:t>
      </w:r>
      <w:r>
        <w:rPr>
          <w:rFonts w:ascii="Times New Roman" w:hAnsi="Times New Roman" w:cs="Times New Roman" w:eastAsia="Times New Roman" w:hint="default"/>
          <w:spacing w:val="-2"/>
        </w:rPr>
        <w:t>2019</w:t>
      </w:r>
      <w:r>
        <w:rPr>
          <w:spacing w:val="-2"/>
        </w:rPr>
        <w:t>年第</w:t>
      </w:r>
      <w:r>
        <w:rPr>
          <w:rFonts w:ascii="Times New Roman" w:hAnsi="Times New Roman" w:cs="Times New Roman" w:eastAsia="Times New Roman" w:hint="default"/>
          <w:spacing w:val="-2"/>
        </w:rPr>
        <w:t>60</w:t>
      </w:r>
      <w:r>
        <w:rPr>
          <w:spacing w:val="-2"/>
        </w:rPr>
        <w:t>次并购重组委工作会议，对公司发行股份及</w:t>
      </w:r>
      <w:r>
        <w:rPr/>
        <w:t> </w:t>
      </w:r>
      <w:r>
        <w:rPr>
          <w:spacing w:val="-2"/>
        </w:rPr>
        <w:t>支付现金购买资产并募集配套资金暨关联交易事项进行了审核。根据会议审核结果，公司本次发行股份及支付现金购买资产</w:t>
      </w:r>
    </w:p>
    <w:p>
      <w:pPr>
        <w:spacing w:after="0" w:line="297" w:lineRule="auto"/>
        <w:jc w:val="both"/>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1133"/>
        <w:jc w:val="left"/>
      </w:pPr>
      <w:r>
        <w:rPr/>
        <w:t>并募集配套资金暨关联交易事项获得有条件通过。</w:t>
      </w:r>
    </w:p>
    <w:p>
      <w:pPr>
        <w:pStyle w:val="BodyText"/>
        <w:spacing w:line="300" w:lineRule="auto" w:before="117"/>
        <w:ind w:right="1131" w:firstLine="36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日，公司收到中国证监会出具的《关于核准北京君正集成电路股份有限公司向北京屹唐半导体产业投资中</w:t>
      </w:r>
      <w:r>
        <w:rPr/>
        <w:t> </w:t>
      </w:r>
      <w:r>
        <w:rPr>
          <w:spacing w:val="-1"/>
        </w:rPr>
        <w:t>心（有限合伙）等发行股份购买资产并募集配套资金的批复》（证监许可</w:t>
      </w:r>
      <w:r>
        <w:rPr>
          <w:rFonts w:ascii="Times New Roman" w:hAnsi="Times New Roman" w:cs="Times New Roman" w:eastAsia="Times New Roman" w:hint="default"/>
          <w:spacing w:val="-1"/>
        </w:rPr>
        <w:t>[2019]2938</w:t>
      </w:r>
      <w:r>
        <w:rPr>
          <w:spacing w:val="-1"/>
        </w:rPr>
        <w:t>号），核准公司本次发行股份购买资产</w:t>
      </w:r>
      <w:r>
        <w:rPr>
          <w:spacing w:val="-56"/>
        </w:rPr>
        <w:t> </w:t>
      </w:r>
      <w:r>
        <w:rPr>
          <w:spacing w:val="-56"/>
        </w:rPr>
      </w:r>
      <w:r>
        <w:rPr/>
        <w:t>并募集配套资金事项。</w:t>
      </w:r>
    </w:p>
    <w:p>
      <w:pPr>
        <w:pStyle w:val="BodyText"/>
        <w:spacing w:line="240" w:lineRule="auto" w:before="70"/>
        <w:ind w:left="513" w:right="1133"/>
        <w:jc w:val="left"/>
      </w:pPr>
      <w:r>
        <w:rPr/>
        <w:t>截至本报告出具之日，公司正在积极组织实施本次交易的各项相关工作。</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十九、公司子公司重大事项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425" w:right="0"/>
        <w:jc w:val="left"/>
        <w:rPr>
          <w:b w:val="0"/>
          <w:bCs w:val="0"/>
        </w:rPr>
      </w:pPr>
      <w:bookmarkStart w:name="_bookmark5" w:id="6"/>
      <w:bookmarkEnd w:id="6"/>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left="532" w:right="0"/>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532"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1899"/>
        <w:gridCol w:w="1116"/>
        <w:gridCol w:w="994"/>
        <w:gridCol w:w="982"/>
        <w:gridCol w:w="391"/>
        <w:gridCol w:w="768"/>
        <w:gridCol w:w="1075"/>
        <w:gridCol w:w="1133"/>
        <w:gridCol w:w="1135"/>
        <w:gridCol w:w="996"/>
      </w:tblGrid>
      <w:tr>
        <w:trPr>
          <w:trHeight w:val="404" w:hRule="exact"/>
        </w:trPr>
        <w:tc>
          <w:tcPr>
            <w:tcW w:w="1899" w:type="dxa"/>
            <w:vMerge w:val="restart"/>
            <w:tcBorders>
              <w:top w:val="single" w:sz="4" w:space="0" w:color="000000"/>
              <w:left w:val="single" w:sz="4" w:space="0" w:color="000000"/>
              <w:right w:val="single" w:sz="4" w:space="0" w:color="000000"/>
            </w:tcBorders>
          </w:tcPr>
          <w:p>
            <w:pPr/>
          </w:p>
        </w:tc>
        <w:tc>
          <w:tcPr>
            <w:tcW w:w="21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0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3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8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1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1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3" w:hRule="exact"/>
        </w:trPr>
        <w:tc>
          <w:tcPr>
            <w:tcW w:w="1899" w:type="dxa"/>
            <w:vMerge/>
            <w:tcBorders>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2"/>
              <w:jc w:val="right"/>
              <w:rPr>
                <w:rFonts w:ascii="宋体" w:hAnsi="宋体" w:cs="宋体" w:eastAsia="宋体" w:hint="default"/>
                <w:sz w:val="18"/>
                <w:szCs w:val="18"/>
              </w:rPr>
            </w:pPr>
            <w:r>
              <w:rPr>
                <w:rFonts w:ascii="宋体" w:hAnsi="宋体" w:cs="宋体" w:eastAsia="宋体" w:hint="default"/>
                <w:sz w:val="18"/>
                <w:szCs w:val="18"/>
              </w:rPr>
              <w:t>发行新股</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95"/>
              <w:jc w:val="left"/>
              <w:rPr>
                <w:rFonts w:ascii="宋体" w:hAnsi="宋体" w:cs="宋体" w:eastAsia="宋体" w:hint="default"/>
                <w:sz w:val="18"/>
                <w:szCs w:val="18"/>
              </w:rPr>
            </w:pPr>
            <w:r>
              <w:rPr>
                <w:rFonts w:ascii="宋体" w:hAnsi="宋体" w:cs="宋体" w:eastAsia="宋体" w:hint="default"/>
                <w:sz w:val="18"/>
                <w:szCs w:val="18"/>
              </w:rPr>
              <w:t>送 股</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99" w:right="108"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80,254,230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39.99%</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20,246</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-4,882,126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-4,861,880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75,392,350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37.31%</w:t>
            </w:r>
          </w:p>
        </w:tc>
      </w:tr>
      <w:tr>
        <w:trPr>
          <w:trHeight w:val="401"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80,254,230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39.99%</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20,246</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-4,882,126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-4,861,880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75,392,350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37.31%</w:t>
            </w:r>
          </w:p>
        </w:tc>
      </w:tr>
      <w:tr>
        <w:trPr>
          <w:trHeight w:val="403"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65" w:right="0"/>
              <w:jc w:val="left"/>
              <w:rPr>
                <w:rFonts w:ascii="宋体" w:hAnsi="宋体" w:cs="宋体" w:eastAsia="宋体" w:hint="default"/>
                <w:sz w:val="18"/>
                <w:szCs w:val="18"/>
              </w:rPr>
            </w:pPr>
            <w:r>
              <w:rPr>
                <w:rFonts w:ascii="宋体" w:hAnsi="宋体" w:cs="宋体" w:eastAsia="宋体" w:hint="default"/>
                <w:spacing w:val="6"/>
                <w:sz w:val="18"/>
                <w:szCs w:val="18"/>
              </w:rPr>
              <w:t>境内自然人持</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80,254,230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39.99%</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20,246</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-4,882,126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-4,861,880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75,392,350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37.31%</w:t>
            </w:r>
          </w:p>
        </w:tc>
      </w:tr>
      <w:tr>
        <w:trPr>
          <w:trHeight w:val="403"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65" w:right="0"/>
              <w:jc w:val="left"/>
              <w:rPr>
                <w:rFonts w:ascii="宋体" w:hAnsi="宋体" w:cs="宋体" w:eastAsia="宋体" w:hint="default"/>
                <w:sz w:val="18"/>
                <w:szCs w:val="18"/>
              </w:rPr>
            </w:pPr>
            <w:r>
              <w:rPr>
                <w:rFonts w:ascii="宋体" w:hAnsi="宋体" w:cs="宋体" w:eastAsia="宋体" w:hint="default"/>
                <w:spacing w:val="6"/>
                <w:sz w:val="18"/>
                <w:szCs w:val="18"/>
              </w:rPr>
              <w:t>境外自然人持</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120,409,965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60.01%</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1,407,652</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4,882,126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6,289,778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126,699,743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62.69%</w:t>
            </w:r>
          </w:p>
        </w:tc>
      </w:tr>
      <w:tr>
        <w:trPr>
          <w:trHeight w:val="403"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120,409,965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60.01%</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1,407,652</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4,882,126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6,289,778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126,699,743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62.69%</w:t>
            </w:r>
          </w:p>
        </w:tc>
      </w:tr>
      <w:tr>
        <w:trPr>
          <w:trHeight w:val="401"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、境内上市的外资股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、境外上市的外资股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200,664,195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1,427,898</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1,427,898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202,092,093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left="532" w:right="0"/>
        <w:jc w:val="left"/>
      </w:pPr>
      <w:r>
        <w:rPr/>
        <w:t>股份变动的原因</w:t>
      </w:r>
    </w:p>
    <w:p>
      <w:pPr>
        <w:pStyle w:val="BodyText"/>
        <w:spacing w:line="240" w:lineRule="auto" w:before="115"/>
        <w:ind w:left="5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40" w:lineRule="auto" w:before="103"/>
        <w:ind w:left="893"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、股份总数的变动原因 </w:t>
      </w:r>
      <w:r>
        <w:rPr>
          <w:spacing w:val="-4"/>
        </w:rPr>
        <w:t>报告期内，公司股票期权激励计划第二个行权期于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12</w:t>
      </w:r>
      <w:r>
        <w:rPr>
          <w:spacing w:val="-4"/>
        </w:rPr>
        <w:t>日结束，第三个行权期于报告期内满足行权条件，从</w:t>
      </w:r>
      <w:r>
        <w:rPr>
          <w:rFonts w:ascii="Times New Roman" w:hAnsi="Times New Roman" w:cs="Times New Roman" w:eastAsia="Times New Roman" w:hint="default"/>
          <w:spacing w:val="-4"/>
        </w:rPr>
        <w:t>2019</w:t>
      </w:r>
    </w:p>
    <w:p>
      <w:pPr>
        <w:pStyle w:val="BodyText"/>
        <w:spacing w:line="228" w:lineRule="exact"/>
        <w:ind w:left="532" w:right="0"/>
        <w:jc w:val="left"/>
      </w:pP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日起开始行权，可行权数量为</w:t>
      </w:r>
      <w:r>
        <w:rPr>
          <w:rFonts w:ascii="Times New Roman" w:hAnsi="Times New Roman" w:cs="Times New Roman" w:eastAsia="Times New Roman" w:hint="default"/>
        </w:rPr>
        <w:t>944,487</w:t>
      </w:r>
      <w:r>
        <w:rPr/>
        <w:t>份。本报告期实际行权数量合计为</w:t>
      </w:r>
      <w:r>
        <w:rPr>
          <w:rFonts w:ascii="Times New Roman" w:hAnsi="Times New Roman" w:cs="Times New Roman" w:eastAsia="Times New Roman" w:hint="default"/>
        </w:rPr>
        <w:t>1,427,898</w:t>
      </w:r>
      <w:r>
        <w:rPr/>
        <w:t>股。</w:t>
      </w:r>
    </w:p>
    <w:p>
      <w:pPr>
        <w:pStyle w:val="BodyText"/>
        <w:spacing w:line="240" w:lineRule="auto" w:before="101"/>
        <w:ind w:left="893" w:right="0"/>
        <w:jc w:val="left"/>
      </w:pPr>
      <w:r>
        <w:rPr>
          <w:rFonts w:ascii="Times New Roman" w:hAnsi="Times New Roman" w:cs="Times New Roman" w:eastAsia="Times New Roman" w:hint="default"/>
        </w:rPr>
        <w:t>2</w:t>
      </w:r>
      <w:r>
        <w:rPr/>
        <w:t>、有限售条件股份的变动原因</w:t>
      </w:r>
    </w:p>
    <w:p>
      <w:pPr>
        <w:pStyle w:val="BodyText"/>
        <w:spacing w:line="300" w:lineRule="auto" w:before="103"/>
        <w:ind w:left="532" w:right="1128" w:firstLine="36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w:t>
      </w:r>
      <w:r>
        <w:rPr>
          <w:spacing w:val="-2"/>
        </w:rPr>
        <w:t>日，中登公司根据公司董事、监事和高级管理人员等持有有限售条件股份的人员</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日所持公司股</w:t>
      </w:r>
      <w:r>
        <w:rPr/>
        <w:t> </w:t>
      </w:r>
      <w:r>
        <w:rPr>
          <w:spacing w:val="-1"/>
        </w:rPr>
        <w:t>份数量的</w:t>
      </w:r>
      <w:r>
        <w:rPr>
          <w:rFonts w:ascii="Times New Roman" w:hAnsi="Times New Roman" w:cs="Times New Roman" w:eastAsia="Times New Roman" w:hint="default"/>
          <w:spacing w:val="-1"/>
        </w:rPr>
        <w:t>25%</w:t>
      </w:r>
      <w:r>
        <w:rPr>
          <w:spacing w:val="-1"/>
        </w:rPr>
        <w:t>重新计算</w:t>
      </w:r>
      <w:r>
        <w:rPr>
          <w:rFonts w:ascii="Times New Roman" w:hAnsi="Times New Roman" w:cs="Times New Roman" w:eastAsia="Times New Roman" w:hint="default"/>
          <w:spacing w:val="-1"/>
        </w:rPr>
        <w:t>2019</w:t>
      </w:r>
      <w:r>
        <w:rPr>
          <w:spacing w:val="-1"/>
        </w:rPr>
        <w:t>年度可转让股份法定额度。另外，已离任的部分监事、高管所持公司股份也根据相关规定解除锁</w:t>
      </w:r>
      <w:r>
        <w:rPr>
          <w:spacing w:val="-86"/>
        </w:rPr>
        <w:t> </w:t>
      </w:r>
      <w:r>
        <w:rPr>
          <w:spacing w:val="-86"/>
        </w:rPr>
      </w:r>
      <w:r>
        <w:rPr/>
        <w:t>定。</w:t>
      </w:r>
    </w:p>
    <w:p>
      <w:pPr>
        <w:spacing w:after="0" w:line="300" w:lineRule="auto"/>
        <w:jc w:val="both"/>
        <w:sectPr>
          <w:pgSz w:w="11910" w:h="16840"/>
          <w:pgMar w:header="877" w:footer="979" w:top="1100" w:bottom="1160" w:left="600" w:right="0"/>
        </w:sectPr>
      </w:pPr>
    </w:p>
    <w:p>
      <w:pPr>
        <w:spacing w:line="240" w:lineRule="auto" w:before="11"/>
        <w:rPr>
          <w:rFonts w:ascii="宋体" w:hAnsi="宋体" w:cs="宋体" w:eastAsia="宋体" w:hint="default"/>
          <w:sz w:val="21"/>
          <w:szCs w:val="21"/>
        </w:rPr>
      </w:pPr>
    </w:p>
    <w:p>
      <w:pPr>
        <w:pStyle w:val="BodyText"/>
        <w:spacing w:line="240" w:lineRule="auto" w:before="44"/>
        <w:ind w:right="1133"/>
        <w:jc w:val="left"/>
      </w:pPr>
      <w:r>
        <w:rPr/>
        <w:t>股份变动的批准情况</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7" w:lineRule="auto" w:before="101"/>
        <w:ind w:right="1124"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日，公司召开的第三届董事会第二十一次会议和第三届监事会第十六次会议审议通过了《关于股票期权激 </w:t>
      </w:r>
      <w:r>
        <w:rPr>
          <w:spacing w:val="-2"/>
        </w:rPr>
        <w:t>励计划第二个行权期可行权的议案》，鉴于公司股票期权激励计划第二个行权期的行权条件已成就，同意已获授股票期权的</w:t>
      </w:r>
      <w:r>
        <w:rPr>
          <w:spacing w:val="-65"/>
        </w:rPr>
        <w:t> </w:t>
      </w:r>
      <w:r>
        <w:rPr>
          <w:spacing w:val="-65"/>
        </w:rPr>
      </w:r>
      <w:r>
        <w:rPr>
          <w:rFonts w:ascii="Times New Roman" w:hAnsi="Times New Roman" w:cs="Times New Roman" w:eastAsia="Times New Roman" w:hint="default"/>
        </w:rPr>
        <w:t>81</w:t>
      </w:r>
      <w:r>
        <w:rPr/>
        <w:t>名激励对象在第二个行权期内可自主行权，可行权股票期权共计</w:t>
      </w:r>
      <w:r>
        <w:rPr>
          <w:rFonts w:ascii="Times New Roman" w:hAnsi="Times New Roman" w:cs="Times New Roman" w:eastAsia="Times New Roman" w:hint="default"/>
        </w:rPr>
        <w:t>66</w:t>
      </w:r>
      <w:r>
        <w:rPr/>
        <w:t>万份，实际行权期限为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日。</w:t>
      </w:r>
    </w:p>
    <w:p>
      <w:pPr>
        <w:pStyle w:val="BodyText"/>
        <w:spacing w:line="304" w:lineRule="auto" w:before="67"/>
        <w:ind w:right="986"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日，公司召开的第四届董事会第二次会议和第四届监事会第二次会议审议通过了《关于调整股票期权激励 </w:t>
      </w:r>
      <w:r>
        <w:rPr>
          <w:spacing w:val="-4"/>
        </w:rPr>
        <w:t>计划授予数量和授予对象人数并注销部分已授予股票期权的议案》、《关于股票期权激励计划第三个行权期可行权的议案》，</w:t>
      </w:r>
      <w:r>
        <w:rPr>
          <w:spacing w:val="-45"/>
        </w:rPr>
        <w:t> </w:t>
      </w:r>
      <w:r>
        <w:rPr>
          <w:spacing w:val="-45"/>
        </w:rPr>
      </w:r>
      <w:r>
        <w:rPr>
          <w:spacing w:val="-2"/>
        </w:rPr>
        <w:t>鉴于公司股票期权激励计划第三个行权期的行权条件已成就，同意已获授股票期权的</w:t>
      </w:r>
      <w:r>
        <w:rPr>
          <w:rFonts w:ascii="Times New Roman" w:hAnsi="Times New Roman" w:cs="Times New Roman" w:eastAsia="Times New Roman" w:hint="default"/>
          <w:spacing w:val="-2"/>
        </w:rPr>
        <w:t>74</w:t>
      </w:r>
      <w:r>
        <w:rPr>
          <w:spacing w:val="-2"/>
        </w:rPr>
        <w:t>名激励对象在第三个行权期内可自主</w:t>
      </w:r>
      <w:r>
        <w:rPr>
          <w:spacing w:val="-62"/>
        </w:rPr>
        <w:t> </w:t>
      </w:r>
      <w:r>
        <w:rPr>
          <w:spacing w:val="-62"/>
        </w:rPr>
      </w:r>
      <w:r>
        <w:rPr>
          <w:spacing w:val="-4"/>
        </w:rPr>
        <w:t>行权，根据公司《股票期权激励计划》的规定，本次可行权股票期权数量为</w:t>
      </w:r>
      <w:r>
        <w:rPr>
          <w:rFonts w:ascii="Times New Roman" w:hAnsi="Times New Roman" w:cs="Times New Roman" w:eastAsia="Times New Roman" w:hint="default"/>
          <w:spacing w:val="-4"/>
        </w:rPr>
        <w:t>944,487</w:t>
      </w:r>
      <w:r>
        <w:rPr>
          <w:spacing w:val="-4"/>
        </w:rPr>
        <w:t>份，实际行权期限为</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13</w:t>
      </w:r>
      <w:r>
        <w:rPr>
          <w:spacing w:val="-4"/>
        </w:rPr>
        <w:t>日至</w:t>
      </w:r>
      <w:r>
        <w:rPr>
          <w:rFonts w:ascii="Times New Roman" w:hAnsi="Times New Roman" w:cs="Times New Roman" w:eastAsia="Times New Roman" w:hint="default"/>
          <w:spacing w:val="-4"/>
        </w:rPr>
        <w:t>2020</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w:t>
      </w:r>
    </w:p>
    <w:p>
      <w:pPr>
        <w:pStyle w:val="BodyText"/>
        <w:spacing w:line="240" w:lineRule="auto" w:before="50"/>
        <w:ind w:right="1133"/>
        <w:jc w:val="left"/>
      </w:pPr>
      <w:r>
        <w:rPr/>
        <w:t>股份变动的过户情况</w:t>
      </w:r>
    </w:p>
    <w:p>
      <w:pPr>
        <w:pStyle w:val="BodyText"/>
        <w:spacing w:line="340" w:lineRule="auto" w:before="115"/>
        <w:ind w:left="513" w:right="463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股票期权激励计划报告期内行权的股份，行权后直接记入股东证券账户。</w:t>
      </w:r>
    </w:p>
    <w:p>
      <w:pPr>
        <w:pStyle w:val="BodyText"/>
        <w:spacing w:line="240" w:lineRule="auto" w:before="41"/>
        <w:ind w:right="1133"/>
        <w:jc w:val="left"/>
      </w:pPr>
      <w:r>
        <w:rPr/>
        <w:t>股份回购的实施进展情况</w:t>
      </w:r>
    </w:p>
    <w:p>
      <w:pPr>
        <w:pStyle w:val="BodyText"/>
        <w:spacing w:line="340" w:lineRule="auto" w:before="115"/>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采用集中竞价方式减持回购股份的实施进展情况</w:t>
      </w:r>
    </w:p>
    <w:p>
      <w:pPr>
        <w:pStyle w:val="BodyText"/>
        <w:spacing w:line="338" w:lineRule="auto" w:before="41"/>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40" w:lineRule="auto" w:before="44"/>
        <w:ind w:left="513" w:right="986"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1"/>
        </w:rPr>
        <w:t>报告期公司基本每股收益</w:t>
      </w:r>
      <w:r>
        <w:rPr>
          <w:rFonts w:ascii="Times New Roman" w:hAnsi="Times New Roman" w:cs="Times New Roman" w:eastAsia="Times New Roman" w:hint="default"/>
          <w:spacing w:val="-1"/>
        </w:rPr>
        <w:t>0.2914</w:t>
      </w:r>
      <w:r>
        <w:rPr>
          <w:spacing w:val="-1"/>
        </w:rPr>
        <w:t>元</w:t>
      </w:r>
      <w:r>
        <w:rPr>
          <w:rFonts w:ascii="Times New Roman" w:hAnsi="Times New Roman" w:cs="Times New Roman" w:eastAsia="Times New Roman" w:hint="default"/>
          <w:spacing w:val="-1"/>
        </w:rPr>
        <w:t>/</w:t>
      </w:r>
      <w:r>
        <w:rPr>
          <w:spacing w:val="-1"/>
        </w:rPr>
        <w:t>股，比去年同期上升</w:t>
      </w:r>
      <w:r>
        <w:rPr>
          <w:rFonts w:ascii="Times New Roman" w:hAnsi="Times New Roman" w:cs="Times New Roman" w:eastAsia="Times New Roman" w:hint="default"/>
          <w:spacing w:val="-1"/>
        </w:rPr>
        <w:t>332.34%</w:t>
      </w:r>
      <w:r>
        <w:rPr>
          <w:spacing w:val="-1"/>
        </w:rPr>
        <w:t>，稀释每股收益</w:t>
      </w:r>
      <w:r>
        <w:rPr>
          <w:rFonts w:ascii="Times New Roman" w:hAnsi="Times New Roman" w:cs="Times New Roman" w:eastAsia="Times New Roman" w:hint="default"/>
          <w:spacing w:val="-1"/>
        </w:rPr>
        <w:t>0.2902</w:t>
      </w:r>
      <w:r>
        <w:rPr>
          <w:spacing w:val="-1"/>
        </w:rPr>
        <w:t>元</w:t>
      </w:r>
      <w:r>
        <w:rPr>
          <w:rFonts w:ascii="Times New Roman" w:hAnsi="Times New Roman" w:cs="Times New Roman" w:eastAsia="Times New Roman" w:hint="default"/>
          <w:spacing w:val="-1"/>
        </w:rPr>
        <w:t>/</w:t>
      </w:r>
      <w:r>
        <w:rPr>
          <w:spacing w:val="-1"/>
        </w:rPr>
        <w:t>股，比去年同期上升</w:t>
      </w:r>
      <w:r>
        <w:rPr>
          <w:rFonts w:ascii="Times New Roman" w:hAnsi="Times New Roman" w:cs="Times New Roman" w:eastAsia="Times New Roman" w:hint="default"/>
          <w:spacing w:val="-1"/>
        </w:rPr>
        <w:t>403.82%</w:t>
      </w:r>
      <w:r>
        <w:rPr>
          <w:spacing w:val="-1"/>
        </w:rPr>
        <w:t>；</w:t>
      </w:r>
    </w:p>
    <w:p>
      <w:pPr>
        <w:pStyle w:val="BodyText"/>
        <w:spacing w:line="228" w:lineRule="exact"/>
        <w:ind w:right="1133"/>
        <w:jc w:val="left"/>
      </w:pPr>
      <w:r>
        <w:rPr/>
        <w:t>归属于公司普通股股东的每股净资产为</w:t>
      </w:r>
      <w:r>
        <w:rPr>
          <w:rFonts w:ascii="Times New Roman" w:hAnsi="Times New Roman" w:cs="Times New Roman" w:eastAsia="Times New Roman" w:hint="default"/>
        </w:rPr>
        <w:t>6.11</w:t>
      </w:r>
      <w:r>
        <w:rPr/>
        <w:t>元</w:t>
      </w:r>
      <w:r>
        <w:rPr>
          <w:rFonts w:ascii="Times New Roman" w:hAnsi="Times New Roman" w:cs="Times New Roman" w:eastAsia="Times New Roman" w:hint="default"/>
        </w:rPr>
        <w:t>/</w:t>
      </w:r>
      <w:r>
        <w:rPr/>
        <w:t>股，比去年同期增长</w:t>
      </w:r>
      <w:r>
        <w:rPr>
          <w:rFonts w:ascii="Times New Roman" w:hAnsi="Times New Roman" w:cs="Times New Roman" w:eastAsia="Times New Roman" w:hint="default"/>
        </w:rPr>
        <w:t>7.42%</w:t>
      </w:r>
      <w:r>
        <w:rPr/>
        <w:t>。</w:t>
      </w:r>
    </w:p>
    <w:p>
      <w:pPr>
        <w:pStyle w:val="BodyText"/>
        <w:spacing w:line="240" w:lineRule="auto" w:before="101"/>
        <w:ind w:right="1133"/>
        <w:jc w:val="left"/>
      </w:pPr>
      <w:r>
        <w:rPr/>
        <w:t>公司认为必要或证券监管机构要求披露的其他内容</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50"/>
        <w:gridCol w:w="1190"/>
        <w:gridCol w:w="1193"/>
        <w:gridCol w:w="1190"/>
        <w:gridCol w:w="1191"/>
        <w:gridCol w:w="965"/>
        <w:gridCol w:w="3176"/>
      </w:tblGrid>
      <w:tr>
        <w:trPr>
          <w:trHeight w:val="713"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5"/>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52"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刘强</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30,356,658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30,356,658</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5"/>
              <w:jc w:val="right"/>
              <w:rPr>
                <w:rFonts w:ascii="宋体" w:hAnsi="宋体" w:cs="宋体" w:eastAsia="宋体" w:hint="default"/>
                <w:sz w:val="18"/>
                <w:szCs w:val="18"/>
              </w:rPr>
            </w:pPr>
            <w:r>
              <w:rPr>
                <w:rFonts w:ascii="宋体" w:hAnsi="宋体" w:cs="宋体" w:eastAsia="宋体" w:hint="default"/>
                <w:sz w:val="18"/>
                <w:szCs w:val="18"/>
              </w:rPr>
              <w:t>高管锁定</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2014-5-31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首次解除限售，以后每年按照 所持股份总数的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71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李杰</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20,300,715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2,172,425</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1,004,698</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21,468,442</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5"/>
              <w:jc w:val="right"/>
              <w:rPr>
                <w:rFonts w:ascii="宋体" w:hAnsi="宋体" w:cs="宋体" w:eastAsia="宋体" w:hint="default"/>
                <w:sz w:val="18"/>
                <w:szCs w:val="18"/>
              </w:rPr>
            </w:pPr>
            <w:r>
              <w:rPr>
                <w:rFonts w:ascii="宋体" w:hAnsi="宋体" w:cs="宋体" w:eastAsia="宋体" w:hint="default"/>
                <w:sz w:val="18"/>
                <w:szCs w:val="18"/>
              </w:rPr>
              <w:t>高管锁定</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2014-5-31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首次解除限售，以后每年按照 所持股份总数的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71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冼永辉</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8,181,494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8,181,494</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5"/>
              <w:jc w:val="right"/>
              <w:rPr>
                <w:rFonts w:ascii="宋体" w:hAnsi="宋体" w:cs="宋体" w:eastAsia="宋体" w:hint="default"/>
                <w:sz w:val="18"/>
                <w:szCs w:val="18"/>
              </w:rPr>
            </w:pPr>
            <w:r>
              <w:rPr>
                <w:rFonts w:ascii="宋体" w:hAnsi="宋体" w:cs="宋体" w:eastAsia="宋体" w:hint="default"/>
                <w:sz w:val="18"/>
                <w:szCs w:val="18"/>
              </w:rPr>
              <w:t>高管锁定</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2012-5-31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首次解除限售，以后每年按照 所持股份总数的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71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张紧</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8,170,714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8,170,714</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5"/>
              <w:jc w:val="right"/>
              <w:rPr>
                <w:rFonts w:ascii="宋体" w:hAnsi="宋体" w:cs="宋体" w:eastAsia="宋体" w:hint="default"/>
                <w:sz w:val="18"/>
                <w:szCs w:val="18"/>
              </w:rPr>
            </w:pPr>
            <w:r>
              <w:rPr>
                <w:rFonts w:ascii="宋体" w:hAnsi="宋体" w:cs="宋体" w:eastAsia="宋体" w:hint="default"/>
                <w:sz w:val="18"/>
                <w:szCs w:val="18"/>
              </w:rPr>
              <w:t>高管锁定</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2012-5-31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首次解除限售，以后每年按照 所持股份总数的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bl>
    <w:p>
      <w:pPr>
        <w:spacing w:after="0" w:line="30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240" w:lineRule="auto" w:before="44"/>
        <w:ind w:left="0" w:right="953"/>
        <w:jc w:val="right"/>
      </w:pPr>
      <w:r>
        <w:rPr/>
        <w:pict>
          <v:shape style="position:absolute;margin-left:56.400002pt;margin-top:-368.958282pt;width:488.5pt;height:511.55pt;mso-position-horizontal-relative:page;mso-position-vertical-relative:paragraph;z-index:25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0"/>
                    <w:gridCol w:w="1190"/>
                    <w:gridCol w:w="1193"/>
                    <w:gridCol w:w="1190"/>
                    <w:gridCol w:w="1191"/>
                    <w:gridCol w:w="965"/>
                    <w:gridCol w:w="3176"/>
                  </w:tblGrid>
                  <w:tr>
                    <w:trPr>
                      <w:trHeight w:val="713"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许志鹏</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2,434,106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20,175</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2,413,931</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2012-5-31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首次解除限售，以后每年按照 所持股份总数的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71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姜君</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2,425,122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37,500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2,462,622</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2012-5-31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首次解除限售，以后每年按照 所持股份总数的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71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张敏</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1,123,018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26,996</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1,096,022</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2012-5-31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首次解除限售，以后每年按照 所持股份总数的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71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张燕祥</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1,157,131</w:t>
                        </w:r>
                        <w:r>
                          <w:rPr>
                            <w:rFonts w:ascii="Times New Roman"/>
                            <w:sz w:val="18"/>
                          </w:rPr>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289,284</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867,847</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2012-5-31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首次解除限售，以后每年按照 所持股份总数的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71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叶飞</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8,368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19,526</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27,894</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65"/>
                          <w:jc w:val="left"/>
                          <w:rPr>
                            <w:rFonts w:ascii="宋体" w:hAnsi="宋体" w:cs="宋体" w:eastAsia="宋体" w:hint="default"/>
                            <w:sz w:val="18"/>
                            <w:szCs w:val="18"/>
                          </w:rPr>
                        </w:pPr>
                        <w:r>
                          <w:rPr>
                            <w:rFonts w:ascii="宋体" w:hAnsi="宋体" w:cs="宋体" w:eastAsia="宋体" w:hint="default"/>
                            <w:sz w:val="18"/>
                            <w:szCs w:val="18"/>
                          </w:rPr>
                          <w:t>股权激励行权后按照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锁定，以后每 年按照所持股份总数的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1337"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赵明漪</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710,661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710,661</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2012-5-31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首次解除限售，以后每年按照 所持股份总数的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解除限售。因赵明 漪女士去世，报告期内其股份情况发生 变更。</w:t>
                        </w:r>
                      </w:p>
                    </w:tc>
                  </w:tr>
                  <w:tr>
                    <w:trPr>
                      <w:trHeight w:val="71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鹿良礼</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461,342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115,336</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346,006</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2012-5-31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首次解除限售，以后每年按照 所持股份总数的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102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晏晓京</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2,588,970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2,588,970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日起不再担任公司监事，</w:t>
                        </w:r>
                      </w:p>
                      <w:p>
                        <w:pPr>
                          <w:pStyle w:val="TableParagraph"/>
                          <w:spacing w:line="300" w:lineRule="auto" w:before="63"/>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日起其所持股份全部解除 限售。</w:t>
                        </w:r>
                      </w:p>
                    </w:tc>
                  </w:tr>
                  <w:tr>
                    <w:trPr>
                      <w:trHeight w:val="1027"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刘飞</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2,335,931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2,335,931</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日起不再担任公司监事</w:t>
                        </w:r>
                      </w:p>
                      <w:p>
                        <w:pPr>
                          <w:pStyle w:val="TableParagraph"/>
                          <w:spacing w:line="300" w:lineRule="auto" w:before="60"/>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日其所持股份全部解除限 售。</w:t>
                        </w:r>
                      </w:p>
                    </w:tc>
                  </w:tr>
                  <w:tr>
                    <w:trPr>
                      <w:trHeight w:val="71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黄磊</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65"/>
                          <w:jc w:val="left"/>
                          <w:rPr>
                            <w:rFonts w:ascii="宋体" w:hAnsi="宋体" w:cs="宋体" w:eastAsia="宋体" w:hint="default"/>
                            <w:sz w:val="18"/>
                            <w:szCs w:val="18"/>
                          </w:rPr>
                        </w:pPr>
                        <w:r>
                          <w:rPr>
                            <w:rFonts w:ascii="宋体" w:hAnsi="宋体" w:cs="宋体" w:eastAsia="宋体" w:hint="default"/>
                            <w:sz w:val="18"/>
                            <w:szCs w:val="18"/>
                          </w:rPr>
                          <w:t>股权激励行权后按照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锁定，以后每 年按照所持股份总数的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71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刘将</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65"/>
                          <w:jc w:val="left"/>
                          <w:rPr>
                            <w:rFonts w:ascii="宋体" w:hAnsi="宋体" w:cs="宋体" w:eastAsia="宋体" w:hint="default"/>
                            <w:sz w:val="18"/>
                            <w:szCs w:val="18"/>
                          </w:rPr>
                        </w:pPr>
                        <w:r>
                          <w:rPr>
                            <w:rFonts w:ascii="宋体" w:hAnsi="宋体" w:cs="宋体" w:eastAsia="宋体" w:hint="default"/>
                            <w:sz w:val="18"/>
                            <w:szCs w:val="18"/>
                          </w:rPr>
                          <w:t>股权激励行权后按照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锁定，以后每 年按照所持股份总数的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4"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80,254,230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2,230,171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7,092,051</w:t>
                        </w:r>
                      </w:p>
                    </w:tc>
                    <w:tc>
                      <w:tcPr>
                        <w:tcW w:w="119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75,392,350</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2"/>
        <w:spacing w:line="240" w:lineRule="auto" w:before="26"/>
        <w:ind w:right="1133"/>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left="513" w:right="121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报告期内，公司股票期权激励计划实际行权数量为</w:t>
      </w:r>
      <w:r>
        <w:rPr>
          <w:rFonts w:ascii="Times New Roman" w:hAnsi="Times New Roman" w:cs="Times New Roman" w:eastAsia="Times New Roman" w:hint="default"/>
        </w:rPr>
        <w:t>1,427,898</w:t>
      </w:r>
      <w:r>
        <w:rPr/>
        <w:t>股。截至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日，公司总股本为</w:t>
      </w:r>
      <w:r>
        <w:rPr>
          <w:rFonts w:ascii="Times New Roman" w:hAnsi="Times New Roman" w:cs="Times New Roman" w:eastAsia="Times New Roman" w:hint="default"/>
        </w:rPr>
        <w:t>202,092,093</w:t>
      </w:r>
      <w:r>
        <w:rPr/>
        <w:t>股。</w:t>
      </w:r>
    </w:p>
    <w:p>
      <w:pPr>
        <w:spacing w:after="0" w:line="3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pict>
          <v:group style="position:absolute;margin-left:337.390015pt;margin-top:70.701744pt;width:52.7pt;height:31.2pt;mso-position-horizontal-relative:page;mso-position-vertical-relative:paragraph;z-index:-1611976" coordorigin="6748,1414" coordsize="1054,624">
            <v:shape style="position:absolute;left:6748;top:1414;width:1054;height:624" coordorigin="6748,1414" coordsize="1054,624" path="m6748,2038l7801,2038,7801,1414,6748,1414,6748,2038xe" filled="true" fillcolor="#ffffff" stroked="false">
              <v:path arrowok="t"/>
              <v:fill type="solid"/>
            </v:shape>
            <w10:wrap type="none"/>
          </v:group>
        </w:pict>
      </w: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1357"/>
        <w:gridCol w:w="920"/>
        <w:gridCol w:w="1075"/>
        <w:gridCol w:w="1052"/>
        <w:gridCol w:w="1075"/>
        <w:gridCol w:w="1120"/>
        <w:gridCol w:w="861"/>
        <w:gridCol w:w="1066"/>
      </w:tblGrid>
      <w:tr>
        <w:trPr>
          <w:trHeight w:val="161"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1357" w:type="dxa"/>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20" w:right="0"/>
              <w:jc w:val="left"/>
              <w:rPr>
                <w:rFonts w:ascii="Times New Roman" w:hAnsi="Times New Roman" w:cs="Times New Roman" w:eastAsia="Times New Roman" w:hint="default"/>
                <w:sz w:val="18"/>
                <w:szCs w:val="18"/>
              </w:rPr>
            </w:pPr>
            <w:r>
              <w:rPr>
                <w:rFonts w:ascii="Times New Roman"/>
                <w:sz w:val="18"/>
              </w:rPr>
              <w:t>36,419</w:t>
            </w: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8" w:right="170"/>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 东总数</w:t>
            </w:r>
          </w:p>
        </w:tc>
        <w:tc>
          <w:tcPr>
            <w:tcW w:w="1075" w:type="dxa"/>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34,451</w:t>
            </w:r>
          </w:p>
        </w:tc>
        <w:tc>
          <w:tcPr>
            <w:tcW w:w="10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7" w:right="123"/>
              <w:jc w:val="both"/>
              <w:rPr>
                <w:rFonts w:ascii="宋体" w:hAnsi="宋体" w:cs="宋体" w:eastAsia="宋体" w:hint="default"/>
                <w:sz w:val="18"/>
                <w:szCs w:val="18"/>
              </w:rPr>
            </w:pPr>
            <w:r>
              <w:rPr>
                <w:rFonts w:ascii="宋体" w:hAnsi="宋体" w:cs="宋体" w:eastAsia="宋体" w:hint="default"/>
                <w:sz w:val="18"/>
                <w:szCs w:val="18"/>
              </w:rPr>
              <w:t>报告期末表 决权恢复的 优先股股东 总数（如有</w:t>
            </w:r>
          </w:p>
          <w:p>
            <w:pPr>
              <w:pStyle w:val="TableParagraph"/>
              <w:spacing w:line="240" w:lineRule="auto" w:before="17"/>
              <w:ind w:left="17"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75" w:type="dxa"/>
            <w:vMerge w:val="restart"/>
            <w:tcBorders>
              <w:top w:val="single" w:sz="4" w:space="0" w:color="000000"/>
              <w:left w:val="single" w:sz="13"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63"/>
              <w:ind w:left="-146" w:right="0"/>
              <w:jc w:val="left"/>
              <w:rPr>
                <w:rFonts w:ascii="宋体" w:hAnsi="宋体" w:cs="宋体" w:eastAsia="宋体" w:hint="default"/>
                <w:sz w:val="18"/>
                <w:szCs w:val="18"/>
              </w:rPr>
            </w:pPr>
            <w:r>
              <w:rPr>
                <w:rFonts w:ascii="宋体" w:hAnsi="宋体" w:cs="宋体" w:eastAsia="宋体" w:hint="default"/>
                <w:sz w:val="18"/>
                <w:szCs w:val="18"/>
              </w:rPr>
              <w:t>）</w:t>
            </w:r>
          </w:p>
        </w:tc>
        <w:tc>
          <w:tcPr>
            <w:tcW w:w="19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357" w:type="dxa"/>
            <w:vMerge/>
            <w:tcBorders>
              <w:left w:val="single" w:sz="10" w:space="0" w:color="D2D2D2"/>
              <w:right w:val="single" w:sz="13" w:space="0" w:color="D2D2D2"/>
            </w:tcBorders>
          </w:tcPr>
          <w:p>
            <w:pPr/>
          </w:p>
        </w:tc>
        <w:tc>
          <w:tcPr>
            <w:tcW w:w="920" w:type="dxa"/>
            <w:vMerge/>
            <w:tcBorders>
              <w:left w:val="single" w:sz="4" w:space="0" w:color="000000"/>
              <w:right w:val="single" w:sz="4" w:space="0" w:color="000000"/>
            </w:tcBorders>
            <w:shd w:val="clear" w:color="auto" w:fill="D2D2D2"/>
          </w:tcPr>
          <w:p>
            <w:pPr/>
          </w:p>
        </w:tc>
        <w:tc>
          <w:tcPr>
            <w:tcW w:w="1075" w:type="dxa"/>
            <w:vMerge/>
            <w:tcBorders>
              <w:left w:val="single" w:sz="9" w:space="0" w:color="D2D2D2"/>
              <w:right w:val="single" w:sz="10"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13" w:space="0" w:color="D2D2D2"/>
              <w:right w:val="single" w:sz="10" w:space="0" w:color="D2D2D2"/>
            </w:tcBorders>
          </w:tcPr>
          <w:p>
            <w:pPr/>
          </w:p>
        </w:tc>
        <w:tc>
          <w:tcPr>
            <w:tcW w:w="19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17" w:right="62"/>
              <w:jc w:val="left"/>
              <w:rPr>
                <w:rFonts w:ascii="宋体" w:hAnsi="宋体" w:cs="宋体" w:eastAsia="宋体" w:hint="default"/>
                <w:sz w:val="18"/>
                <w:szCs w:val="18"/>
              </w:rPr>
            </w:pPr>
            <w:r>
              <w:rPr>
                <w:rFonts w:ascii="宋体" w:hAnsi="宋体" w:cs="宋体" w:eastAsia="宋体" w:hint="default"/>
                <w:sz w:val="18"/>
                <w:szCs w:val="18"/>
              </w:rPr>
              <w:t>年度报告披露日前上一 月末表决权恢复的优先 </w:t>
            </w:r>
            <w:r>
              <w:rPr>
                <w:rFonts w:ascii="宋体" w:hAnsi="宋体" w:cs="宋体" w:eastAsia="宋体" w:hint="default"/>
                <w:spacing w:val="-9"/>
                <w:sz w:val="18"/>
                <w:szCs w:val="18"/>
              </w:rPr>
              <w:t>股股东总数（如有）（参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6" w:type="dxa"/>
            <w:vMerge/>
            <w:tcBorders>
              <w:left w:val="single" w:sz="10" w:space="0" w:color="D2D2D2"/>
              <w:right w:val="single" w:sz="4" w:space="0" w:color="000000"/>
            </w:tcBorders>
          </w:tcPr>
          <w:p>
            <w:pPr/>
          </w:p>
        </w:tc>
      </w:tr>
      <w:tr>
        <w:trPr>
          <w:trHeight w:val="706"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357" w:type="dxa"/>
            <w:vMerge/>
            <w:tcBorders>
              <w:left w:val="single" w:sz="10" w:space="0" w:color="D2D2D2"/>
              <w:right w:val="single" w:sz="13" w:space="0" w:color="D2D2D2"/>
            </w:tcBorders>
          </w:tcPr>
          <w:p>
            <w:pPr/>
          </w:p>
        </w:tc>
        <w:tc>
          <w:tcPr>
            <w:tcW w:w="920" w:type="dxa"/>
            <w:vMerge/>
            <w:tcBorders>
              <w:left w:val="single" w:sz="4" w:space="0" w:color="000000"/>
              <w:right w:val="single" w:sz="4" w:space="0" w:color="000000"/>
            </w:tcBorders>
            <w:shd w:val="clear" w:color="auto" w:fill="D2D2D2"/>
          </w:tcPr>
          <w:p>
            <w:pPr/>
          </w:p>
        </w:tc>
        <w:tc>
          <w:tcPr>
            <w:tcW w:w="1075" w:type="dxa"/>
            <w:vMerge/>
            <w:tcBorders>
              <w:left w:val="single" w:sz="9" w:space="0" w:color="D2D2D2"/>
              <w:right w:val="single" w:sz="10"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13" w:space="0" w:color="D2D2D2"/>
              <w:right w:val="single" w:sz="10" w:space="0" w:color="D2D2D2"/>
            </w:tcBorders>
          </w:tcPr>
          <w:p>
            <w:pPr/>
          </w:p>
        </w:tc>
        <w:tc>
          <w:tcPr>
            <w:tcW w:w="1981" w:type="dxa"/>
            <w:gridSpan w:val="2"/>
            <w:vMerge/>
            <w:tcBorders>
              <w:left w:val="single" w:sz="4" w:space="0" w:color="000000"/>
              <w:right w:val="single" w:sz="4" w:space="0" w:color="000000"/>
            </w:tcBorders>
            <w:shd w:val="clear" w:color="auto" w:fill="D2D2D2"/>
          </w:tcPr>
          <w:p>
            <w:pPr/>
          </w:p>
        </w:tc>
        <w:tc>
          <w:tcPr>
            <w:tcW w:w="1066" w:type="dxa"/>
            <w:vMerge/>
            <w:tcBorders>
              <w:left w:val="single" w:sz="10" w:space="0" w:color="D2D2D2"/>
              <w:right w:val="single" w:sz="4" w:space="0" w:color="000000"/>
            </w:tcBorders>
          </w:tcPr>
          <w:p>
            <w:pPr/>
          </w:p>
        </w:tc>
      </w:tr>
      <w:tr>
        <w:trPr>
          <w:trHeight w:val="312"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1357" w:type="dxa"/>
            <w:vMerge/>
            <w:tcBorders>
              <w:left w:val="single" w:sz="10" w:space="0" w:color="D2D2D2"/>
              <w:right w:val="single" w:sz="13" w:space="0" w:color="D2D2D2"/>
            </w:tcBorders>
          </w:tcPr>
          <w:p>
            <w:pPr/>
          </w:p>
        </w:tc>
        <w:tc>
          <w:tcPr>
            <w:tcW w:w="920" w:type="dxa"/>
            <w:vMerge/>
            <w:tcBorders>
              <w:left w:val="single" w:sz="4" w:space="0" w:color="000000"/>
              <w:right w:val="single" w:sz="4" w:space="0" w:color="000000"/>
            </w:tcBorders>
            <w:shd w:val="clear" w:color="auto" w:fill="D2D2D2"/>
          </w:tcPr>
          <w:p>
            <w:pPr/>
          </w:p>
        </w:tc>
        <w:tc>
          <w:tcPr>
            <w:tcW w:w="1075" w:type="dxa"/>
            <w:vMerge/>
            <w:tcBorders>
              <w:left w:val="single" w:sz="9" w:space="0" w:color="D2D2D2"/>
              <w:right w:val="single" w:sz="10"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13" w:space="0" w:color="D2D2D2"/>
              <w:right w:val="single" w:sz="10" w:space="0" w:color="D2D2D2"/>
            </w:tcBorders>
          </w:tcPr>
          <w:p>
            <w:pPr/>
          </w:p>
        </w:tc>
        <w:tc>
          <w:tcPr>
            <w:tcW w:w="1981" w:type="dxa"/>
            <w:gridSpan w:val="2"/>
            <w:vMerge/>
            <w:tcBorders>
              <w:left w:val="single" w:sz="4" w:space="0" w:color="000000"/>
              <w:bottom w:val="nil" w:sz="6" w:space="0" w:color="auto"/>
              <w:right w:val="single" w:sz="4" w:space="0" w:color="000000"/>
            </w:tcBorders>
            <w:shd w:val="clear" w:color="auto" w:fill="D2D2D2"/>
          </w:tcPr>
          <w:p>
            <w:pPr/>
          </w:p>
        </w:tc>
        <w:tc>
          <w:tcPr>
            <w:tcW w:w="1066" w:type="dxa"/>
            <w:vMerge/>
            <w:tcBorders>
              <w:left w:val="single" w:sz="10" w:space="0" w:color="D2D2D2"/>
              <w:right w:val="single" w:sz="4" w:space="0" w:color="000000"/>
            </w:tcBorders>
          </w:tcPr>
          <w:p>
            <w:pPr/>
          </w:p>
        </w:tc>
      </w:tr>
      <w:tr>
        <w:trPr>
          <w:trHeight w:val="166"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1357" w:type="dxa"/>
            <w:vMerge/>
            <w:tcBorders>
              <w:left w:val="single" w:sz="10" w:space="0" w:color="D2D2D2"/>
              <w:bottom w:val="single" w:sz="4" w:space="0" w:color="000000"/>
              <w:right w:val="single" w:sz="13" w:space="0" w:color="D2D2D2"/>
            </w:tcBorders>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9" w:space="0" w:color="D2D2D2"/>
              <w:bottom w:val="single" w:sz="4" w:space="0" w:color="000000"/>
              <w:right w:val="single" w:sz="10" w:space="0" w:color="D2D2D2"/>
            </w:tcBorders>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13" w:space="0" w:color="D2D2D2"/>
              <w:bottom w:val="single" w:sz="4" w:space="0" w:color="000000"/>
              <w:right w:val="single" w:sz="10" w:space="0" w:color="D2D2D2"/>
            </w:tcBorders>
          </w:tcPr>
          <w:p>
            <w:pPr/>
          </w:p>
        </w:tc>
        <w:tc>
          <w:tcPr>
            <w:tcW w:w="19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vMerge/>
            <w:tcBorders>
              <w:left w:val="single" w:sz="10" w:space="0" w:color="D2D2D2"/>
              <w:bottom w:val="single" w:sz="4" w:space="0" w:color="000000"/>
              <w:right w:val="single" w:sz="4" w:space="0" w:color="000000"/>
            </w:tcBorders>
          </w:tcPr>
          <w:p>
            <w:pPr/>
          </w:p>
        </w:tc>
      </w:tr>
      <w:tr>
        <w:trPr>
          <w:trHeight w:val="391" w:hRule="exact"/>
        </w:trPr>
        <w:tc>
          <w:tcPr>
            <w:tcW w:w="9727"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140"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1357" w:type="dxa"/>
            <w:vMerge w:val="restart"/>
            <w:tcBorders>
              <w:top w:val="single" w:sz="4" w:space="0" w:color="000000"/>
              <w:left w:val="single" w:sz="4" w:space="0" w:color="000000"/>
              <w:right w:val="single" w:sz="4" w:space="0" w:color="000000"/>
            </w:tcBorders>
            <w:shd w:val="clear" w:color="auto" w:fill="D2D2D2"/>
          </w:tcPr>
          <w:p>
            <w:pPr/>
          </w:p>
        </w:tc>
        <w:tc>
          <w:tcPr>
            <w:tcW w:w="920" w:type="dxa"/>
            <w:vMerge w:val="restart"/>
            <w:tcBorders>
              <w:top w:val="single" w:sz="4" w:space="0" w:color="000000"/>
              <w:left w:val="single" w:sz="4" w:space="0" w:color="000000"/>
              <w:right w:val="single" w:sz="4" w:space="0" w:color="000000"/>
            </w:tcBorders>
            <w:shd w:val="clear" w:color="auto" w:fill="D2D2D2"/>
          </w:tcPr>
          <w:p>
            <w:pPr/>
          </w:p>
        </w:tc>
        <w:tc>
          <w:tcPr>
            <w:tcW w:w="10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82" w:right="80"/>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2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1" w:right="106"/>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9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357" w:type="dxa"/>
            <w:vMerge/>
            <w:tcBorders>
              <w:left w:val="single" w:sz="4" w:space="0" w:color="000000"/>
              <w:bottom w:val="nil" w:sz="6" w:space="0" w:color="auto"/>
              <w:right w:val="single" w:sz="4" w:space="0" w:color="000000"/>
            </w:tcBorders>
            <w:shd w:val="clear" w:color="auto" w:fill="D2D2D2"/>
          </w:tcPr>
          <w:p>
            <w:pPr/>
          </w:p>
        </w:tc>
        <w:tc>
          <w:tcPr>
            <w:tcW w:w="920" w:type="dxa"/>
            <w:vMerge/>
            <w:tcBorders>
              <w:left w:val="single" w:sz="4" w:space="0" w:color="000000"/>
              <w:bottom w:val="nil" w:sz="6" w:space="0" w:color="auto"/>
              <w:right w:val="single" w:sz="4" w:space="0" w:color="000000"/>
            </w:tcBorders>
            <w:shd w:val="clear" w:color="auto" w:fill="D2D2D2"/>
          </w:tcPr>
          <w:p>
            <w:pPr/>
          </w:p>
        </w:tc>
        <w:tc>
          <w:tcPr>
            <w:tcW w:w="107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62" w:right="8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70" w:right="69"/>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75" w:type="dxa"/>
            <w:vMerge/>
            <w:tcBorders>
              <w:left w:val="single" w:sz="4" w:space="0" w:color="000000"/>
              <w:right w:val="single" w:sz="4" w:space="0" w:color="000000"/>
            </w:tcBorders>
            <w:shd w:val="clear" w:color="auto" w:fill="D2D2D2"/>
          </w:tcPr>
          <w:p>
            <w:pPr/>
          </w:p>
        </w:tc>
        <w:tc>
          <w:tcPr>
            <w:tcW w:w="1120" w:type="dxa"/>
            <w:vMerge/>
            <w:tcBorders>
              <w:left w:val="single" w:sz="4" w:space="0" w:color="000000"/>
              <w:right w:val="single" w:sz="4" w:space="0" w:color="000000"/>
            </w:tcBorders>
            <w:shd w:val="clear" w:color="auto" w:fill="D2D2D2"/>
          </w:tcPr>
          <w:p>
            <w:pPr/>
          </w:p>
        </w:tc>
        <w:tc>
          <w:tcPr>
            <w:tcW w:w="1927" w:type="dxa"/>
            <w:gridSpan w:val="2"/>
            <w:vMerge/>
            <w:tcBorders>
              <w:left w:val="single" w:sz="4" w:space="0" w:color="000000"/>
              <w:right w:val="single" w:sz="4" w:space="0" w:color="000000"/>
            </w:tcBorders>
            <w:shd w:val="clear" w:color="auto" w:fill="D2D2D2"/>
          </w:tcPr>
          <w:p>
            <w:pPr/>
          </w:p>
        </w:tc>
      </w:tr>
      <w:tr>
        <w:trPr>
          <w:trHeight w:val="142" w:hRule="exact"/>
        </w:trPr>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4"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75"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1120" w:type="dxa"/>
            <w:vMerge/>
            <w:tcBorders>
              <w:left w:val="single" w:sz="4" w:space="0" w:color="000000"/>
              <w:right w:val="single" w:sz="4" w:space="0" w:color="000000"/>
            </w:tcBorders>
            <w:shd w:val="clear" w:color="auto" w:fill="D2D2D2"/>
          </w:tcPr>
          <w:p>
            <w:pPr/>
          </w:p>
        </w:tc>
        <w:tc>
          <w:tcPr>
            <w:tcW w:w="1927" w:type="dxa"/>
            <w:gridSpan w:val="2"/>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357" w:type="dxa"/>
            <w:vMerge/>
            <w:tcBorders>
              <w:left w:val="single" w:sz="4" w:space="0" w:color="000000"/>
              <w:bottom w:val="nil" w:sz="6" w:space="0" w:color="auto"/>
              <w:right w:val="single" w:sz="4" w:space="0" w:color="000000"/>
            </w:tcBorders>
            <w:shd w:val="clear" w:color="auto" w:fill="D2D2D2"/>
          </w:tcPr>
          <w:p>
            <w:pPr/>
          </w:p>
        </w:tc>
        <w:tc>
          <w:tcPr>
            <w:tcW w:w="920" w:type="dxa"/>
            <w:vMerge/>
            <w:tcBorders>
              <w:left w:val="single" w:sz="4" w:space="0" w:color="000000"/>
              <w:bottom w:val="nil" w:sz="6" w:space="0" w:color="auto"/>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1120" w:type="dxa"/>
            <w:vMerge/>
            <w:tcBorders>
              <w:left w:val="single" w:sz="4" w:space="0" w:color="000000"/>
              <w:right w:val="single" w:sz="4" w:space="0" w:color="000000"/>
            </w:tcBorders>
            <w:shd w:val="clear" w:color="auto" w:fill="D2D2D2"/>
          </w:tcPr>
          <w:p>
            <w:pPr/>
          </w:p>
        </w:tc>
        <w:tc>
          <w:tcPr>
            <w:tcW w:w="8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6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353"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1357" w:type="dxa"/>
            <w:vMerge w:val="restart"/>
            <w:tcBorders>
              <w:top w:val="nil" w:sz="6" w:space="0" w:color="auto"/>
              <w:left w:val="single" w:sz="4" w:space="0" w:color="000000"/>
              <w:right w:val="single" w:sz="4" w:space="0" w:color="000000"/>
            </w:tcBorders>
            <w:shd w:val="clear" w:color="auto" w:fill="D2D2D2"/>
          </w:tcPr>
          <w:p>
            <w:pPr/>
          </w:p>
        </w:tc>
        <w:tc>
          <w:tcPr>
            <w:tcW w:w="920" w:type="dxa"/>
            <w:vMerge w:val="restart"/>
            <w:tcBorders>
              <w:top w:val="nil" w:sz="6" w:space="0" w:color="auto"/>
              <w:left w:val="single" w:sz="4" w:space="0" w:color="000000"/>
              <w:right w:val="single" w:sz="4" w:space="0" w:color="000000"/>
            </w:tcBorders>
            <w:shd w:val="clear" w:color="auto" w:fill="D2D2D2"/>
          </w:tcPr>
          <w:p>
            <w:pPr/>
          </w:p>
        </w:tc>
        <w:tc>
          <w:tcPr>
            <w:tcW w:w="1075"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1120" w:type="dxa"/>
            <w:vMerge/>
            <w:tcBorders>
              <w:left w:val="single" w:sz="4" w:space="0" w:color="000000"/>
              <w:right w:val="single" w:sz="4" w:space="0" w:color="000000"/>
            </w:tcBorders>
            <w:shd w:val="clear" w:color="auto" w:fill="D2D2D2"/>
          </w:tcPr>
          <w:p>
            <w:pPr/>
          </w:p>
        </w:tc>
        <w:tc>
          <w:tcPr>
            <w:tcW w:w="861"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shd w:val="clear" w:color="auto" w:fill="D2D2D2"/>
          </w:tcPr>
          <w:p>
            <w:pPr/>
          </w:p>
        </w:tc>
      </w:tr>
      <w:tr>
        <w:trPr>
          <w:trHeight w:val="161"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1357" w:type="dxa"/>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10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5" w:type="dxa"/>
            <w:vMerge/>
            <w:tcBorders>
              <w:left w:val="single" w:sz="4" w:space="0" w:color="000000"/>
              <w:bottom w:val="single" w:sz="4" w:space="0" w:color="000000"/>
              <w:right w:val="single" w:sz="4" w:space="0" w:color="000000"/>
            </w:tcBorders>
            <w:shd w:val="clear" w:color="auto" w:fill="D2D2D2"/>
          </w:tcPr>
          <w:p>
            <w:pPr/>
          </w:p>
        </w:tc>
        <w:tc>
          <w:tcPr>
            <w:tcW w:w="1120" w:type="dxa"/>
            <w:vMerge/>
            <w:tcBorders>
              <w:left w:val="single" w:sz="4" w:space="0" w:color="000000"/>
              <w:bottom w:val="single" w:sz="4" w:space="0" w:color="000000"/>
              <w:right w:val="single" w:sz="4" w:space="0" w:color="000000"/>
            </w:tcBorders>
            <w:shd w:val="clear" w:color="auto" w:fill="D2D2D2"/>
          </w:tcPr>
          <w:p>
            <w:pPr/>
          </w:p>
        </w:tc>
        <w:tc>
          <w:tcPr>
            <w:tcW w:w="861"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刘强</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20.03%</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40,475,544</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30,356,658</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10,118,886</w:t>
            </w:r>
          </w:p>
        </w:tc>
        <w:tc>
          <w:tcPr>
            <w:tcW w:w="861" w:type="dxa"/>
            <w:tcBorders>
              <w:top w:val="single" w:sz="44" w:space="0" w:color="D2D2D2"/>
              <w:left w:val="single" w:sz="4" w:space="0" w:color="000000"/>
              <w:bottom w:val="single" w:sz="4" w:space="0" w:color="000000"/>
              <w:right w:val="single" w:sz="4" w:space="0" w:color="000000"/>
            </w:tcBorders>
          </w:tcPr>
          <w:p>
            <w:pPr>
              <w:pStyle w:val="TableParagraph"/>
              <w:spacing w:line="234" w:lineRule="exact"/>
              <w:ind w:left="7"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066"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before="40"/>
              <w:ind w:right="19"/>
              <w:jc w:val="right"/>
              <w:rPr>
                <w:rFonts w:ascii="Times New Roman" w:hAnsi="Times New Roman" w:cs="Times New Roman" w:eastAsia="Times New Roman" w:hint="default"/>
                <w:sz w:val="18"/>
                <w:szCs w:val="18"/>
              </w:rPr>
            </w:pPr>
            <w:r>
              <w:rPr>
                <w:rFonts w:ascii="Times New Roman"/>
                <w:spacing w:val="-1"/>
                <w:sz w:val="18"/>
              </w:rPr>
              <w:t>3,991,163</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12.73%</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25,728,023</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21,468,442</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4,259,581</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20,496,394</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冼永辉</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5.40%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10,908,659</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8,181,494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2,727,165</w:t>
            </w:r>
          </w:p>
        </w:tc>
        <w:tc>
          <w:tcPr>
            <w:tcW w:w="8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张紧</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5.39%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10,894,285</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8,170,714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2,723,571</w:t>
            </w:r>
          </w:p>
        </w:tc>
        <w:tc>
          <w:tcPr>
            <w:tcW w:w="8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中国工商银行 股份有限公司</w:t>
            </w:r>
          </w:p>
          <w:p>
            <w:pPr>
              <w:pStyle w:val="TableParagraph"/>
              <w:spacing w:line="316" w:lineRule="auto" w:before="19"/>
              <w:ind w:left="24" w:right="84"/>
              <w:jc w:val="both"/>
              <w:rPr>
                <w:rFonts w:ascii="宋体" w:hAnsi="宋体" w:cs="宋体" w:eastAsia="宋体" w:hint="default"/>
                <w:sz w:val="18"/>
                <w:szCs w:val="18"/>
              </w:rPr>
            </w:pPr>
            <w:r>
              <w:rPr>
                <w:rFonts w:ascii="宋体" w:hAnsi="宋体" w:cs="宋体" w:eastAsia="宋体" w:hint="default"/>
                <w:sz w:val="18"/>
                <w:szCs w:val="18"/>
              </w:rPr>
              <w:t>－诺安成长混 合型证券投资 基金</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3.61%</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7,303,368</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7,303,368</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7,303,368</w:t>
            </w:r>
          </w:p>
        </w:tc>
        <w:tc>
          <w:tcPr>
            <w:tcW w:w="8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王孝安</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3.45%</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6,975,152</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6,975,152</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6,975,152</w:t>
            </w:r>
          </w:p>
        </w:tc>
        <w:tc>
          <w:tcPr>
            <w:tcW w:w="8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中央汇金资产 管理有限责任 公司</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 w:right="0"/>
              <w:jc w:val="center"/>
              <w:rPr>
                <w:rFonts w:ascii="宋体" w:hAnsi="宋体" w:cs="宋体" w:eastAsia="宋体" w:hint="default"/>
                <w:sz w:val="18"/>
                <w:szCs w:val="18"/>
              </w:rPr>
            </w:pPr>
            <w:r>
              <w:rPr>
                <w:rFonts w:ascii="宋体" w:hAnsi="宋体" w:cs="宋体" w:eastAsia="宋体" w:hint="default"/>
                <w:sz w:val="18"/>
                <w:szCs w:val="18"/>
              </w:rPr>
              <w:t>国有法人</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1.71%</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3,461,080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3,461,080</w:t>
            </w:r>
          </w:p>
        </w:tc>
        <w:tc>
          <w:tcPr>
            <w:tcW w:w="8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许志鹏</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1.59%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3,218,575</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2,413,931</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804,644</w:t>
            </w:r>
          </w:p>
        </w:tc>
        <w:tc>
          <w:tcPr>
            <w:tcW w:w="8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晏晓京</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1.28%</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2,588,972</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-862,989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2,588,972</w:t>
            </w:r>
          </w:p>
        </w:tc>
        <w:tc>
          <w:tcPr>
            <w:tcW w:w="8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姜君</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1.23%</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2,482,589</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-750,907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2,462,622</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19,967</w:t>
            </w:r>
          </w:p>
        </w:tc>
        <w:tc>
          <w:tcPr>
            <w:tcW w:w="8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5"/>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pacing w:val="-12"/>
                <w:sz w:val="18"/>
                <w:szCs w:val="18"/>
              </w:rPr>
              <w:t>名股东的情况（如</w:t>
            </w:r>
            <w:r>
              <w:rPr>
                <w:rFonts w:ascii="宋体" w:hAnsi="宋体" w:cs="宋体" w:eastAsia="宋体" w:hint="default"/>
                <w:sz w:val="18"/>
                <w:szCs w:val="18"/>
              </w:rPr>
              <w:t> </w:t>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169"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6" w:hRule="exact"/>
        </w:trPr>
        <w:tc>
          <w:tcPr>
            <w:tcW w:w="2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69" w:type="dxa"/>
            <w:gridSpan w:val="7"/>
            <w:tcBorders>
              <w:top w:val="single" w:sz="4" w:space="0" w:color="000000"/>
              <w:left w:val="single" w:sz="10" w:space="0" w:color="D2D2D2"/>
              <w:bottom w:val="single" w:sz="4" w:space="0" w:color="000000"/>
              <w:right w:val="single" w:sz="4" w:space="0" w:color="000000"/>
            </w:tcBorders>
          </w:tcPr>
          <w:p>
            <w:pPr>
              <w:pStyle w:val="TableParagraph"/>
              <w:spacing w:line="319" w:lineRule="auto" w:before="49"/>
              <w:ind w:left="10" w:right="23"/>
              <w:jc w:val="left"/>
              <w:rPr>
                <w:rFonts w:ascii="宋体" w:hAnsi="宋体" w:cs="宋体" w:eastAsia="宋体" w:hint="default"/>
                <w:sz w:val="18"/>
                <w:szCs w:val="18"/>
              </w:rPr>
            </w:pPr>
            <w:r>
              <w:rPr>
                <w:rFonts w:ascii="宋体" w:hAnsi="宋体" w:cs="宋体" w:eastAsia="宋体" w:hint="default"/>
                <w:spacing w:val="-3"/>
                <w:sz w:val="18"/>
                <w:szCs w:val="18"/>
              </w:rPr>
              <w:t>公司股东刘强先生和李杰先生为一致行动人；除此之外，公司未知其他股东是否存在关联关</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系或属于《上市公司股东持股变动信息披露管理办法》规定的一致行动人。</w:t>
            </w:r>
          </w:p>
        </w:tc>
      </w:tr>
      <w:tr>
        <w:trPr>
          <w:trHeight w:val="401" w:hRule="exact"/>
        </w:trPr>
        <w:tc>
          <w:tcPr>
            <w:tcW w:w="9727"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552"/>
        <w:gridCol w:w="4681"/>
        <w:gridCol w:w="1433"/>
        <w:gridCol w:w="1061"/>
      </w:tblGrid>
      <w:tr>
        <w:trPr>
          <w:trHeight w:val="402" w:hRule="exact"/>
        </w:trPr>
        <w:tc>
          <w:tcPr>
            <w:tcW w:w="25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6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84"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4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552" w:type="dxa"/>
            <w:vMerge/>
            <w:tcBorders>
              <w:left w:val="single" w:sz="4" w:space="0" w:color="000000"/>
              <w:bottom w:val="single" w:sz="4" w:space="0" w:color="000000"/>
              <w:right w:val="single" w:sz="4" w:space="0" w:color="000000"/>
            </w:tcBorders>
            <w:shd w:val="clear" w:color="auto" w:fill="D2D2D2"/>
          </w:tcPr>
          <w:p>
            <w:pPr/>
          </w:p>
        </w:tc>
        <w:tc>
          <w:tcPr>
            <w:tcW w:w="4681" w:type="dxa"/>
            <w:vMerge/>
            <w:tcBorders>
              <w:left w:val="single" w:sz="4" w:space="0" w:color="000000"/>
              <w:bottom w:val="single" w:sz="4" w:space="0" w:color="000000"/>
              <w:right w:val="single" w:sz="4" w:space="0" w:color="000000"/>
            </w:tcBorders>
            <w:shd w:val="clear" w:color="auto" w:fill="D2D2D2"/>
          </w:tcPr>
          <w:p>
            <w:pP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刘强</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10,118,886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10,118,886</w:t>
            </w:r>
          </w:p>
        </w:tc>
      </w:tr>
      <w:tr>
        <w:trPr>
          <w:trHeight w:val="715"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7"/>
              <w:jc w:val="left"/>
              <w:rPr>
                <w:rFonts w:ascii="宋体" w:hAnsi="宋体" w:cs="宋体" w:eastAsia="宋体" w:hint="default"/>
                <w:sz w:val="18"/>
                <w:szCs w:val="18"/>
              </w:rPr>
            </w:pPr>
            <w:r>
              <w:rPr>
                <w:rFonts w:ascii="宋体" w:hAnsi="宋体" w:cs="宋体" w:eastAsia="宋体" w:hint="default"/>
                <w:sz w:val="18"/>
                <w:szCs w:val="18"/>
              </w:rPr>
              <w:t>中国工商银行股份有限公司－ 诺安成长混合型证券投资基金</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7,303,368</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7,303,368</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王孝安</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6,975,152</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6,975,152</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4,259,581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4,259,581</w:t>
            </w:r>
          </w:p>
        </w:tc>
      </w:tr>
      <w:tr>
        <w:trPr>
          <w:trHeight w:val="71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7"/>
              <w:jc w:val="left"/>
              <w:rPr>
                <w:rFonts w:ascii="宋体" w:hAnsi="宋体" w:cs="宋体" w:eastAsia="宋体" w:hint="default"/>
                <w:sz w:val="18"/>
                <w:szCs w:val="18"/>
              </w:rPr>
            </w:pPr>
            <w:r>
              <w:rPr>
                <w:rFonts w:ascii="宋体" w:hAnsi="宋体" w:cs="宋体" w:eastAsia="宋体" w:hint="default"/>
                <w:sz w:val="18"/>
                <w:szCs w:val="18"/>
              </w:rPr>
              <w:t>中央汇金资产管理有限责任公 司</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3,461,080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3,461,080</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冼永辉</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2,727,165</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2,727,165</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张紧</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2,723,571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2,723,571</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晏晓京</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2,588,972</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2,588,972</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刘飞</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2,336,575</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2,336,575</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全国社保基金六零二组合</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1,948,772</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1,948,772</w:t>
            </w:r>
          </w:p>
        </w:tc>
      </w:tr>
      <w:tr>
        <w:trPr>
          <w:trHeight w:val="1337" w:hRule="exact"/>
        </w:trPr>
        <w:tc>
          <w:tcPr>
            <w:tcW w:w="255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名无限售流通股股东之间</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w:t>
            </w:r>
          </w:p>
          <w:p>
            <w:pPr>
              <w:pStyle w:val="TableParagraph"/>
              <w:spacing w:line="300" w:lineRule="auto" w:before="63"/>
              <w:ind w:left="24" w:right="69"/>
              <w:jc w:val="left"/>
              <w:rPr>
                <w:rFonts w:ascii="宋体" w:hAnsi="宋体" w:cs="宋体" w:eastAsia="宋体" w:hint="default"/>
                <w:sz w:val="18"/>
                <w:szCs w:val="18"/>
              </w:rPr>
            </w:pPr>
            <w:r>
              <w:rPr>
                <w:rFonts w:ascii="宋体" w:hAnsi="宋体" w:cs="宋体" w:eastAsia="宋体" w:hint="default"/>
                <w:sz w:val="18"/>
                <w:szCs w:val="18"/>
              </w:rPr>
              <w:t>和前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 一致行动的说明</w:t>
            </w:r>
          </w:p>
        </w:tc>
        <w:tc>
          <w:tcPr>
            <w:tcW w:w="7175" w:type="dxa"/>
            <w:gridSpan w:val="3"/>
            <w:tcBorders>
              <w:top w:val="single" w:sz="4" w:space="0" w:color="000000"/>
              <w:left w:val="single" w:sz="22" w:space="0" w:color="D2D2D2"/>
              <w:bottom w:val="single" w:sz="4" w:space="0" w:color="000000"/>
              <w:right w:val="single" w:sz="4" w:space="0" w:color="000000"/>
            </w:tcBorders>
          </w:tcPr>
          <w:p>
            <w:pPr>
              <w:pStyle w:val="TableParagraph"/>
              <w:spacing w:line="196" w:lineRule="exact" w:before="49"/>
              <w:ind w:left="-14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 w:right="0"/>
              <w:jc w:val="left"/>
              <w:rPr>
                <w:rFonts w:ascii="宋体" w:hAnsi="宋体" w:cs="宋体" w:eastAsia="宋体" w:hint="default"/>
                <w:sz w:val="18"/>
                <w:szCs w:val="18"/>
              </w:rPr>
            </w:pPr>
            <w:r>
              <w:rPr>
                <w:rFonts w:ascii="宋体" w:hAnsi="宋体" w:cs="宋体" w:eastAsia="宋体" w:hint="default"/>
                <w:sz w:val="18"/>
                <w:szCs w:val="18"/>
              </w:rPr>
              <w:t>公司股东刘强先生和李杰先生为一致行动人；刘强先生和刘飞先生为兄弟关系；除此之外</w:t>
            </w:r>
          </w:p>
          <w:p>
            <w:pPr>
              <w:pStyle w:val="TableParagraph"/>
              <w:spacing w:line="316" w:lineRule="auto" w:before="76"/>
              <w:ind w:left="1" w:right="21"/>
              <w:jc w:val="left"/>
              <w:rPr>
                <w:rFonts w:ascii="宋体" w:hAnsi="宋体" w:cs="宋体" w:eastAsia="宋体" w:hint="default"/>
                <w:sz w:val="18"/>
                <w:szCs w:val="18"/>
              </w:rPr>
            </w:pPr>
            <w:r>
              <w:rPr>
                <w:rFonts w:ascii="宋体" w:hAnsi="宋体" w:cs="宋体" w:eastAsia="宋体" w:hint="default"/>
                <w:spacing w:val="-3"/>
                <w:sz w:val="18"/>
                <w:szCs w:val="18"/>
              </w:rPr>
              <w:t>公司未知其他股东是否存在关联关系或属于《上市公司股东持股变动信息披露管理办法》规</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定的一致行动人。</w:t>
            </w:r>
          </w:p>
        </w:tc>
      </w:tr>
      <w:tr>
        <w:trPr>
          <w:trHeight w:val="715"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77"/>
              <w:jc w:val="left"/>
              <w:rPr>
                <w:rFonts w:ascii="宋体" w:hAnsi="宋体" w:cs="宋体" w:eastAsia="宋体" w:hint="default"/>
                <w:sz w:val="18"/>
                <w:szCs w:val="18"/>
              </w:rPr>
            </w:pPr>
            <w:r>
              <w:rPr>
                <w:rFonts w:ascii="宋体" w:hAnsi="宋体" w:cs="宋体" w:eastAsia="宋体" w:hint="default"/>
                <w:sz w:val="18"/>
                <w:szCs w:val="18"/>
              </w:rPr>
              <w:t>参与融资融券业务股东情况说 </w:t>
            </w:r>
            <w:r>
              <w:rPr>
                <w:rFonts w:ascii="宋体" w:hAnsi="宋体" w:cs="宋体" w:eastAsia="宋体" w:hint="default"/>
                <w:spacing w:val="-11"/>
                <w:sz w:val="18"/>
                <w:szCs w:val="18"/>
              </w:rPr>
              <w:t>明（如有）（参见注</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175"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133"/>
        <w:jc w:val="left"/>
      </w:pPr>
      <w:r>
        <w:rPr/>
        <w:pict>
          <v:group style="position:absolute;margin-left:184.580002pt;margin-top:-102.618279pt;width:361.1pt;height:25.45pt;mso-position-horizontal-relative:page;mso-position-vertical-relative:paragraph;z-index:-1611928" coordorigin="3692,-2052" coordsize="7222,509">
            <v:group style="position:absolute;left:3692;top:-2052;width:7163;height:156" coordorigin="3692,-2052" coordsize="7163,156">
              <v:shape style="position:absolute;left:3692;top:-2052;width:7163;height:156" coordorigin="3692,-2052" coordsize="7163,156" path="m3692,-1896l10855,-1896,10855,-2052,3692,-2052,3692,-1896xe" filled="true" fillcolor="#ffffff" stroked="false">
                <v:path arrowok="t"/>
                <v:fill type="solid"/>
              </v:shape>
            </v:group>
            <v:group style="position:absolute;left:3713;top:-1896;width:7120;height:353" coordorigin="3713,-1896" coordsize="7120,353">
              <v:shape style="position:absolute;left:3713;top:-1896;width:7120;height:353" coordorigin="3713,-1896" coordsize="7120,353" path="m3713,-1544l10833,-1544,10833,-1896,3713,-1896,3713,-1544xe" filled="true" fillcolor="#ffffff" stroked="false">
                <v:path arrowok="t"/>
                <v:fill type="solid"/>
              </v:shape>
              <v:shape style="position:absolute;left:10733;top:-1792;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594"/>
        <w:jc w:val="left"/>
      </w:pPr>
      <w:r>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9"/>
        <w:gridCol w:w="2031"/>
        <w:gridCol w:w="4119"/>
      </w:tblGrid>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刘强</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李杰</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0"/>
              <w:jc w:val="left"/>
              <w:rPr>
                <w:rFonts w:ascii="宋体" w:hAnsi="宋体" w:cs="宋体" w:eastAsia="宋体" w:hint="default"/>
                <w:sz w:val="18"/>
                <w:szCs w:val="18"/>
              </w:rPr>
            </w:pPr>
            <w:r>
              <w:rPr>
                <w:rFonts w:ascii="宋体" w:hAnsi="宋体" w:cs="宋体" w:eastAsia="宋体" w:hint="default"/>
                <w:spacing w:val="-1"/>
                <w:sz w:val="18"/>
                <w:szCs w:val="18"/>
              </w:rPr>
              <w:t>刘强任公司董事长、总经理；李杰任公司董事、北京庚顿数据科技有限公司董</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事、北京华如科技股份有限公司董事长。</w:t>
            </w:r>
          </w:p>
        </w:tc>
      </w:tr>
      <w:tr>
        <w:trPr>
          <w:trHeight w:val="715"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70"/>
        <w:ind w:right="1133"/>
        <w:jc w:val="left"/>
      </w:pPr>
      <w:r>
        <w:rPr/>
        <w:t>控股股东报告期内变更</w:t>
      </w:r>
    </w:p>
    <w:p>
      <w:pPr>
        <w:pStyle w:val="BodyText"/>
        <w:spacing w:line="340" w:lineRule="auto" w:before="115"/>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after="0" w:line="3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414"/>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刘强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李杰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3"/>
                <w:sz w:val="18"/>
                <w:szCs w:val="18"/>
              </w:rPr>
              <w:t>刘强任公司董事长、总经理；李杰任公司董事、北京庚顿数据科技有限公司董事、北京华如</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科技股份有限公司董事长。</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70"/>
        <w:ind w:right="1133"/>
        <w:jc w:val="left"/>
      </w:pPr>
      <w:r>
        <w:rPr/>
        <w:t>实际控制人报告期内变更</w:t>
      </w:r>
    </w:p>
    <w:p>
      <w:pPr>
        <w:pStyle w:val="BodyText"/>
        <w:spacing w:line="348"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1"/>
        <w:rPr>
          <w:rFonts w:ascii="宋体" w:hAnsi="宋体" w:cs="宋体" w:eastAsia="宋体" w:hint="default"/>
          <w:sz w:val="17"/>
          <w:szCs w:val="17"/>
        </w:rPr>
      </w:pPr>
    </w:p>
    <w:p>
      <w:pPr>
        <w:spacing w:line="4605" w:lineRule="exact"/>
        <w:ind w:left="1355" w:right="0" w:firstLine="0"/>
        <w:rPr>
          <w:rFonts w:ascii="宋体" w:hAnsi="宋体" w:cs="宋体" w:eastAsia="宋体" w:hint="default"/>
          <w:sz w:val="20"/>
          <w:szCs w:val="20"/>
        </w:rPr>
      </w:pPr>
      <w:r>
        <w:rPr>
          <w:rFonts w:ascii="宋体" w:hAnsi="宋体" w:cs="宋体" w:eastAsia="宋体" w:hint="default"/>
          <w:position w:val="-91"/>
          <w:sz w:val="20"/>
          <w:szCs w:val="20"/>
        </w:rPr>
        <w:drawing>
          <wp:inline distT="0" distB="0" distL="0" distR="0">
            <wp:extent cx="4590599" cy="292417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7" cstate="print"/>
                    <a:stretch>
                      <a:fillRect/>
                    </a:stretch>
                  </pic:blipFill>
                  <pic:spPr>
                    <a:xfrm>
                      <a:off x="0" y="0"/>
                      <a:ext cx="4590599" cy="2924175"/>
                    </a:xfrm>
                    <a:prstGeom prst="rect">
                      <a:avLst/>
                    </a:prstGeom>
                  </pic:spPr>
                </pic:pic>
              </a:graphicData>
            </a:graphic>
          </wp:inline>
        </w:drawing>
      </w:r>
      <w:r>
        <w:rPr>
          <w:rFonts w:ascii="宋体" w:hAnsi="宋体" w:cs="宋体" w:eastAsia="宋体" w:hint="default"/>
          <w:position w:val="-91"/>
          <w:sz w:val="20"/>
          <w:szCs w:val="20"/>
        </w:rPr>
      </w:r>
    </w:p>
    <w:p>
      <w:pPr>
        <w:spacing w:line="240" w:lineRule="auto" w:before="6"/>
        <w:rPr>
          <w:rFonts w:ascii="宋体" w:hAnsi="宋体" w:cs="宋体" w:eastAsia="宋体" w:hint="default"/>
          <w:sz w:val="15"/>
          <w:szCs w:val="15"/>
        </w:rPr>
      </w:pPr>
    </w:p>
    <w:p>
      <w:pPr>
        <w:spacing w:before="0"/>
        <w:ind w:left="152" w:right="1133"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8"/>
        <w:rPr>
          <w:rFonts w:ascii="宋体" w:hAnsi="宋体" w:cs="宋体" w:eastAsia="宋体" w:hint="default"/>
          <w:sz w:val="18"/>
          <w:szCs w:val="18"/>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365" w:right="1133"/>
        <w:jc w:val="left"/>
        <w:rPr>
          <w:b w:val="0"/>
          <w:bCs w:val="0"/>
        </w:rPr>
      </w:pPr>
      <w:bookmarkStart w:name="_bookmark6" w:id="7"/>
      <w:bookmarkEnd w:id="7"/>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2723" w:right="1133"/>
        <w:jc w:val="left"/>
        <w:rPr>
          <w:b w:val="0"/>
          <w:bCs w:val="0"/>
        </w:rPr>
      </w:pPr>
      <w:bookmarkStart w:name="_bookmark7" w:id="8"/>
      <w:bookmarkEnd w:id="8"/>
      <w:r>
        <w:rPr>
          <w:b w:val="0"/>
          <w:bCs w:val="0"/>
        </w:rPr>
      </w:r>
      <w:r>
        <w:rPr/>
        <w:t>第八节可转换公司债券相关情况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报告期公司不存在可转换公司债券。</w:t>
      </w:r>
    </w:p>
    <w:p>
      <w:pPr>
        <w:spacing w:after="0" w:line="338"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1758" w:right="1133"/>
        <w:jc w:val="left"/>
        <w:rPr>
          <w:b w:val="0"/>
          <w:bCs w:val="0"/>
        </w:rPr>
      </w:pPr>
      <w:bookmarkStart w:name="_bookmark8" w:id="9"/>
      <w:bookmarkEnd w:id="9"/>
      <w:r>
        <w:rPr>
          <w:b w:val="0"/>
          <w:bCs w:val="0"/>
        </w:rPr>
      </w:r>
      <w:r>
        <w:rPr/>
        <w:t>第九节董事、监事、高级管理人员和员工情况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1044"/>
        <w:gridCol w:w="797"/>
        <w:gridCol w:w="586"/>
        <w:gridCol w:w="566"/>
        <w:gridCol w:w="850"/>
        <w:gridCol w:w="850"/>
        <w:gridCol w:w="941"/>
        <w:gridCol w:w="797"/>
        <w:gridCol w:w="800"/>
        <w:gridCol w:w="797"/>
        <w:gridCol w:w="1008"/>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8"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9" w:right="5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0" w:right="5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5" w:right="91" w:firstLine="1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4"/>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31"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7"/>
                <w:sz w:val="18"/>
                <w:szCs w:val="18"/>
              </w:rPr>
              <w:t>变动（股</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left="-12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80"/>
                <w:sz w:val="18"/>
                <w:szCs w:val="18"/>
              </w:rPr>
              <w:t> </w:t>
            </w:r>
            <w:r>
              <w:rPr>
                <w:rFonts w:ascii="宋体" w:hAnsi="宋体" w:cs="宋体" w:eastAsia="宋体" w:hint="default"/>
                <w:sz w:val="18"/>
                <w:szCs w:val="18"/>
              </w:rPr>
              <w:t>（股）</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刘强</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董事长、总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40,475,544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40,475,544</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李杰</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25,728,023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25,728,023</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张紧</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董事、副总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10,894,285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10,894,285</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冼永辉</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董事、副总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10,908,659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10,908,659</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梁云凤</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王艳辉</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张燕祥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1,157,131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1,157,131</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许志鹏</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3,218,575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3,218,575</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周悦</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张敏</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副总经理、 董事会秘书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1,461,363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1,461,363</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周生雷</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叶飞</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副总经理、 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26,036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37,194</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黄磊</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刘将</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480</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93,854,738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26,996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93,881,734</w:t>
            </w:r>
          </w:p>
        </w:tc>
      </w:tr>
    </w:tbl>
    <w:p>
      <w:pPr>
        <w:spacing w:after="0" w:line="240" w:lineRule="auto"/>
        <w:jc w:val="right"/>
        <w:rPr>
          <w:rFonts w:ascii="Times New Roman" w:hAnsi="Times New Roman" w:cs="Times New Roman" w:eastAsia="Times New Roman" w:hint="default"/>
          <w:sz w:val="18"/>
          <w:szCs w:val="18"/>
        </w:rPr>
        <w:sectPr>
          <w:footerReference w:type="default" r:id="rId18"/>
          <w:pgSz w:w="11910" w:h="16840"/>
          <w:pgMar w:footer="979" w:header="877" w:top="1100" w:bottom="1160" w:left="980" w:right="0"/>
        </w:sectPr>
      </w:pPr>
    </w:p>
    <w:p>
      <w:pPr>
        <w:spacing w:line="240" w:lineRule="auto" w:before="10"/>
        <w:rPr>
          <w:rFonts w:ascii="宋体" w:hAnsi="宋体" w:cs="宋体" w:eastAsia="宋体" w:hint="default"/>
          <w:b/>
          <w:bCs/>
          <w:sz w:val="19"/>
          <w:szCs w:val="19"/>
        </w:rPr>
      </w:pPr>
    </w:p>
    <w:p>
      <w:pPr>
        <w:pStyle w:val="Heading2"/>
        <w:spacing w:line="240" w:lineRule="auto" w:before="26"/>
        <w:ind w:right="0"/>
        <w:jc w:val="both"/>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公司现任董事、监事、高级管理人员专业背景、主要工作经历以及目前在公司的主要职责</w:t>
      </w:r>
    </w:p>
    <w:p>
      <w:pPr>
        <w:pStyle w:val="BodyText"/>
        <w:spacing w:line="300" w:lineRule="auto" w:before="117"/>
        <w:ind w:left="513" w:right="1118"/>
        <w:jc w:val="left"/>
        <w:rPr>
          <w:rFonts w:ascii="Times New Roman" w:hAnsi="Times New Roman" w:cs="Times New Roman" w:eastAsia="Times New Roman" w:hint="default"/>
        </w:rPr>
      </w:pPr>
      <w:r>
        <w:rPr>
          <w:rFonts w:ascii="Times New Roman" w:hAnsi="Times New Roman" w:cs="Times New Roman" w:eastAsia="Times New Roman" w:hint="default"/>
          <w:b/>
          <w:bCs/>
        </w:rPr>
        <w:t>1</w:t>
      </w:r>
      <w:r>
        <w:rPr>
          <w:rFonts w:ascii="宋体" w:hAnsi="宋体" w:cs="宋体" w:eastAsia="宋体" w:hint="default"/>
          <w:b/>
          <w:bCs/>
        </w:rPr>
        <w:t>、董事</w:t>
      </w:r>
      <w:r>
        <w:rPr>
          <w:rFonts w:ascii="宋体" w:hAnsi="宋体" w:cs="宋体" w:eastAsia="宋体" w:hint="default"/>
          <w:b/>
          <w:bCs/>
          <w:w w:val="99"/>
        </w:rPr>
        <w:t> </w:t>
      </w:r>
      <w:r>
        <w:rPr>
          <w:spacing w:val="-2"/>
        </w:rPr>
        <w:t>刘强，男，公司董事长、总经理，中国国籍，无境外永久居留权。刘强先生出生于</w:t>
      </w:r>
      <w:r>
        <w:rPr>
          <w:rFonts w:ascii="Times New Roman" w:hAnsi="Times New Roman" w:cs="Times New Roman" w:eastAsia="Times New Roman" w:hint="default"/>
          <w:spacing w:val="-2"/>
        </w:rPr>
        <w:t>1969</w:t>
      </w:r>
      <w:r>
        <w:rPr>
          <w:spacing w:val="-2"/>
        </w:rPr>
        <w:t>年，博士学位。刘强先生自</w:t>
      </w:r>
      <w:r>
        <w:rPr>
          <w:rFonts w:ascii="Times New Roman" w:hAnsi="Times New Roman" w:cs="Times New Roman" w:eastAsia="Times New Roman" w:hint="default"/>
          <w:spacing w:val="-2"/>
        </w:rPr>
        <w:t>2005</w:t>
      </w:r>
    </w:p>
    <w:p>
      <w:pPr>
        <w:pStyle w:val="BodyText"/>
        <w:spacing w:line="312" w:lineRule="auto" w:before="13"/>
        <w:ind w:right="1131"/>
        <w:jc w:val="both"/>
      </w:pPr>
      <w:r>
        <w:rPr>
          <w:spacing w:val="-2"/>
        </w:rPr>
        <w:t>年至</w:t>
      </w:r>
      <w:r>
        <w:rPr>
          <w:rFonts w:ascii="Times New Roman" w:hAnsi="Times New Roman" w:cs="Times New Roman" w:eastAsia="Times New Roman" w:hint="default"/>
          <w:spacing w:val="-2"/>
        </w:rPr>
        <w:t>2009</w:t>
      </w:r>
      <w:r>
        <w:rPr>
          <w:spacing w:val="-2"/>
        </w:rPr>
        <w:t>年任北京君正集成电路有限公司董事长，领导研发了嵌入式</w:t>
      </w:r>
      <w:r>
        <w:rPr>
          <w:rFonts w:ascii="Times New Roman" w:hAnsi="Times New Roman" w:cs="Times New Roman" w:eastAsia="Times New Roman" w:hint="default"/>
          <w:spacing w:val="-2"/>
        </w:rPr>
        <w:t>XBurstCPU</w:t>
      </w:r>
      <w:r>
        <w:rPr>
          <w:spacing w:val="-2"/>
        </w:rPr>
        <w:t>，现任公司董事长、总经理，深圳君正时代</w:t>
      </w:r>
      <w:r>
        <w:rPr>
          <w:spacing w:val="-33"/>
        </w:rPr>
        <w:t> </w:t>
      </w:r>
      <w:r>
        <w:rPr>
          <w:spacing w:val="-33"/>
        </w:rPr>
      </w:r>
      <w:r>
        <w:rPr>
          <w:spacing w:val="-2"/>
        </w:rPr>
        <w:t>集成电路有限公司执行董事，北京君正集成电路（香港）集团有限公司董事，合肥君正科技有限公司执行董事，北京集成电</w:t>
      </w:r>
      <w:r>
        <w:rPr>
          <w:spacing w:val="-67"/>
        </w:rPr>
        <w:t> </w:t>
      </w:r>
      <w:r>
        <w:rPr>
          <w:spacing w:val="-67"/>
        </w:rPr>
      </w:r>
      <w:r>
        <w:rPr>
          <w:spacing w:val="-2"/>
        </w:rPr>
        <w:t>路产业发展股权投资基金有限公司董事，拉萨君品创业投资有限公司执行董事、经理，北京四海君芯有限公司执行董事、经</w:t>
      </w:r>
      <w:r>
        <w:rPr>
          <w:spacing w:val="-66"/>
        </w:rPr>
        <w:t> </w:t>
      </w:r>
      <w:r>
        <w:rPr>
          <w:spacing w:val="-66"/>
        </w:rPr>
      </w:r>
      <w:r>
        <w:rPr/>
        <w:t>理，合肥君诺志成集成电路投资有限公司执行董事、经理。</w:t>
      </w:r>
    </w:p>
    <w:p>
      <w:pPr>
        <w:pStyle w:val="BodyText"/>
        <w:spacing w:line="309" w:lineRule="auto" w:before="22"/>
        <w:ind w:right="986" w:firstLine="360"/>
        <w:jc w:val="left"/>
      </w:pPr>
      <w:r>
        <w:rPr>
          <w:spacing w:val="-2"/>
        </w:rPr>
        <w:t>李杰，男，公司董事，中国国籍，无境外永久居留权。李杰先生出生于</w:t>
      </w:r>
      <w:r>
        <w:rPr>
          <w:rFonts w:ascii="Times New Roman" w:hAnsi="Times New Roman" w:cs="Times New Roman" w:eastAsia="Times New Roman" w:hint="default"/>
          <w:spacing w:val="-2"/>
        </w:rPr>
        <w:t>1963</w:t>
      </w:r>
      <w:r>
        <w:rPr>
          <w:spacing w:val="-2"/>
        </w:rPr>
        <w:t>年，硕士学位。李杰先生曾在中科院计算所</w:t>
      </w:r>
      <w:r>
        <w:rPr/>
        <w:t> </w:t>
      </w:r>
      <w:r>
        <w:rPr>
          <w:spacing w:val="-4"/>
        </w:rPr>
        <w:t>任职，从事大型机的研制工作，曾任北京庚顿数据科技有限公司执行董事，现任公司董事，北京庚顿数据科技有限公司董事，</w:t>
      </w:r>
      <w:r>
        <w:rPr>
          <w:spacing w:val="-46"/>
        </w:rPr>
        <w:t> </w:t>
      </w:r>
      <w:r>
        <w:rPr>
          <w:spacing w:val="-46"/>
        </w:rPr>
      </w:r>
      <w:r>
        <w:rPr/>
        <w:t>北京华如科技股份有限公司董事长。</w:t>
      </w:r>
    </w:p>
    <w:p>
      <w:pPr>
        <w:pStyle w:val="BodyText"/>
        <w:spacing w:line="300" w:lineRule="auto" w:before="24"/>
        <w:ind w:right="1132" w:firstLine="360"/>
        <w:jc w:val="both"/>
      </w:pPr>
      <w:r>
        <w:rPr>
          <w:spacing w:val="-2"/>
        </w:rPr>
        <w:t>张紧，男，公司董事、副总经理，中国国籍，无境外永久居留权。张紧先生出生于</w:t>
      </w:r>
      <w:r>
        <w:rPr>
          <w:rFonts w:ascii="Times New Roman" w:hAnsi="Times New Roman" w:cs="Times New Roman" w:eastAsia="Times New Roman" w:hint="default"/>
          <w:spacing w:val="-2"/>
        </w:rPr>
        <w:t>1962</w:t>
      </w:r>
      <w:r>
        <w:rPr>
          <w:spacing w:val="-2"/>
        </w:rPr>
        <w:t>年，硕士学位。张紧先生自</w:t>
      </w:r>
      <w:r>
        <w:rPr>
          <w:rFonts w:ascii="Times New Roman" w:hAnsi="Times New Roman" w:cs="Times New Roman" w:eastAsia="Times New Roman" w:hint="default"/>
          <w:spacing w:val="-2"/>
        </w:rPr>
        <w:t>2005</w:t>
      </w:r>
      <w:r>
        <w:rPr>
          <w:rFonts w:ascii="Times New Roman" w:hAnsi="Times New Roman" w:cs="Times New Roman" w:eastAsia="Times New Roman" w:hint="default"/>
        </w:rPr>
        <w:t> </w:t>
      </w:r>
      <w:r>
        <w:rPr>
          <w:spacing w:val="-2"/>
        </w:rPr>
        <w:t>年至</w:t>
      </w:r>
      <w:r>
        <w:rPr>
          <w:rFonts w:ascii="Times New Roman" w:hAnsi="Times New Roman" w:cs="Times New Roman" w:eastAsia="Times New Roman" w:hint="default"/>
          <w:spacing w:val="-2"/>
        </w:rPr>
        <w:t>2009</w:t>
      </w:r>
      <w:r>
        <w:rPr>
          <w:spacing w:val="-2"/>
        </w:rPr>
        <w:t>年任北京君正集成电路有限公司董事、副总经理、技术总监，现任公司董事、副总经理，合肥君正科技有限公司总</w:t>
      </w:r>
      <w:r>
        <w:rPr>
          <w:spacing w:val="-65"/>
        </w:rPr>
        <w:t> </w:t>
      </w:r>
      <w:r>
        <w:rPr>
          <w:spacing w:val="-65"/>
        </w:rPr>
      </w:r>
      <w:r>
        <w:rPr/>
        <w:t>经理。张紧先生精通芯片的体系结构、微体系结构和逻辑电路，领导了公司多个嵌入式</w:t>
      </w:r>
      <w:r>
        <w:rPr>
          <w:rFonts w:ascii="Times New Roman" w:hAnsi="Times New Roman" w:cs="Times New Roman" w:eastAsia="Times New Roman" w:hint="default"/>
        </w:rPr>
        <w:t>CPU</w:t>
      </w:r>
      <w:r>
        <w:rPr/>
        <w:t>芯片研发项目。</w:t>
      </w:r>
    </w:p>
    <w:p>
      <w:pPr>
        <w:pStyle w:val="BodyText"/>
        <w:spacing w:line="300" w:lineRule="auto" w:before="13"/>
        <w:ind w:right="1131" w:firstLine="360"/>
        <w:jc w:val="both"/>
      </w:pPr>
      <w:r>
        <w:rPr>
          <w:spacing w:val="-2"/>
        </w:rPr>
        <w:t>冼永辉，男，公司董事、副总经理，中国国籍，无境外永久居留权。冼永辉先生出生于</w:t>
      </w:r>
      <w:r>
        <w:rPr>
          <w:rFonts w:ascii="Times New Roman" w:hAnsi="Times New Roman" w:cs="Times New Roman" w:eastAsia="Times New Roman" w:hint="default"/>
          <w:spacing w:val="-2"/>
        </w:rPr>
        <w:t>1968</w:t>
      </w:r>
      <w:r>
        <w:rPr>
          <w:spacing w:val="-2"/>
        </w:rPr>
        <w:t>年，学士学位。冼永辉先生</w:t>
      </w:r>
      <w:r>
        <w:rPr/>
        <w:t> </w:t>
      </w:r>
      <w:r>
        <w:rPr>
          <w:spacing w:val="-2"/>
        </w:rPr>
        <w:t>自</w:t>
      </w:r>
      <w:r>
        <w:rPr>
          <w:rFonts w:ascii="Times New Roman" w:hAnsi="Times New Roman" w:cs="Times New Roman" w:eastAsia="Times New Roman" w:hint="default"/>
          <w:spacing w:val="-2"/>
        </w:rPr>
        <w:t>2005</w:t>
      </w:r>
      <w:r>
        <w:rPr>
          <w:spacing w:val="-2"/>
        </w:rPr>
        <w:t>年至</w:t>
      </w:r>
      <w:r>
        <w:rPr>
          <w:rFonts w:ascii="Times New Roman" w:hAnsi="Times New Roman" w:cs="Times New Roman" w:eastAsia="Times New Roman" w:hint="default"/>
          <w:spacing w:val="-2"/>
        </w:rPr>
        <w:t>2009</w:t>
      </w:r>
      <w:r>
        <w:rPr>
          <w:spacing w:val="-2"/>
        </w:rPr>
        <w:t>年任北京君正集成电路有限公司副总经理，现任公司董事、副总经理。冼永辉先生负责公司的系统软硬件工</w:t>
      </w:r>
      <w:r>
        <w:rPr>
          <w:spacing w:val="-62"/>
        </w:rPr>
        <w:t> </w:t>
      </w:r>
      <w:r>
        <w:rPr>
          <w:spacing w:val="-62"/>
        </w:rPr>
      </w:r>
      <w:r>
        <w:rPr/>
        <w:t>作，是硬件电路、操作系统底层、中间件领域的专家，主持了公司</w:t>
      </w:r>
      <w:r>
        <w:rPr>
          <w:rFonts w:ascii="Times New Roman" w:hAnsi="Times New Roman" w:cs="Times New Roman" w:eastAsia="Times New Roman" w:hint="default"/>
        </w:rPr>
        <w:t>Linux</w:t>
      </w:r>
      <w:r>
        <w:rPr/>
        <w:t>、</w:t>
      </w:r>
      <w:r>
        <w:rPr>
          <w:rFonts w:ascii="Times New Roman" w:hAnsi="Times New Roman" w:cs="Times New Roman" w:eastAsia="Times New Roman" w:hint="default"/>
        </w:rPr>
        <w:t>Android</w:t>
      </w:r>
      <w:r>
        <w:rPr/>
        <w:t>平台及多个产品方案的研发项目。</w:t>
      </w:r>
    </w:p>
    <w:p>
      <w:pPr>
        <w:pStyle w:val="BodyText"/>
        <w:spacing w:line="300" w:lineRule="auto" w:before="13"/>
        <w:ind w:right="1131" w:firstLine="360"/>
        <w:jc w:val="both"/>
      </w:pPr>
      <w:r>
        <w:rPr>
          <w:spacing w:val="-2"/>
        </w:rPr>
        <w:t>梁云凤，女，公司独立董事，中国国籍，无境外永久居留权。梁云凤女士出生于</w:t>
      </w:r>
      <w:r>
        <w:rPr>
          <w:rFonts w:ascii="Times New Roman" w:hAnsi="Times New Roman" w:cs="Times New Roman" w:eastAsia="Times New Roman" w:hint="default"/>
          <w:spacing w:val="-2"/>
        </w:rPr>
        <w:t>1970</w:t>
      </w:r>
      <w:r>
        <w:rPr>
          <w:spacing w:val="-2"/>
        </w:rPr>
        <w:t>年，财政部财政科学研究所经济学</w:t>
      </w:r>
      <w:r>
        <w:rPr/>
        <w:t> </w:t>
      </w:r>
      <w:r>
        <w:rPr>
          <w:spacing w:val="-2"/>
        </w:rPr>
        <w:t>博士、国家发展改革委信息中心博士后站博士后、中国注册税务师、教授、博士生导师，现任国家智库</w:t>
      </w:r>
      <w:r>
        <w:rPr>
          <w:rFonts w:ascii="Times New Roman" w:hAnsi="Times New Roman" w:cs="Times New Roman" w:eastAsia="Times New Roman" w:hint="default"/>
          <w:spacing w:val="-2"/>
        </w:rPr>
        <w:t>——</w:t>
      </w:r>
      <w:r>
        <w:rPr>
          <w:spacing w:val="-2"/>
        </w:rPr>
        <w:t>中国国际经济交</w:t>
      </w:r>
      <w:r>
        <w:rPr>
          <w:spacing w:val="-64"/>
        </w:rPr>
        <w:t> </w:t>
      </w:r>
      <w:r>
        <w:rPr/>
        <w:t>流中心（国家发展改革委对外开放咨询中心）研究员。梁云凤女士自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8</w:t>
      </w:r>
      <w:r>
        <w:rPr/>
        <w:t>日起担任公司独立董事。</w:t>
      </w:r>
    </w:p>
    <w:p>
      <w:pPr>
        <w:pStyle w:val="BodyText"/>
        <w:spacing w:line="309" w:lineRule="auto" w:before="13"/>
        <w:ind w:right="1131" w:firstLine="360"/>
        <w:jc w:val="both"/>
      </w:pPr>
      <w:r>
        <w:rPr>
          <w:spacing w:val="-2"/>
        </w:rPr>
        <w:t>王艳辉，男，公司独立董事，中国国籍，无境外永久居留权。王艳辉先生出生于</w:t>
      </w:r>
      <w:r>
        <w:rPr>
          <w:rFonts w:ascii="Times New Roman" w:hAnsi="Times New Roman" w:cs="Times New Roman" w:eastAsia="Times New Roman" w:hint="default"/>
          <w:spacing w:val="-2"/>
        </w:rPr>
        <w:t>1967</w:t>
      </w:r>
      <w:r>
        <w:rPr>
          <w:spacing w:val="-2"/>
        </w:rPr>
        <w:t>年，博士学位。王艳辉先生现任上</w:t>
      </w:r>
      <w:r>
        <w:rPr/>
        <w:t> </w:t>
      </w:r>
      <w:r>
        <w:rPr>
          <w:spacing w:val="-2"/>
        </w:rPr>
        <w:t>海及微信息技术合伙企业（有限合伙）执行事务合伙人，厦门积微信息技术有限公司董事长，上海陆联信息技术有限公司董</w:t>
      </w:r>
      <w:r>
        <w:rPr>
          <w:spacing w:val="-64"/>
        </w:rPr>
        <w:t> </w:t>
      </w:r>
      <w:r>
        <w:rPr>
          <w:spacing w:val="-64"/>
        </w:rPr>
      </w:r>
      <w:r>
        <w:rPr/>
        <w:t>事长兼总经理，北京集微科技有限公司董事长。王艳辉先生自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日起担任公司独立董事。</w:t>
      </w:r>
    </w:p>
    <w:p>
      <w:pPr>
        <w:pStyle w:val="BodyText"/>
        <w:spacing w:line="300" w:lineRule="auto" w:before="5"/>
        <w:ind w:left="513" w:right="1118"/>
        <w:jc w:val="left"/>
        <w:rPr>
          <w:rFonts w:ascii="Times New Roman" w:hAnsi="Times New Roman" w:cs="Times New Roman" w:eastAsia="Times New Roman" w:hint="default"/>
        </w:rPr>
      </w:pPr>
      <w:r>
        <w:rPr>
          <w:rFonts w:ascii="Times New Roman" w:hAnsi="Times New Roman" w:cs="Times New Roman" w:eastAsia="Times New Roman" w:hint="default"/>
          <w:b/>
          <w:bCs/>
        </w:rPr>
        <w:t>2</w:t>
      </w:r>
      <w:r>
        <w:rPr>
          <w:rFonts w:ascii="宋体" w:hAnsi="宋体" w:cs="宋体" w:eastAsia="宋体" w:hint="default"/>
          <w:b/>
          <w:bCs/>
        </w:rPr>
        <w:t>、监事</w:t>
      </w:r>
      <w:r>
        <w:rPr>
          <w:rFonts w:ascii="宋体" w:hAnsi="宋体" w:cs="宋体" w:eastAsia="宋体" w:hint="default"/>
          <w:b/>
          <w:bCs/>
          <w:w w:val="99"/>
        </w:rPr>
        <w:t> </w:t>
      </w:r>
      <w:r>
        <w:rPr>
          <w:spacing w:val="-5"/>
        </w:rPr>
        <w:t>张燕祥，女，公司监事会主席，中国国籍，无境外永久居留权。张燕祥女士出生于</w:t>
      </w:r>
      <w:r>
        <w:rPr>
          <w:rFonts w:ascii="Times New Roman" w:hAnsi="Times New Roman" w:cs="Times New Roman" w:eastAsia="Times New Roman" w:hint="default"/>
          <w:spacing w:val="-5"/>
        </w:rPr>
        <w:t>1968</w:t>
      </w:r>
      <w:r>
        <w:rPr>
          <w:spacing w:val="-5"/>
        </w:rPr>
        <w:t>年，学士学位。张燕祥女士自</w:t>
      </w:r>
      <w:r>
        <w:rPr>
          <w:rFonts w:ascii="Times New Roman" w:hAnsi="Times New Roman" w:cs="Times New Roman" w:eastAsia="Times New Roman" w:hint="default"/>
          <w:spacing w:val="-5"/>
        </w:rPr>
        <w:t>2006</w:t>
      </w:r>
    </w:p>
    <w:p>
      <w:pPr>
        <w:pStyle w:val="BodyText"/>
        <w:spacing w:line="300" w:lineRule="auto" w:before="13"/>
        <w:ind w:right="1133"/>
        <w:jc w:val="left"/>
      </w:pPr>
      <w:r>
        <w:rPr>
          <w:spacing w:val="-2"/>
        </w:rPr>
        <w:t>年至</w:t>
      </w:r>
      <w:r>
        <w:rPr>
          <w:rFonts w:ascii="Times New Roman" w:hAnsi="Times New Roman" w:cs="Times New Roman" w:eastAsia="Times New Roman" w:hint="default"/>
          <w:spacing w:val="-2"/>
        </w:rPr>
        <w:t>2009</w:t>
      </w:r>
      <w:r>
        <w:rPr>
          <w:spacing w:val="-2"/>
        </w:rPr>
        <w:t>年任北京君正集成电路有限公司财务总监，</w:t>
      </w:r>
      <w:r>
        <w:rPr>
          <w:rFonts w:ascii="Times New Roman" w:hAnsi="Times New Roman" w:cs="Times New Roman" w:eastAsia="Times New Roman" w:hint="default"/>
          <w:spacing w:val="-2"/>
        </w:rPr>
        <w:t>2009</w:t>
      </w:r>
      <w:r>
        <w:rPr>
          <w:spacing w:val="-2"/>
        </w:rPr>
        <w:t>年至</w:t>
      </w:r>
      <w:r>
        <w:rPr>
          <w:rFonts w:ascii="Times New Roman" w:hAnsi="Times New Roman" w:cs="Times New Roman" w:eastAsia="Times New Roman" w:hint="default"/>
          <w:spacing w:val="-2"/>
        </w:rPr>
        <w:t>2015</w:t>
      </w:r>
      <w:r>
        <w:rPr>
          <w:spacing w:val="-2"/>
        </w:rPr>
        <w:t>年任公司副总经理，财务总监，</w:t>
      </w:r>
      <w:r>
        <w:rPr>
          <w:rFonts w:ascii="Times New Roman" w:hAnsi="Times New Roman" w:cs="Times New Roman" w:eastAsia="Times New Roman" w:hint="default"/>
          <w:spacing w:val="-2"/>
        </w:rPr>
        <w:t>2016</w:t>
      </w:r>
      <w:r>
        <w:rPr>
          <w:spacing w:val="-2"/>
        </w:rPr>
        <w:t>年至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月任公</w:t>
      </w:r>
      <w:r>
        <w:rPr>
          <w:spacing w:val="-50"/>
        </w:rPr>
        <w:t> </w:t>
      </w:r>
      <w:r>
        <w:rPr>
          <w:spacing w:val="-50"/>
        </w:rPr>
      </w:r>
      <w:r>
        <w:rPr/>
        <w:t>司副总经理，现任公司监事会主席。</w:t>
      </w:r>
    </w:p>
    <w:p>
      <w:pPr>
        <w:pStyle w:val="BodyText"/>
        <w:spacing w:line="300" w:lineRule="auto" w:before="31"/>
        <w:ind w:right="1131" w:firstLine="360"/>
        <w:jc w:val="both"/>
      </w:pPr>
      <w:r>
        <w:rPr>
          <w:spacing w:val="-2"/>
        </w:rPr>
        <w:t>许志鹏，男，公司监事，中国国籍，无境外永久居留权。许志鹏先生出生于</w:t>
      </w:r>
      <w:r>
        <w:rPr>
          <w:rFonts w:ascii="Times New Roman" w:hAnsi="Times New Roman" w:cs="Times New Roman" w:eastAsia="Times New Roman" w:hint="default"/>
          <w:spacing w:val="-2"/>
        </w:rPr>
        <w:t>1973</w:t>
      </w:r>
      <w:r>
        <w:rPr>
          <w:spacing w:val="-2"/>
        </w:rPr>
        <w:t>年，学士学位。许志鹏先生自</w:t>
      </w:r>
      <w:r>
        <w:rPr>
          <w:rFonts w:ascii="Times New Roman" w:hAnsi="Times New Roman" w:cs="Times New Roman" w:eastAsia="Times New Roman" w:hint="default"/>
          <w:spacing w:val="-2"/>
        </w:rPr>
        <w:t>2005</w:t>
      </w:r>
      <w:r>
        <w:rPr>
          <w:spacing w:val="-2"/>
        </w:rPr>
        <w:t>年至</w:t>
      </w:r>
      <w:r>
        <w:rPr/>
        <w:t> </w:t>
      </w:r>
      <w:r>
        <w:rPr>
          <w:rFonts w:ascii="Times New Roman" w:hAnsi="Times New Roman" w:cs="Times New Roman" w:eastAsia="Times New Roman" w:hint="default"/>
        </w:rPr>
        <w:t>2009</w:t>
      </w:r>
      <w:r>
        <w:rPr/>
        <w:t>年任北京君正集成电路有限公司部门经理，现任公司监事、软件架构师。许志鹏先生精通</w:t>
      </w:r>
      <w:r>
        <w:rPr>
          <w:rFonts w:ascii="Times New Roman" w:hAnsi="Times New Roman" w:cs="Times New Roman" w:eastAsia="Times New Roman" w:hint="default"/>
        </w:rPr>
        <w:t>Linux</w:t>
      </w:r>
      <w:r>
        <w:rPr/>
        <w:t>操作系统软件和多媒体 软件，领导了公司操作系统底层的研制和多媒体播放器软件的研制。</w:t>
      </w:r>
    </w:p>
    <w:p>
      <w:pPr>
        <w:pStyle w:val="BodyText"/>
        <w:spacing w:line="300" w:lineRule="auto" w:before="31"/>
        <w:ind w:right="1228" w:firstLine="360"/>
        <w:jc w:val="both"/>
      </w:pPr>
      <w:r>
        <w:rPr/>
        <w:t>周悦，男，公司职工代表监事，中国国籍，无境外永久居留权。周悦先生出生于</w:t>
      </w:r>
      <w:r>
        <w:rPr>
          <w:rFonts w:ascii="Times New Roman" w:hAnsi="Times New Roman" w:cs="Times New Roman" w:eastAsia="Times New Roman" w:hint="default"/>
        </w:rPr>
        <w:t>1981</w:t>
      </w:r>
      <w:r>
        <w:rPr/>
        <w:t>年，本科学历。周悦先生自</w:t>
      </w:r>
      <w:r>
        <w:rPr>
          <w:rFonts w:ascii="Times New Roman" w:hAnsi="Times New Roman" w:cs="Times New Roman" w:eastAsia="Times New Roman" w:hint="default"/>
        </w:rPr>
        <w:t>2006 </w:t>
      </w:r>
      <w:r>
        <w:rPr/>
        <w:t>年起任北京君正集成电路有限公司</w:t>
      </w:r>
      <w:r>
        <w:rPr>
          <w:rFonts w:ascii="Times New Roman" w:hAnsi="Times New Roman" w:cs="Times New Roman" w:eastAsia="Times New Roman" w:hint="default"/>
        </w:rPr>
        <w:t>IT</w:t>
      </w:r>
      <w:r>
        <w:rPr/>
        <w:t>部经理，现任公司职工监事、</w:t>
      </w:r>
      <w:r>
        <w:rPr>
          <w:rFonts w:ascii="Times New Roman" w:hAnsi="Times New Roman" w:cs="Times New Roman" w:eastAsia="Times New Roman" w:hint="default"/>
        </w:rPr>
        <w:t>IT</w:t>
      </w:r>
      <w:r>
        <w:rPr/>
        <w:t>部经理。</w:t>
      </w:r>
    </w:p>
    <w:p>
      <w:pPr>
        <w:pStyle w:val="BodyText"/>
        <w:spacing w:line="338" w:lineRule="auto" w:before="13"/>
        <w:ind w:left="513" w:right="3683"/>
        <w:jc w:val="left"/>
      </w:pPr>
      <w:r>
        <w:rPr>
          <w:rFonts w:ascii="Times New Roman" w:hAnsi="Times New Roman" w:cs="Times New Roman" w:eastAsia="Times New Roman" w:hint="default"/>
          <w:b/>
          <w:bCs/>
        </w:rPr>
        <w:t>3</w:t>
      </w:r>
      <w:r>
        <w:rPr>
          <w:rFonts w:ascii="宋体" w:hAnsi="宋体" w:cs="宋体" w:eastAsia="宋体" w:hint="default"/>
          <w:b/>
          <w:bCs/>
        </w:rPr>
        <w:t>、高级管理人员</w:t>
      </w:r>
      <w:r>
        <w:rPr>
          <w:rFonts w:ascii="宋体" w:hAnsi="宋体" w:cs="宋体" w:eastAsia="宋体" w:hint="default"/>
          <w:b/>
          <w:bCs/>
          <w:w w:val="99"/>
        </w:rPr>
        <w:t> </w:t>
      </w:r>
      <w:r>
        <w:rPr/>
        <w:t>刘强，公司董事长、总经理，其个人简历详见本节</w:t>
      </w:r>
      <w:r>
        <w:rPr>
          <w:rFonts w:ascii="Times New Roman" w:hAnsi="Times New Roman" w:cs="Times New Roman" w:eastAsia="Times New Roman" w:hint="default"/>
        </w:rPr>
        <w:t>“</w:t>
      </w:r>
      <w:r>
        <w:rPr/>
        <w:t>三、任职情况</w:t>
      </w:r>
      <w:r>
        <w:rPr>
          <w:rFonts w:ascii="Times New Roman" w:hAnsi="Times New Roman" w:cs="Times New Roman" w:eastAsia="Times New Roman" w:hint="default"/>
        </w:rPr>
        <w:t>”</w:t>
      </w:r>
      <w:r>
        <w:rPr/>
        <w:t>之</w:t>
      </w:r>
      <w:r>
        <w:rPr>
          <w:rFonts w:ascii="Times New Roman" w:hAnsi="Times New Roman" w:cs="Times New Roman" w:eastAsia="Times New Roman" w:hint="default"/>
        </w:rPr>
        <w:t>“1</w:t>
      </w:r>
      <w:r>
        <w:rPr/>
        <w:t>、董事</w:t>
      </w:r>
      <w:r>
        <w:rPr>
          <w:rFonts w:ascii="Times New Roman" w:hAnsi="Times New Roman" w:cs="Times New Roman" w:eastAsia="Times New Roman" w:hint="default"/>
        </w:rPr>
        <w:t>”</w:t>
      </w:r>
      <w:r>
        <w:rPr/>
        <w:t>。 张紧，公司董事、副总经理，其个人简历详见本节之</w:t>
      </w:r>
      <w:r>
        <w:rPr>
          <w:rFonts w:ascii="Times New Roman" w:hAnsi="Times New Roman" w:cs="Times New Roman" w:eastAsia="Times New Roman" w:hint="default"/>
        </w:rPr>
        <w:t>“</w:t>
      </w:r>
      <w:r>
        <w:rPr/>
        <w:t>三、任职情况</w:t>
      </w:r>
      <w:r>
        <w:rPr>
          <w:rFonts w:ascii="Times New Roman" w:hAnsi="Times New Roman" w:cs="Times New Roman" w:eastAsia="Times New Roman" w:hint="default"/>
        </w:rPr>
        <w:t>”</w:t>
      </w:r>
      <w:r>
        <w:rPr/>
        <w:t>之</w:t>
      </w:r>
      <w:r>
        <w:rPr>
          <w:rFonts w:ascii="Times New Roman" w:hAnsi="Times New Roman" w:cs="Times New Roman" w:eastAsia="Times New Roman" w:hint="default"/>
        </w:rPr>
        <w:t>“1</w:t>
      </w:r>
      <w:r>
        <w:rPr/>
        <w:t>、董事</w:t>
      </w:r>
      <w:r>
        <w:rPr>
          <w:rFonts w:ascii="Times New Roman" w:hAnsi="Times New Roman" w:cs="Times New Roman" w:eastAsia="Times New Roman" w:hint="default"/>
        </w:rPr>
        <w:t>”</w:t>
      </w:r>
      <w:r>
        <w:rPr/>
        <w:t>。 冼永辉，公司董事、副总经理，其个人简历详见本节之</w:t>
      </w:r>
      <w:r>
        <w:rPr>
          <w:rFonts w:ascii="Times New Roman" w:hAnsi="Times New Roman" w:cs="Times New Roman" w:eastAsia="Times New Roman" w:hint="default"/>
        </w:rPr>
        <w:t>“</w:t>
      </w:r>
      <w:r>
        <w:rPr/>
        <w:t>三、任职情况</w:t>
      </w:r>
      <w:r>
        <w:rPr>
          <w:rFonts w:ascii="Times New Roman" w:hAnsi="Times New Roman" w:cs="Times New Roman" w:eastAsia="Times New Roman" w:hint="default"/>
        </w:rPr>
        <w:t>”</w:t>
      </w:r>
      <w:r>
        <w:rPr/>
        <w:t>之</w:t>
      </w:r>
      <w:r>
        <w:rPr>
          <w:rFonts w:ascii="Times New Roman" w:hAnsi="Times New Roman" w:cs="Times New Roman" w:eastAsia="Times New Roman" w:hint="default"/>
        </w:rPr>
        <w:t>“1</w:t>
      </w:r>
      <w:r>
        <w:rPr/>
        <w:t>、董事</w:t>
      </w:r>
      <w:r>
        <w:rPr>
          <w:rFonts w:ascii="Times New Roman" w:hAnsi="Times New Roman" w:cs="Times New Roman" w:eastAsia="Times New Roman" w:hint="default"/>
        </w:rPr>
        <w:t>”</w:t>
      </w:r>
      <w:r>
        <w:rPr/>
        <w:t>。</w:t>
      </w:r>
    </w:p>
    <w:p>
      <w:pPr>
        <w:pStyle w:val="BodyText"/>
        <w:spacing w:line="300" w:lineRule="auto" w:before="20"/>
        <w:ind w:right="1130" w:firstLine="360"/>
        <w:jc w:val="both"/>
      </w:pPr>
      <w:r>
        <w:rPr>
          <w:spacing w:val="-2"/>
        </w:rPr>
        <w:t>张敏，女，公司副总经理、董事会秘书，中国国籍，无境外永久居留权。张敏女士出生于</w:t>
      </w:r>
      <w:r>
        <w:rPr>
          <w:rFonts w:ascii="Times New Roman" w:hAnsi="Times New Roman" w:cs="Times New Roman" w:eastAsia="Times New Roman" w:hint="default"/>
          <w:spacing w:val="-2"/>
        </w:rPr>
        <w:t>1973</w:t>
      </w:r>
      <w:r>
        <w:rPr>
          <w:spacing w:val="-2"/>
        </w:rPr>
        <w:t>年，硕士学位。张敏女士</w:t>
      </w:r>
      <w:r>
        <w:rPr/>
        <w:t> </w:t>
      </w:r>
      <w:r>
        <w:rPr>
          <w:spacing w:val="-2"/>
        </w:rPr>
        <w:t>自</w:t>
      </w:r>
      <w:r>
        <w:rPr>
          <w:rFonts w:ascii="Times New Roman" w:hAnsi="Times New Roman" w:cs="Times New Roman" w:eastAsia="Times New Roman" w:hint="default"/>
          <w:spacing w:val="-2"/>
        </w:rPr>
        <w:t>2007</w:t>
      </w:r>
      <w:r>
        <w:rPr>
          <w:spacing w:val="-2"/>
        </w:rPr>
        <w:t>年至</w:t>
      </w:r>
      <w:r>
        <w:rPr>
          <w:rFonts w:ascii="Times New Roman" w:hAnsi="Times New Roman" w:cs="Times New Roman" w:eastAsia="Times New Roman" w:hint="default"/>
          <w:spacing w:val="-2"/>
        </w:rPr>
        <w:t>2009</w:t>
      </w:r>
      <w:r>
        <w:rPr>
          <w:spacing w:val="-2"/>
        </w:rPr>
        <w:t>年任北京君正集成电路有限公司商务总监，现任公司副总经理、董事会秘书，深圳君正时代集成电路有限公</w:t>
      </w:r>
      <w:r>
        <w:rPr>
          <w:spacing w:val="-60"/>
        </w:rPr>
        <w:t> </w:t>
      </w:r>
      <w:r>
        <w:rPr>
          <w:spacing w:val="-60"/>
        </w:rPr>
      </w:r>
      <w:r>
        <w:rPr/>
        <w:t>司监事，北京君诚易恒科技有限公司监事，拉萨君品创业投资有限公司监事。</w:t>
      </w:r>
    </w:p>
    <w:p>
      <w:pPr>
        <w:spacing w:after="0" w:line="300" w:lineRule="auto"/>
        <w:jc w:val="both"/>
        <w:sectPr>
          <w:footerReference w:type="default" r:id="rId19"/>
          <w:pgSz w:w="11910" w:h="16840"/>
          <w:pgMar w:footer="979" w:header="877" w:top="1100" w:bottom="1160" w:left="980" w:right="0"/>
          <w:pgNumType w:start="101"/>
        </w:sectPr>
      </w:pPr>
    </w:p>
    <w:p>
      <w:pPr>
        <w:spacing w:line="240" w:lineRule="auto" w:before="11"/>
        <w:rPr>
          <w:rFonts w:ascii="宋体" w:hAnsi="宋体" w:cs="宋体" w:eastAsia="宋体" w:hint="default"/>
          <w:sz w:val="21"/>
          <w:szCs w:val="21"/>
        </w:rPr>
      </w:pPr>
    </w:p>
    <w:p>
      <w:pPr>
        <w:pStyle w:val="BodyText"/>
        <w:spacing w:line="300" w:lineRule="auto" w:before="44"/>
        <w:ind w:right="1132" w:firstLine="360"/>
        <w:jc w:val="both"/>
      </w:pPr>
      <w:r>
        <w:rPr>
          <w:spacing w:val="-2"/>
        </w:rPr>
        <w:t>周生雷，男，公司副总经理，中国国籍，无境外永久居留权。周生雷先生出生于</w:t>
      </w:r>
      <w:r>
        <w:rPr>
          <w:rFonts w:ascii="Times New Roman" w:hAnsi="Times New Roman" w:cs="Times New Roman" w:eastAsia="Times New Roman" w:hint="default"/>
          <w:spacing w:val="-2"/>
        </w:rPr>
        <w:t>1975</w:t>
      </w:r>
      <w:r>
        <w:rPr>
          <w:spacing w:val="-2"/>
        </w:rPr>
        <w:t>年，硕士学位。周生雷先生自</w:t>
      </w:r>
      <w:r>
        <w:rPr>
          <w:rFonts w:ascii="Times New Roman" w:hAnsi="Times New Roman" w:cs="Times New Roman" w:eastAsia="Times New Roman" w:hint="default"/>
          <w:spacing w:val="-2"/>
        </w:rPr>
        <w:t>2008</w:t>
      </w:r>
      <w:r>
        <w:rPr>
          <w:rFonts w:ascii="Times New Roman" w:hAnsi="Times New Roman" w:cs="Times New Roman" w:eastAsia="Times New Roman" w:hint="default"/>
        </w:rPr>
        <w:t> </w:t>
      </w:r>
      <w:r>
        <w:rPr/>
        <w:t>年至</w:t>
      </w:r>
      <w:r>
        <w:rPr>
          <w:rFonts w:ascii="Times New Roman" w:hAnsi="Times New Roman" w:cs="Times New Roman" w:eastAsia="Times New Roman" w:hint="default"/>
        </w:rPr>
        <w:t>2009</w:t>
      </w:r>
      <w:r>
        <w:rPr/>
        <w:t>年任北京君正集成电路有限公司市场总监，现任公司副总经理。</w:t>
      </w:r>
    </w:p>
    <w:p>
      <w:pPr>
        <w:pStyle w:val="BodyText"/>
        <w:spacing w:line="300" w:lineRule="auto" w:before="13"/>
        <w:ind w:right="1129" w:firstLine="360"/>
        <w:jc w:val="both"/>
      </w:pPr>
      <w:r>
        <w:rPr>
          <w:spacing w:val="-2"/>
        </w:rPr>
        <w:t>叶飞，男，公司副总经理、财务总监，中国国籍，无境外永久居留权。叶飞先生出生于</w:t>
      </w:r>
      <w:r>
        <w:rPr>
          <w:rFonts w:ascii="Times New Roman" w:hAnsi="Times New Roman" w:cs="Times New Roman" w:eastAsia="Times New Roman" w:hint="default"/>
          <w:spacing w:val="-2"/>
        </w:rPr>
        <w:t>1979</w:t>
      </w:r>
      <w:r>
        <w:rPr>
          <w:spacing w:val="-2"/>
        </w:rPr>
        <w:t>年，学士学位，中国注册会</w:t>
      </w:r>
      <w:r>
        <w:rPr/>
        <w:t> </w:t>
      </w:r>
      <w:r>
        <w:rPr>
          <w:spacing w:val="-2"/>
        </w:rPr>
        <w:t>计师、澳洲注册会计师。叶飞先生曾任北京兴华会计师事务所审计部高级经理，自</w:t>
      </w:r>
      <w:r>
        <w:rPr>
          <w:rFonts w:ascii="Times New Roman" w:hAnsi="Times New Roman" w:cs="Times New Roman" w:eastAsia="Times New Roman" w:hint="default"/>
          <w:spacing w:val="-2"/>
        </w:rPr>
        <w:t>2011</w:t>
      </w:r>
      <w:r>
        <w:rPr>
          <w:spacing w:val="-2"/>
        </w:rPr>
        <w:t>年至</w:t>
      </w:r>
      <w:r>
        <w:rPr>
          <w:rFonts w:ascii="Times New Roman" w:hAnsi="Times New Roman" w:cs="Times New Roman" w:eastAsia="Times New Roman" w:hint="default"/>
          <w:spacing w:val="-2"/>
        </w:rPr>
        <w:t>2015</w:t>
      </w:r>
      <w:r>
        <w:rPr>
          <w:spacing w:val="-2"/>
        </w:rPr>
        <w:t>年任公司财务经理，现任公</w:t>
      </w:r>
      <w:r>
        <w:rPr>
          <w:spacing w:val="-57"/>
        </w:rPr>
        <w:t> </w:t>
      </w:r>
      <w:r>
        <w:rPr>
          <w:spacing w:val="-57"/>
        </w:rPr>
      </w:r>
      <w:r>
        <w:rPr/>
        <w:t>司副总经理、财务总监。</w:t>
      </w:r>
    </w:p>
    <w:p>
      <w:pPr>
        <w:pStyle w:val="BodyText"/>
        <w:spacing w:line="300" w:lineRule="auto" w:before="31"/>
        <w:ind w:right="1100" w:firstLine="360"/>
        <w:jc w:val="both"/>
      </w:pPr>
      <w:r>
        <w:rPr>
          <w:spacing w:val="-2"/>
        </w:rPr>
        <w:t>黄磊，男，公司副总经理，中国国籍，无境外永久居留权。黄磊先生出生于</w:t>
      </w:r>
      <w:r>
        <w:rPr>
          <w:rFonts w:ascii="Times New Roman" w:hAnsi="Times New Roman" w:cs="Times New Roman" w:eastAsia="Times New Roman" w:hint="default"/>
          <w:spacing w:val="-2"/>
        </w:rPr>
        <w:t>1982</w:t>
      </w:r>
      <w:r>
        <w:rPr>
          <w:spacing w:val="-2"/>
        </w:rPr>
        <w:t>年，硕士学位。黄磊先生自</w:t>
      </w:r>
      <w:r>
        <w:rPr>
          <w:rFonts w:ascii="Times New Roman" w:hAnsi="Times New Roman" w:cs="Times New Roman" w:eastAsia="Times New Roman" w:hint="default"/>
          <w:spacing w:val="-2"/>
        </w:rPr>
        <w:t>2009</w:t>
      </w:r>
      <w:r>
        <w:rPr>
          <w:spacing w:val="-2"/>
        </w:rPr>
        <w:t>年起任</w:t>
      </w:r>
      <w:r>
        <w:rPr/>
        <w:t> 职于北京君正集成电路股份有限公司，历任公司</w:t>
      </w:r>
      <w:r>
        <w:rPr>
          <w:rFonts w:ascii="Times New Roman" w:hAnsi="Times New Roman" w:cs="Times New Roman" w:eastAsia="Times New Roman" w:hint="default"/>
        </w:rPr>
        <w:t>IC</w:t>
      </w:r>
      <w:r>
        <w:rPr/>
        <w:t>设计人员，</w:t>
      </w:r>
      <w:r>
        <w:rPr>
          <w:rFonts w:ascii="Times New Roman" w:hAnsi="Times New Roman" w:cs="Times New Roman" w:eastAsia="Times New Roman" w:hint="default"/>
        </w:rPr>
        <w:t>SoC</w:t>
      </w:r>
      <w:r>
        <w:rPr/>
        <w:t>部门经理，合肥君正科技有限公司智能视频事业部总监， 现任公司副总经理。</w:t>
      </w:r>
    </w:p>
    <w:p>
      <w:pPr>
        <w:pStyle w:val="BodyText"/>
        <w:spacing w:line="300" w:lineRule="auto" w:before="31"/>
        <w:ind w:right="1044" w:firstLine="360"/>
        <w:jc w:val="both"/>
      </w:pPr>
      <w:r>
        <w:rPr>
          <w:spacing w:val="-2"/>
        </w:rPr>
        <w:t>刘将，男，公司副总经理，中国国籍，无境外永久居留权。刘将先生出生于</w:t>
      </w:r>
      <w:r>
        <w:rPr>
          <w:rFonts w:ascii="Times New Roman" w:hAnsi="Times New Roman" w:cs="Times New Roman" w:eastAsia="Times New Roman" w:hint="default"/>
          <w:spacing w:val="-2"/>
        </w:rPr>
        <w:t>1985</w:t>
      </w:r>
      <w:r>
        <w:rPr>
          <w:spacing w:val="-2"/>
        </w:rPr>
        <w:t>年，学士学位。刘将先生自</w:t>
      </w:r>
      <w:r>
        <w:rPr>
          <w:rFonts w:ascii="Times New Roman" w:hAnsi="Times New Roman" w:cs="Times New Roman" w:eastAsia="Times New Roman" w:hint="default"/>
          <w:spacing w:val="-2"/>
        </w:rPr>
        <w:t>2008</w:t>
      </w:r>
      <w:r>
        <w:rPr>
          <w:spacing w:val="-2"/>
        </w:rPr>
        <w:t>年起任</w:t>
      </w:r>
      <w:r>
        <w:rPr/>
        <w:t> </w:t>
      </w:r>
      <w:r>
        <w:rPr>
          <w:spacing w:val="-4"/>
        </w:rPr>
        <w:t>职于深圳君正时代集成电路有限公司，历任深圳君正软件工程师、软件部门经理、工程部经理、总经理，现任公司副总经理。</w:t>
      </w:r>
    </w:p>
    <w:p>
      <w:pPr>
        <w:pStyle w:val="BodyText"/>
        <w:spacing w:line="240" w:lineRule="auto" w:before="73"/>
        <w:ind w:right="1133"/>
        <w:jc w:val="left"/>
      </w:pPr>
      <w:r>
        <w:rPr/>
        <w:t>在股东单位任职情况</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在其他单位任职情况</w:t>
      </w:r>
    </w:p>
    <w:p>
      <w:pPr>
        <w:pStyle w:val="BodyText"/>
        <w:spacing w:line="240" w:lineRule="auto" w:before="4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2487"/>
        <w:gridCol w:w="1563"/>
        <w:gridCol w:w="1697"/>
        <w:gridCol w:w="1325"/>
        <w:gridCol w:w="1382"/>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2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0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7" w:right="53" w:hanging="540"/>
              <w:jc w:val="left"/>
              <w:rPr>
                <w:rFonts w:ascii="宋体" w:hAnsi="宋体" w:cs="宋体" w:eastAsia="宋体" w:hint="default"/>
                <w:sz w:val="18"/>
                <w:szCs w:val="18"/>
              </w:rPr>
            </w:pPr>
            <w:r>
              <w:rPr>
                <w:rFonts w:ascii="宋体" w:hAnsi="宋体" w:cs="宋体" w:eastAsia="宋体" w:hint="default"/>
                <w:sz w:val="18"/>
                <w:szCs w:val="18"/>
              </w:rPr>
              <w:t>在其他单位担任的 职务</w:t>
            </w:r>
          </w:p>
        </w:tc>
        <w:tc>
          <w:tcPr>
            <w:tcW w:w="1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6" w:right="53" w:hanging="89"/>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刘强</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拉萨君品创业投资有限公司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执行董事、经理</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刘强</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北京四海君芯有限公司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执行董事、经理</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刘强</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110"/>
              <w:jc w:val="left"/>
              <w:rPr>
                <w:rFonts w:ascii="宋体" w:hAnsi="宋体" w:cs="宋体" w:eastAsia="宋体" w:hint="default"/>
                <w:sz w:val="18"/>
                <w:szCs w:val="18"/>
              </w:rPr>
            </w:pPr>
            <w:r>
              <w:rPr>
                <w:rFonts w:ascii="宋体" w:hAnsi="宋体" w:cs="宋体" w:eastAsia="宋体" w:hint="default"/>
                <w:sz w:val="18"/>
                <w:szCs w:val="18"/>
              </w:rPr>
              <w:t>合肥君诺志成集成电路投资有 限公司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执行董事、经理</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刘强</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0"/>
              <w:jc w:val="left"/>
              <w:rPr>
                <w:rFonts w:ascii="宋体" w:hAnsi="宋体" w:cs="宋体" w:eastAsia="宋体" w:hint="default"/>
                <w:sz w:val="18"/>
                <w:szCs w:val="18"/>
              </w:rPr>
            </w:pPr>
            <w:r>
              <w:rPr>
                <w:rFonts w:ascii="宋体" w:hAnsi="宋体" w:cs="宋体" w:eastAsia="宋体" w:hint="default"/>
                <w:sz w:val="18"/>
                <w:szCs w:val="18"/>
              </w:rPr>
              <w:t>北京集成电路产业发展股权投 资基金有限公司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李杰</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北京庚顿数据科技有限公司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李杰</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北京华如科技股份有限公司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梁云凤</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中国国际经济交流中心</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研究员</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梁云凤</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0"/>
              <w:jc w:val="left"/>
              <w:rPr>
                <w:rFonts w:ascii="宋体" w:hAnsi="宋体" w:cs="宋体" w:eastAsia="宋体" w:hint="default"/>
                <w:sz w:val="18"/>
                <w:szCs w:val="18"/>
              </w:rPr>
            </w:pPr>
            <w:r>
              <w:rPr>
                <w:rFonts w:ascii="宋体" w:hAnsi="宋体" w:cs="宋体" w:eastAsia="宋体" w:hint="default"/>
                <w:sz w:val="18"/>
                <w:szCs w:val="18"/>
              </w:rPr>
              <w:t>北京易华录信息技术股份有限 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王艳辉</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上海及微信息技术合伙企业</w:t>
            </w:r>
          </w:p>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王艳辉</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厦门积微信息技术有限公司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王艳辉</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上海陆联信息技术有限公司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王艳辉</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北京集微科技有限公司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王艳辉</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深圳仙苗科技有限公司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王艳辉</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闻泰科技股份有限公司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王艳辉</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恒玄科技</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股份有限公司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张敏</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北京君诚易恒科技有限公司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张敏</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拉萨君品创业投资有限公司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188"/>
        <w:gridCol w:w="2499"/>
        <w:gridCol w:w="1540"/>
        <w:gridCol w:w="1708"/>
        <w:gridCol w:w="1337"/>
        <w:gridCol w:w="1370"/>
      </w:tblGrid>
      <w:tr>
        <w:trPr>
          <w:trHeight w:val="161" w:hRule="exact"/>
        </w:trPr>
        <w:tc>
          <w:tcPr>
            <w:tcW w:w="11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4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54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85" w:right="42" w:hanging="540"/>
              <w:jc w:val="left"/>
              <w:rPr>
                <w:rFonts w:ascii="宋体" w:hAnsi="宋体" w:cs="宋体" w:eastAsia="宋体" w:hint="default"/>
                <w:sz w:val="18"/>
                <w:szCs w:val="18"/>
              </w:rPr>
            </w:pPr>
            <w:r>
              <w:rPr>
                <w:rFonts w:ascii="宋体" w:hAnsi="宋体" w:cs="宋体" w:eastAsia="宋体" w:hint="default"/>
                <w:sz w:val="18"/>
                <w:szCs w:val="18"/>
              </w:rPr>
              <w:t>在其他单位担任的 职务</w:t>
            </w:r>
          </w:p>
        </w:tc>
        <w:tc>
          <w:tcPr>
            <w:tcW w:w="1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34" w:right="53" w:hanging="89"/>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391" w:hRule="exact"/>
        </w:trPr>
        <w:tc>
          <w:tcPr>
            <w:tcW w:w="11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4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0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540" w:type="dxa"/>
            <w:vMerge/>
            <w:tcBorders>
              <w:left w:val="single" w:sz="4" w:space="0" w:color="000000"/>
              <w:right w:val="single" w:sz="4" w:space="0" w:color="000000"/>
            </w:tcBorders>
            <w:shd w:val="clear" w:color="auto" w:fill="D2D2D2"/>
          </w:tcPr>
          <w:p>
            <w:pPr/>
          </w:p>
        </w:tc>
        <w:tc>
          <w:tcPr>
            <w:tcW w:w="17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15"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0" w:type="dxa"/>
            <w:vMerge/>
            <w:tcBorders>
              <w:left w:val="single" w:sz="4" w:space="0" w:color="000000"/>
              <w:right w:val="single" w:sz="4" w:space="0" w:color="000000"/>
            </w:tcBorders>
            <w:shd w:val="clear" w:color="auto" w:fill="D2D2D2"/>
          </w:tcPr>
          <w:p>
            <w:pPr/>
          </w:p>
        </w:tc>
      </w:tr>
      <w:tr>
        <w:trPr>
          <w:trHeight w:val="161" w:hRule="exact"/>
        </w:trPr>
        <w:tc>
          <w:tcPr>
            <w:tcW w:w="11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4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40" w:type="dxa"/>
            <w:vMerge/>
            <w:tcBorders>
              <w:left w:val="single" w:sz="4" w:space="0" w:color="000000"/>
              <w:bottom w:val="single" w:sz="4" w:space="0" w:color="000000"/>
              <w:right w:val="single" w:sz="4" w:space="0" w:color="000000"/>
            </w:tcBorders>
            <w:shd w:val="clear" w:color="auto" w:fill="D2D2D2"/>
          </w:tcPr>
          <w:p>
            <w:pPr/>
          </w:p>
        </w:tc>
        <w:tc>
          <w:tcPr>
            <w:tcW w:w="1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0"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454"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133"/>
        <w:jc w:val="left"/>
      </w:pPr>
      <w:r>
        <w:rPr/>
        <w:t>公司现任及报告期内离任董事、监事和高级管理人员近三年证券监管机构处罚的情况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513" w:right="1033" w:hanging="361"/>
        <w:jc w:val="left"/>
      </w:pPr>
      <w:r>
        <w:rPr/>
        <w:t>董事、监事、高级管理人员报酬的决策程序、确定依据、实际支付情况 董事、监事、高级管理人员报酬的决策程序：独立董事津贴由董事会提名与薪酬委员会提出方案，董事会审议通过后，</w:t>
      </w:r>
    </w:p>
    <w:p>
      <w:pPr>
        <w:pStyle w:val="BodyText"/>
        <w:spacing w:line="222" w:lineRule="exact"/>
        <w:ind w:right="986"/>
        <w:jc w:val="left"/>
      </w:pPr>
      <w:r>
        <w:rPr/>
        <w:t>提交股东大会审议；公司董事和监事不领取董事、监事津贴，只领取在公司担任其他职务的职务薪酬；高级管理人员薪酬由</w:t>
      </w:r>
    </w:p>
    <w:p>
      <w:pPr>
        <w:pStyle w:val="BodyText"/>
        <w:spacing w:line="316" w:lineRule="auto" w:before="76"/>
        <w:ind w:left="513" w:right="1133" w:hanging="361"/>
        <w:jc w:val="left"/>
      </w:pPr>
      <w:r>
        <w:rPr/>
        <w:t>董事会提名与薪酬委员会提出方案，董事会审议。 </w:t>
      </w:r>
      <w:r>
        <w:rPr>
          <w:spacing w:val="-2"/>
        </w:rPr>
        <w:t>董事、监事、高级管理人员报酬确定依据：公司董事、监事及高级管理人员薪酬根据公司《董事、监事、高级管理人员</w:t>
      </w:r>
    </w:p>
    <w:p>
      <w:pPr>
        <w:pStyle w:val="BodyText"/>
        <w:spacing w:line="360" w:lineRule="auto" w:before="19"/>
        <w:ind w:right="4814"/>
        <w:jc w:val="left"/>
      </w:pPr>
      <w:r>
        <w:rPr/>
        <w:t>薪酬及绩效考核管理制度》确定，由董事会提名与薪酬委员会组织并考核。 公司报告期内董事、监事和高级管理人员报酬情况</w:t>
      </w:r>
    </w:p>
    <w:p>
      <w:pPr>
        <w:pStyle w:val="BodyText"/>
        <w:spacing w:line="240" w:lineRule="auto" w:before="25"/>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36"/>
        <w:gridCol w:w="2269"/>
        <w:gridCol w:w="1133"/>
        <w:gridCol w:w="1136"/>
        <w:gridCol w:w="1133"/>
        <w:gridCol w:w="1474"/>
        <w:gridCol w:w="1474"/>
      </w:tblGrid>
      <w:tr>
        <w:trPr>
          <w:trHeight w:val="713"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3" w:right="99"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3" w:right="9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刘强</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32.5</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李杰</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张紧</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28.6</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冼永辉</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28.6</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梁云凤</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王艳辉</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张燕祥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许志鹏</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周悦</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15.4</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张敏</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周生雷</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叶飞</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副总经理、财务总监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黄磊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刘将</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32.5</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325.6</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公司董事、高级管理人员报告期内被授予的股权激励情况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79" w:top="1100" w:bottom="1160" w:left="980" w:right="0"/>
        </w:sectPr>
      </w:pPr>
    </w:p>
    <w:p>
      <w:pPr>
        <w:spacing w:line="240" w:lineRule="auto" w:before="10"/>
        <w:rPr>
          <w:rFonts w:ascii="宋体" w:hAnsi="宋体" w:cs="宋体" w:eastAsia="宋体" w:hint="default"/>
          <w:sz w:val="19"/>
          <w:szCs w:val="19"/>
        </w:rPr>
      </w:pPr>
    </w:p>
    <w:p>
      <w:pPr>
        <w:pStyle w:val="Heading2"/>
        <w:spacing w:line="240" w:lineRule="auto" w:before="26"/>
        <w:ind w:right="1133"/>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77"/>
        <w:gridCol w:w="4794"/>
      </w:tblGrid>
      <w:tr>
        <w:trPr>
          <w:trHeight w:val="403"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6"/>
                <w:w w:val="95"/>
                <w:sz w:val="18"/>
              </w:rPr>
              <w:t>111</w:t>
            </w:r>
            <w:r>
              <w:rPr>
                <w:rFonts w:ascii="Times New Roman"/>
                <w:w w:val="95"/>
                <w:sz w:val="18"/>
              </w:rPr>
            </w:r>
          </w:p>
        </w:tc>
      </w:tr>
      <w:tr>
        <w:trPr>
          <w:trHeight w:val="401"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w:t>
            </w:r>
          </w:p>
        </w:tc>
      </w:tr>
      <w:tr>
        <w:trPr>
          <w:trHeight w:val="403"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w:t>
            </w:r>
          </w:p>
        </w:tc>
      </w:tr>
      <w:tr>
        <w:trPr>
          <w:trHeight w:val="401"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w:t>
            </w:r>
          </w:p>
        </w:tc>
      </w:tr>
      <w:tr>
        <w:trPr>
          <w:trHeight w:val="408"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w:t>
            </w:r>
          </w:p>
        </w:tc>
      </w:tr>
      <w:tr>
        <w:trPr>
          <w:trHeight w:val="403"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w:t>
            </w:r>
          </w:p>
        </w:tc>
      </w:tr>
      <w:tr>
        <w:trPr>
          <w:trHeight w:val="401"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r>
      <w:tr>
        <w:trPr>
          <w:trHeight w:val="403"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w:t>
            </w:r>
          </w:p>
        </w:tc>
      </w:tr>
      <w:tr>
        <w:trPr>
          <w:trHeight w:val="401"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其他人员</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w:t>
            </w:r>
          </w:p>
        </w:tc>
      </w:tr>
      <w:tr>
        <w:trPr>
          <w:trHeight w:val="408"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w:t>
            </w:r>
          </w:p>
        </w:tc>
      </w:tr>
      <w:tr>
        <w:trPr>
          <w:trHeight w:val="39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w:t>
            </w:r>
          </w:p>
        </w:tc>
      </w:tr>
      <w:tr>
        <w:trPr>
          <w:trHeight w:val="401"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w:t>
            </w:r>
          </w:p>
        </w:tc>
      </w:tr>
      <w:tr>
        <w:trPr>
          <w:trHeight w:val="403"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w:t>
            </w:r>
          </w:p>
        </w:tc>
      </w:tr>
      <w:tr>
        <w:trPr>
          <w:trHeight w:val="401"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专科以下</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r>
      <w:tr>
        <w:trPr>
          <w:trHeight w:val="403"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18" w:firstLine="360"/>
        <w:jc w:val="left"/>
      </w:pPr>
      <w:r>
        <w:rPr>
          <w:spacing w:val="-2"/>
        </w:rPr>
        <w:t>公司在遵守国家相关法律法规的基础上，根据公司战略方向、经营目标，基于公平、公正和市场化原则，建立了具备市</w:t>
      </w:r>
      <w:r>
        <w:rPr/>
        <w:t> 场竞争力的薪酬体系，同时公司还建立了全面的福利保障体系，包括社会保险、住房公积金、工会福利等。</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034" w:firstLine="360"/>
        <w:jc w:val="left"/>
      </w:pPr>
      <w:r>
        <w:rPr/>
        <w:t>公司自上市以来，逐步建立健全了科学化、规范化、系统化的培训管理体系。报告期内，围绕公司人才战略发展要求， </w:t>
      </w:r>
      <w:r>
        <w:rPr>
          <w:spacing w:val="-2"/>
        </w:rPr>
        <w:t>持续加强员工岗前培训和团队建设培训。公司的培训主要分为新员工入职培训、技术培训、管理人员培训和董监高培训等类</w:t>
      </w:r>
      <w:r>
        <w:rPr>
          <w:spacing w:val="-63"/>
        </w:rPr>
        <w:t> </w:t>
      </w:r>
      <w:r>
        <w:rPr>
          <w:spacing w:val="-63"/>
        </w:rPr>
      </w:r>
      <w:r>
        <w:rPr>
          <w:spacing w:val="-2"/>
        </w:rPr>
        <w:t>别，并根据业务的需求情况，定期不定期组织各类其他培训活动。公司积极培养复合型人才，形成合理的人才梯队，不断加</w:t>
      </w:r>
    </w:p>
    <w:p>
      <w:pPr>
        <w:spacing w:after="0" w:line="319"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4"/>
        <w:ind w:right="1135"/>
        <w:jc w:val="both"/>
      </w:pPr>
      <w:r>
        <w:rPr>
          <w:spacing w:val="-2"/>
        </w:rPr>
        <w:t>强团队凝聚力，全面提高员工的工作热情，并逐渐培养了一批具有领军精神的人才，带领团队勇于钻研、敢于创新、吃苦耐</w:t>
      </w:r>
      <w:r>
        <w:rPr>
          <w:spacing w:val="-67"/>
        </w:rPr>
        <w:t> </w:t>
      </w:r>
      <w:r>
        <w:rPr>
          <w:spacing w:val="-67"/>
        </w:rPr>
      </w:r>
      <w:r>
        <w:rPr>
          <w:spacing w:val="-2"/>
        </w:rPr>
        <w:t>劳，为公司进一步的发展提供了有效的支持。未来，公司将在现有基础上，不断完善培训管理体系，为员工提供更好的培训</w:t>
      </w:r>
      <w:r>
        <w:rPr>
          <w:spacing w:val="-67"/>
        </w:rPr>
        <w:t> </w:t>
      </w:r>
      <w:r>
        <w:rPr>
          <w:spacing w:val="-67"/>
        </w:rPr>
      </w:r>
      <w:r>
        <w:rPr/>
        <w:t>发展平台，为企业经营水平和员工整体素质的提高提供支持和保障。</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both"/>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1384"/>
        <w:jc w:val="center"/>
        <w:rPr>
          <w:b w:val="0"/>
          <w:bCs w:val="0"/>
        </w:rPr>
      </w:pPr>
      <w:bookmarkStart w:name="_bookmark9" w:id="10"/>
      <w:bookmarkEnd w:id="10"/>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86"/>
        <w:jc w:val="left"/>
      </w:pPr>
      <w:r>
        <w:rPr>
          <w:spacing w:val="-4"/>
        </w:rPr>
        <w:t>报告期内，公司严格按照《公司法》、《证券法》、《上市公司治理准则》、《深圳证券交易所创业板股票上市规则》、</w:t>
      </w:r>
    </w:p>
    <w:p>
      <w:pPr>
        <w:pStyle w:val="BodyText"/>
        <w:spacing w:line="316" w:lineRule="auto" w:before="76"/>
        <w:ind w:right="1130"/>
        <w:jc w:val="both"/>
      </w:pPr>
      <w:r>
        <w:rPr>
          <w:spacing w:val="-2"/>
        </w:rPr>
        <w:t>《深圳证券交易所创业板上市公司规范运作指引》等有关法律、法规的要求，不断完善法人治理结构，建立健全公司内部控</w:t>
      </w:r>
      <w:r>
        <w:rPr>
          <w:spacing w:val="-64"/>
        </w:rPr>
        <w:t> </w:t>
      </w:r>
      <w:r>
        <w:rPr>
          <w:spacing w:val="-64"/>
        </w:rPr>
      </w:r>
      <w:r>
        <w:rPr>
          <w:spacing w:val="-2"/>
        </w:rPr>
        <w:t>制制度，充分发挥董事会各专门委员会的职能和作用，更好的提升董事会专业化程度，进一步促进公司规范运作，提高公司</w:t>
      </w:r>
      <w:r>
        <w:rPr>
          <w:spacing w:val="-65"/>
        </w:rPr>
        <w:t> </w:t>
      </w:r>
      <w:r>
        <w:rPr>
          <w:spacing w:val="-65"/>
        </w:rPr>
      </w:r>
      <w:r>
        <w:rPr/>
        <w:t>整体治理水平。</w:t>
      </w:r>
    </w:p>
    <w:p>
      <w:pPr>
        <w:pStyle w:val="BodyText"/>
        <w:spacing w:line="314" w:lineRule="auto" w:before="19"/>
        <w:ind w:right="1129" w:firstLine="360"/>
        <w:jc w:val="both"/>
      </w:pPr>
      <w:r>
        <w:rPr>
          <w:spacing w:val="-2"/>
        </w:rPr>
        <w:t>公司董事会对报告期内公司财务报告、信息披露、关联交易、对外担保等事务相关的内部控制制度的建立和实施情况进</w:t>
      </w:r>
      <w:r>
        <w:rPr/>
        <w:t> </w:t>
      </w:r>
      <w:r>
        <w:rPr>
          <w:spacing w:val="-2"/>
        </w:rPr>
        <w:t>行了审查，出具了北京君正集成电路股份有限公司《</w:t>
      </w:r>
      <w:r>
        <w:rPr>
          <w:rFonts w:ascii="Times New Roman" w:hAnsi="Times New Roman" w:cs="Times New Roman" w:eastAsia="Times New Roman" w:hint="default"/>
          <w:spacing w:val="-2"/>
        </w:rPr>
        <w:t>2019</w:t>
      </w:r>
      <w:r>
        <w:rPr>
          <w:spacing w:val="-2"/>
        </w:rPr>
        <w:t>年度内部控制自我评价报告》，并提交公司第四届董事会第十二次</w:t>
      </w:r>
      <w:r>
        <w:rPr>
          <w:spacing w:val="-60"/>
        </w:rPr>
        <w:t> </w:t>
      </w:r>
      <w:r>
        <w:rPr>
          <w:spacing w:val="-60"/>
        </w:rPr>
      </w:r>
      <w:r>
        <w:rPr>
          <w:spacing w:val="-2"/>
        </w:rPr>
        <w:t>会议审议通过，公司独立董事、监事及会计师事务所对该报告发表了意见。公司董事会认为，根据公司财务报告内部控制重</w:t>
      </w:r>
      <w:r>
        <w:rPr>
          <w:spacing w:val="-65"/>
        </w:rPr>
        <w:t> </w:t>
      </w:r>
      <w:r>
        <w:rPr>
          <w:spacing w:val="-65"/>
        </w:rPr>
      </w:r>
      <w:r>
        <w:rPr>
          <w:spacing w:val="-2"/>
        </w:rPr>
        <w:t>大缺陷的认定情况，于内部控制自我评价报告基准日，不存在财务报告内部控制重大缺陷，公司已按照企业内部控制规范体</w:t>
      </w:r>
      <w:r>
        <w:rPr>
          <w:spacing w:val="-63"/>
        </w:rPr>
        <w:t> </w:t>
      </w:r>
      <w:r>
        <w:rPr>
          <w:spacing w:val="-63"/>
        </w:rPr>
      </w:r>
      <w:r>
        <w:rPr>
          <w:spacing w:val="-2"/>
        </w:rPr>
        <w:t>系和相关规定的要求在所有重大方面保持了有效的财务报告内部控制；根据公司非财务报告内部控制重大缺陷认定情况，于</w:t>
      </w:r>
      <w:r>
        <w:rPr>
          <w:spacing w:val="-64"/>
        </w:rPr>
        <w:t> </w:t>
      </w:r>
      <w:r>
        <w:rPr>
          <w:spacing w:val="-64"/>
        </w:rPr>
      </w:r>
      <w:r>
        <w:rPr>
          <w:spacing w:val="-2"/>
        </w:rPr>
        <w:t>内部控制自我评价报告基准日，公司未发现非财务报告内部控制重大缺陷。自内部控制自我评价报告基准日至内部控制自我</w:t>
      </w:r>
      <w:r>
        <w:rPr>
          <w:spacing w:val="-64"/>
        </w:rPr>
        <w:t> </w:t>
      </w:r>
      <w:r>
        <w:rPr>
          <w:spacing w:val="-64"/>
        </w:rPr>
      </w:r>
      <w:r>
        <w:rPr/>
        <w:t>评价报告发出日之间未发生影响内部控制有效性评价结论的因素。</w:t>
      </w:r>
    </w:p>
    <w:p>
      <w:pPr>
        <w:pStyle w:val="BodyText"/>
        <w:spacing w:line="316" w:lineRule="auto" w:before="20"/>
        <w:ind w:left="513" w:right="986"/>
        <w:jc w:val="left"/>
      </w:pPr>
      <w:r>
        <w:rPr/>
        <w:t>（一）关于股东与股东大会 </w:t>
      </w:r>
      <w:r>
        <w:rPr>
          <w:spacing w:val="-4"/>
        </w:rPr>
        <w:t>公司严格按照《上市公司股东大会规则》、《公司章程》、《股东大会议事规则》等规定和要求，召集、召开股东大会，</w:t>
      </w:r>
    </w:p>
    <w:p>
      <w:pPr>
        <w:pStyle w:val="BodyText"/>
        <w:spacing w:line="316" w:lineRule="auto" w:before="19"/>
        <w:ind w:right="1130"/>
        <w:jc w:val="both"/>
      </w:pPr>
      <w:r>
        <w:rPr>
          <w:spacing w:val="-2"/>
        </w:rPr>
        <w:t>平等对待所有股东，并尽可能为股东能够参加股东大会提供便利，使其充分行使股东权利；通过聘请律师出席见证保证了会</w:t>
      </w:r>
      <w:r>
        <w:rPr>
          <w:spacing w:val="-63"/>
        </w:rPr>
        <w:t> </w:t>
      </w:r>
      <w:r>
        <w:rPr>
          <w:spacing w:val="-63"/>
        </w:rPr>
      </w:r>
      <w:r>
        <w:rPr/>
        <w:t>议的召集、召开和表决程序的合法性。</w:t>
      </w:r>
    </w:p>
    <w:p>
      <w:pPr>
        <w:pStyle w:val="BodyText"/>
        <w:spacing w:line="316" w:lineRule="auto" w:before="19"/>
        <w:ind w:left="513" w:right="1118"/>
        <w:jc w:val="left"/>
      </w:pPr>
      <w:r>
        <w:rPr/>
        <w:t>（二）关于公司与控股股东 </w:t>
      </w:r>
      <w:r>
        <w:rPr>
          <w:spacing w:val="-2"/>
        </w:rPr>
        <w:t>公司控股股东严格规范自己的行为，依法行使权力和承担义务，没有超越股东大会直接或间接干预公司的决策和经营活</w:t>
      </w:r>
    </w:p>
    <w:p>
      <w:pPr>
        <w:pStyle w:val="BodyText"/>
        <w:spacing w:line="316" w:lineRule="auto" w:before="19"/>
        <w:ind w:right="1136"/>
        <w:jc w:val="both"/>
      </w:pPr>
      <w:r>
        <w:rPr>
          <w:spacing w:val="-2"/>
        </w:rPr>
        <w:t>动。公司拥有独立完整的业务和自主经营能力，在资产、人员、机构、财务上均独立于控股股东，公司董事会、监事会和内</w:t>
      </w:r>
      <w:r>
        <w:rPr>
          <w:spacing w:val="-73"/>
        </w:rPr>
        <w:t> </w:t>
      </w:r>
      <w:r>
        <w:rPr>
          <w:spacing w:val="-73"/>
        </w:rPr>
      </w:r>
      <w:r>
        <w:rPr/>
        <w:t>部机构独立运作。</w:t>
      </w:r>
    </w:p>
    <w:p>
      <w:pPr>
        <w:pStyle w:val="BodyText"/>
        <w:spacing w:line="316" w:lineRule="auto" w:before="19"/>
        <w:ind w:left="513" w:right="1118"/>
        <w:jc w:val="left"/>
      </w:pPr>
      <w:r>
        <w:rPr/>
        <w:t>（三）关于董事和董事会 </w:t>
      </w:r>
      <w:r>
        <w:rPr>
          <w:spacing w:val="-2"/>
        </w:rPr>
        <w:t>公司董事会设董事</w:t>
      </w:r>
      <w:r>
        <w:rPr>
          <w:rFonts w:ascii="Times New Roman" w:hAnsi="Times New Roman" w:cs="Times New Roman" w:eastAsia="Times New Roman" w:hint="default"/>
          <w:spacing w:val="-2"/>
        </w:rPr>
        <w:t>6</w:t>
      </w:r>
      <w:r>
        <w:rPr>
          <w:spacing w:val="-2"/>
        </w:rPr>
        <w:t>名，其中独立董事</w:t>
      </w:r>
      <w:r>
        <w:rPr>
          <w:rFonts w:ascii="Times New Roman" w:hAnsi="Times New Roman" w:cs="Times New Roman" w:eastAsia="Times New Roman" w:hint="default"/>
          <w:spacing w:val="-2"/>
        </w:rPr>
        <w:t>2</w:t>
      </w:r>
      <w:r>
        <w:rPr>
          <w:spacing w:val="-2"/>
        </w:rPr>
        <w:t>名，董事会的人数及人员构成符合法律、法规和《公司章程》的要求。各位董事</w:t>
      </w:r>
    </w:p>
    <w:p>
      <w:pPr>
        <w:pStyle w:val="BodyText"/>
        <w:spacing w:line="316" w:lineRule="auto"/>
        <w:ind w:right="1133"/>
        <w:jc w:val="both"/>
      </w:pPr>
      <w:r>
        <w:rPr>
          <w:spacing w:val="-2"/>
        </w:rPr>
        <w:t>能够依据《董事会议事规则》、《独立董事工作制度》、《深圳证券交易所创业板上市公司规范运作指引》等开展工作，出</w:t>
      </w:r>
      <w:r>
        <w:rPr>
          <w:spacing w:val="-68"/>
        </w:rPr>
        <w:t> </w:t>
      </w:r>
      <w:r>
        <w:rPr>
          <w:spacing w:val="-68"/>
        </w:rPr>
      </w:r>
      <w:r>
        <w:rPr/>
        <w:t>席董事会和股东大会，勤勉尽责地履行职责和义务，同时积极参加相关培训，学习相关法律法规。</w:t>
      </w:r>
    </w:p>
    <w:p>
      <w:pPr>
        <w:pStyle w:val="BodyText"/>
        <w:spacing w:line="316" w:lineRule="auto" w:before="19"/>
        <w:ind w:left="513" w:right="1118"/>
        <w:jc w:val="left"/>
      </w:pPr>
      <w:r>
        <w:rPr/>
        <w:t>（四）关于监事和监事会 </w:t>
      </w:r>
      <w:r>
        <w:rPr>
          <w:spacing w:val="-2"/>
        </w:rPr>
        <w:t>公司监事会设监事</w:t>
      </w:r>
      <w:r>
        <w:rPr>
          <w:rFonts w:ascii="Times New Roman" w:hAnsi="Times New Roman" w:cs="Times New Roman" w:eastAsia="Times New Roman" w:hint="default"/>
          <w:spacing w:val="-2"/>
        </w:rPr>
        <w:t>3</w:t>
      </w:r>
      <w:r>
        <w:rPr>
          <w:spacing w:val="-2"/>
        </w:rPr>
        <w:t>名，其中职工监事</w:t>
      </w:r>
      <w:r>
        <w:rPr>
          <w:rFonts w:ascii="Times New Roman" w:hAnsi="Times New Roman" w:cs="Times New Roman" w:eastAsia="Times New Roman" w:hint="default"/>
          <w:spacing w:val="-2"/>
        </w:rPr>
        <w:t>1</w:t>
      </w:r>
      <w:r>
        <w:rPr>
          <w:spacing w:val="-2"/>
        </w:rPr>
        <w:t>名，监事会的人数和构成符合法律、法规的要求。各位监事能够按照《监事会议</w:t>
      </w:r>
    </w:p>
    <w:p>
      <w:pPr>
        <w:pStyle w:val="BodyText"/>
        <w:spacing w:line="316" w:lineRule="auto"/>
        <w:ind w:right="1043"/>
        <w:jc w:val="both"/>
      </w:pPr>
      <w:r>
        <w:rPr>
          <w:spacing w:val="-4"/>
        </w:rPr>
        <w:t>事规则》的要求，认真履行自己的职责，对公司重大事项、关联交易、财务状况以及董事、高级管理人员履行职责的合法性、</w:t>
      </w:r>
      <w:r>
        <w:rPr>
          <w:spacing w:val="-43"/>
        </w:rPr>
        <w:t> </w:t>
      </w:r>
      <w:r>
        <w:rPr>
          <w:spacing w:val="-43"/>
        </w:rPr>
      </w:r>
      <w:r>
        <w:rPr/>
        <w:t>合规性进行监督。</w:t>
      </w:r>
    </w:p>
    <w:p>
      <w:pPr>
        <w:pStyle w:val="BodyText"/>
        <w:spacing w:line="316" w:lineRule="auto" w:before="19"/>
        <w:ind w:left="513" w:right="1133"/>
        <w:jc w:val="left"/>
      </w:pPr>
      <w:r>
        <w:rPr/>
        <w:t>（五）关于绩效评价与激励约束机制 </w:t>
      </w:r>
      <w:r>
        <w:rPr>
          <w:spacing w:val="-2"/>
        </w:rPr>
        <w:t>公司逐步建立和完善企业绩效评价激励体系，高级管理人员的聘任公开、透明，符合法律、法规的规定。报告期内，本</w:t>
      </w:r>
    </w:p>
    <w:p>
      <w:pPr>
        <w:pStyle w:val="BodyText"/>
        <w:spacing w:line="240" w:lineRule="auto" w:before="19"/>
        <w:ind w:right="0"/>
        <w:jc w:val="both"/>
      </w:pPr>
      <w:r>
        <w:rPr/>
        <w:t>公司高级管理人员经考核，均认真履行了工作职责。</w:t>
      </w:r>
    </w:p>
    <w:p>
      <w:pPr>
        <w:pStyle w:val="BodyText"/>
        <w:spacing w:line="316" w:lineRule="auto" w:before="76"/>
        <w:ind w:left="513" w:right="1133"/>
        <w:jc w:val="left"/>
      </w:pPr>
      <w:r>
        <w:rPr/>
        <w:t>（六）关于信息披露与透明度 </w:t>
      </w:r>
      <w:r>
        <w:rPr>
          <w:spacing w:val="-2"/>
        </w:rPr>
        <w:t>公司严格按照有关法律法规以及《信息披露事务管理制度》等公司制度的要求，真实、准确、及时、公平、完整地披露</w:t>
      </w:r>
    </w:p>
    <w:p>
      <w:pPr>
        <w:pStyle w:val="BodyText"/>
        <w:spacing w:line="300" w:lineRule="auto" w:before="19"/>
        <w:ind w:right="1134"/>
        <w:jc w:val="both"/>
      </w:pPr>
      <w:r>
        <w:rPr/>
        <w:t>有关信息，并指定《证券时报》和巨潮资讯网（</w:t>
      </w:r>
      <w:r>
        <w:rPr>
          <w:rFonts w:ascii="Times New Roman" w:hAnsi="Times New Roman" w:cs="Times New Roman" w:eastAsia="Times New Roman" w:hint="default"/>
          <w:color w:val="0000FF"/>
        </w:rPr>
      </w:r>
      <w:hyperlink r:id="rId9">
        <w:r>
          <w:rPr>
            <w:rFonts w:ascii="Times New Roman" w:hAnsi="Times New Roman" w:cs="Times New Roman" w:eastAsia="Times New Roman" w:hint="default"/>
            <w:color w:val="0000FF"/>
            <w:u w:val="single" w:color="0000FF"/>
          </w:rPr>
          <w:t>http://www.cninfo.com.cn</w:t>
        </w:r>
        <w:r>
          <w:rPr>
            <w:rFonts w:ascii="Times New Roman" w:hAnsi="Times New Roman" w:cs="Times New Roman" w:eastAsia="Times New Roman" w:hint="default"/>
            <w:color w:val="0000FF"/>
          </w:rPr>
        </w:r>
      </w:hyperlink>
      <w:r>
        <w:rPr/>
        <w:t>）为公司信息披露的指定报纸和网站，确保了所有 股东在获得公司信息方面享有的平等机会。</w:t>
      </w:r>
    </w:p>
    <w:p>
      <w:pPr>
        <w:pStyle w:val="BodyText"/>
        <w:spacing w:line="316" w:lineRule="auto" w:before="31"/>
        <w:ind w:left="513" w:right="1118"/>
        <w:jc w:val="left"/>
      </w:pPr>
      <w:r>
        <w:rPr/>
        <w:t>（七）关于投资者关系管理 </w:t>
      </w:r>
      <w:r>
        <w:rPr>
          <w:spacing w:val="-2"/>
        </w:rPr>
        <w:t>公司上市以来，不断摸索、改进和充分的开展投资者关系管理工作，指定专人负责与投资者进行沟通和交流，协调公司</w:t>
      </w:r>
    </w:p>
    <w:p>
      <w:pPr>
        <w:pStyle w:val="BodyText"/>
        <w:spacing w:line="316" w:lineRule="auto" w:before="19"/>
        <w:ind w:right="1051"/>
        <w:jc w:val="both"/>
      </w:pPr>
      <w:r>
        <w:rPr/>
        <w:t>与投资者的关系。同时，公司通过电话、邮箱、投资者互动平台等多种渠道，积极、全面的与投资者建立良好的互动关系， 保障了全体股东的合法权益。</w:t>
      </w:r>
    </w:p>
    <w:p>
      <w:pPr>
        <w:spacing w:after="0" w:line="316" w:lineRule="auto"/>
        <w:jc w:val="both"/>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60" w:lineRule="auto" w:before="44"/>
        <w:ind w:left="513" w:right="1133"/>
        <w:jc w:val="left"/>
      </w:pPr>
      <w:r>
        <w:rPr/>
        <w:t>（八）关于相关利益者 </w:t>
      </w:r>
      <w:r>
        <w:rPr>
          <w:spacing w:val="-2"/>
        </w:rPr>
        <w:t>公司充分尊重和维护相关利益者的合法权益，实现股东、员工、社会等各方利益的协调平衡，共同推动公司持续、健康</w:t>
      </w:r>
    </w:p>
    <w:p>
      <w:pPr>
        <w:pStyle w:val="BodyText"/>
        <w:spacing w:line="222" w:lineRule="exact"/>
        <w:ind w:right="1133"/>
        <w:jc w:val="left"/>
      </w:pPr>
      <w:r>
        <w:rPr/>
        <w:t>的发展。</w:t>
      </w:r>
    </w:p>
    <w:p>
      <w:pPr>
        <w:pStyle w:val="BodyText"/>
        <w:spacing w:line="240" w:lineRule="auto" w:before="115"/>
        <w:ind w:right="1133"/>
        <w:jc w:val="left"/>
      </w:pPr>
      <w:r>
        <w:rPr/>
        <w:t>公司治理的实际状况与中国证监会发布的有关上市公司治理的规范性文件是否存在重大差异</w:t>
      </w:r>
    </w:p>
    <w:p>
      <w:pPr>
        <w:pStyle w:val="BodyText"/>
        <w:spacing w:line="340" w:lineRule="auto" w:before="117"/>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986" w:firstLine="360"/>
        <w:jc w:val="left"/>
      </w:pPr>
      <w:r>
        <w:rPr>
          <w:spacing w:val="-4"/>
        </w:rPr>
        <w:t>公司严格按照《公司法》、《证券法》等有关法律法规和《公司章程》的要求规范运作，公司资产完整，在业务、人员、</w:t>
      </w:r>
      <w:r>
        <w:rPr/>
        <w:t> 财务及机构等方面独立于控股股东和实际控制人，具有完整的业务体系及面向市场独立经营的能力。</w:t>
      </w:r>
    </w:p>
    <w:p>
      <w:pPr>
        <w:spacing w:line="240" w:lineRule="auto" w:before="9"/>
        <w:rPr>
          <w:rFonts w:ascii="宋体" w:hAnsi="宋体" w:cs="宋体" w:eastAsia="宋体" w:hint="default"/>
          <w:sz w:val="20"/>
          <w:szCs w:val="20"/>
        </w:rPr>
      </w:pPr>
    </w:p>
    <w:p>
      <w:pPr>
        <w:pStyle w:val="Heading2"/>
        <w:spacing w:line="240" w:lineRule="auto"/>
        <w:ind w:right="1133"/>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74"/>
        <w:gridCol w:w="1474"/>
        <w:gridCol w:w="1476"/>
        <w:gridCol w:w="1474"/>
        <w:gridCol w:w="1474"/>
        <w:gridCol w:w="2269"/>
      </w:tblGrid>
      <w:tr>
        <w:trPr>
          <w:trHeight w:val="401" w:hRule="exact"/>
        </w:trPr>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70"/>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5" w:hRule="exact"/>
        </w:trPr>
        <w:tc>
          <w:tcPr>
            <w:tcW w:w="1474" w:type="dxa"/>
            <w:tcBorders>
              <w:top w:val="single" w:sz="4" w:space="0" w:color="000000"/>
              <w:left w:val="single" w:sz="4" w:space="0" w:color="000000"/>
              <w:bottom w:val="nil" w:sz="6" w:space="0" w:color="auto"/>
              <w:right w:val="single" w:sz="4" w:space="0" w:color="000000"/>
            </w:tcBorders>
          </w:tcPr>
          <w:p>
            <w:pPr/>
          </w:p>
        </w:tc>
        <w:tc>
          <w:tcPr>
            <w:tcW w:w="1474" w:type="dxa"/>
            <w:tcBorders>
              <w:top w:val="single" w:sz="4" w:space="0" w:color="000000"/>
              <w:left w:val="single" w:sz="4" w:space="0" w:color="000000"/>
              <w:bottom w:val="nil" w:sz="6" w:space="0" w:color="auto"/>
              <w:right w:val="single" w:sz="4" w:space="0" w:color="000000"/>
            </w:tcBorders>
          </w:tcPr>
          <w:p>
            <w:pPr/>
          </w:p>
        </w:tc>
        <w:tc>
          <w:tcPr>
            <w:tcW w:w="1476" w:type="dxa"/>
            <w:tcBorders>
              <w:top w:val="single" w:sz="4" w:space="0" w:color="000000"/>
              <w:left w:val="single" w:sz="4" w:space="0" w:color="000000"/>
              <w:bottom w:val="nil" w:sz="6" w:space="0" w:color="auto"/>
              <w:right w:val="single" w:sz="4" w:space="0" w:color="000000"/>
            </w:tcBorders>
          </w:tcPr>
          <w:p>
            <w:pPr/>
          </w:p>
        </w:tc>
        <w:tc>
          <w:tcPr>
            <w:tcW w:w="1474" w:type="dxa"/>
            <w:tcBorders>
              <w:top w:val="single" w:sz="4" w:space="0" w:color="000000"/>
              <w:left w:val="single" w:sz="4" w:space="0" w:color="000000"/>
              <w:bottom w:val="nil" w:sz="6" w:space="0" w:color="auto"/>
              <w:right w:val="single" w:sz="4" w:space="0" w:color="000000"/>
            </w:tcBorders>
          </w:tcPr>
          <w:p>
            <w:pPr/>
          </w:p>
        </w:tc>
        <w:tc>
          <w:tcPr>
            <w:tcW w:w="1474" w:type="dxa"/>
            <w:tcBorders>
              <w:top w:val="single" w:sz="4" w:space="0" w:color="000000"/>
              <w:left w:val="single" w:sz="4" w:space="0" w:color="000000"/>
              <w:bottom w:val="nil" w:sz="6" w:space="0" w:color="auto"/>
              <w:right w:val="single" w:sz="4" w:space="0" w:color="000000"/>
            </w:tcBorders>
          </w:tcPr>
          <w:p>
            <w:pPr/>
          </w:p>
        </w:tc>
        <w:tc>
          <w:tcPr>
            <w:tcW w:w="22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24" w:hRule="exact"/>
        </w:trPr>
        <w:tc>
          <w:tcPr>
            <w:tcW w:w="1474"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4"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 大会</w:t>
            </w:r>
          </w:p>
        </w:tc>
        <w:tc>
          <w:tcPr>
            <w:tcW w:w="147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358"/>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28.46%</w:t>
            </w:r>
          </w:p>
        </w:tc>
        <w:tc>
          <w:tcPr>
            <w:tcW w:w="147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47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22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9">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2"/>
                  <w:sz w:val="18"/>
                  <w:szCs w:val="18"/>
                </w:rPr>
                <w:t>n</w:t>
              </w:r>
            </w:hyperlink>
            <w:r>
              <w:rPr>
                <w:rFonts w:ascii="宋体" w:hAnsi="宋体" w:cs="宋体" w:eastAsia="宋体" w:hint="default"/>
                <w:spacing w:val="-14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2018</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年年度股东大会决议公告》</w:t>
            </w:r>
          </w:p>
        </w:tc>
      </w:tr>
      <w:tr>
        <w:trPr>
          <w:trHeight w:val="360" w:hRule="exact"/>
        </w:trPr>
        <w:tc>
          <w:tcPr>
            <w:tcW w:w="1474" w:type="dxa"/>
            <w:tcBorders>
              <w:top w:val="nil" w:sz="6" w:space="0" w:color="auto"/>
              <w:left w:val="single" w:sz="4" w:space="0" w:color="000000"/>
              <w:bottom w:val="single" w:sz="4" w:space="0" w:color="000000"/>
              <w:right w:val="single" w:sz="4" w:space="0" w:color="000000"/>
            </w:tcBorders>
          </w:tcPr>
          <w:p>
            <w:pPr/>
          </w:p>
        </w:tc>
        <w:tc>
          <w:tcPr>
            <w:tcW w:w="1474" w:type="dxa"/>
            <w:tcBorders>
              <w:top w:val="nil" w:sz="6" w:space="0" w:color="auto"/>
              <w:left w:val="single" w:sz="4" w:space="0" w:color="000000"/>
              <w:bottom w:val="single" w:sz="4" w:space="0" w:color="000000"/>
              <w:right w:val="single" w:sz="4" w:space="0" w:color="000000"/>
            </w:tcBorders>
          </w:tcPr>
          <w:p>
            <w:pPr/>
          </w:p>
        </w:tc>
        <w:tc>
          <w:tcPr>
            <w:tcW w:w="1476" w:type="dxa"/>
            <w:tcBorders>
              <w:top w:val="nil" w:sz="6" w:space="0" w:color="auto"/>
              <w:left w:val="single" w:sz="4" w:space="0" w:color="000000"/>
              <w:bottom w:val="single" w:sz="4" w:space="0" w:color="000000"/>
              <w:right w:val="single" w:sz="4" w:space="0" w:color="000000"/>
            </w:tcBorders>
          </w:tcPr>
          <w:p>
            <w:pPr/>
          </w:p>
        </w:tc>
        <w:tc>
          <w:tcPr>
            <w:tcW w:w="1474" w:type="dxa"/>
            <w:tcBorders>
              <w:top w:val="nil" w:sz="6" w:space="0" w:color="auto"/>
              <w:left w:val="single" w:sz="4" w:space="0" w:color="000000"/>
              <w:bottom w:val="single" w:sz="4" w:space="0" w:color="000000"/>
              <w:right w:val="single" w:sz="4" w:space="0" w:color="000000"/>
            </w:tcBorders>
          </w:tcPr>
          <w:p>
            <w:pPr/>
          </w:p>
        </w:tc>
        <w:tc>
          <w:tcPr>
            <w:tcW w:w="1474" w:type="dxa"/>
            <w:tcBorders>
              <w:top w:val="nil" w:sz="6" w:space="0" w:color="auto"/>
              <w:left w:val="single" w:sz="4" w:space="0" w:color="000000"/>
              <w:bottom w:val="single" w:sz="4" w:space="0" w:color="000000"/>
              <w:right w:val="single" w:sz="4" w:space="0" w:color="000000"/>
            </w:tcBorders>
          </w:tcPr>
          <w:p>
            <w:pPr/>
          </w:p>
        </w:tc>
        <w:tc>
          <w:tcPr>
            <w:tcW w:w="22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（公告号：</w:t>
            </w:r>
            <w:r>
              <w:rPr>
                <w:rFonts w:ascii="Times New Roman" w:hAnsi="Times New Roman" w:cs="Times New Roman" w:eastAsia="Times New Roman" w:hint="default"/>
                <w:sz w:val="18"/>
                <w:szCs w:val="18"/>
              </w:rPr>
              <w:t>2019-037</w:t>
            </w:r>
            <w:r>
              <w:rPr>
                <w:rFonts w:ascii="宋体" w:hAnsi="宋体" w:cs="宋体" w:eastAsia="宋体" w:hint="default"/>
                <w:sz w:val="18"/>
                <w:szCs w:val="18"/>
              </w:rPr>
              <w:t>）</w:t>
            </w:r>
          </w:p>
        </w:tc>
      </w:tr>
      <w:tr>
        <w:trPr>
          <w:trHeight w:val="355" w:hRule="exact"/>
        </w:trPr>
        <w:tc>
          <w:tcPr>
            <w:tcW w:w="1474" w:type="dxa"/>
            <w:tcBorders>
              <w:top w:val="single" w:sz="4" w:space="0" w:color="000000"/>
              <w:left w:val="single" w:sz="4" w:space="0" w:color="000000"/>
              <w:bottom w:val="nil" w:sz="6" w:space="0" w:color="auto"/>
              <w:right w:val="single" w:sz="4" w:space="0" w:color="000000"/>
            </w:tcBorders>
          </w:tcPr>
          <w:p>
            <w:pPr/>
          </w:p>
        </w:tc>
        <w:tc>
          <w:tcPr>
            <w:tcW w:w="1474" w:type="dxa"/>
            <w:tcBorders>
              <w:top w:val="single" w:sz="4" w:space="0" w:color="000000"/>
              <w:left w:val="single" w:sz="4" w:space="0" w:color="000000"/>
              <w:bottom w:val="nil" w:sz="6" w:space="0" w:color="auto"/>
              <w:right w:val="single" w:sz="4" w:space="0" w:color="000000"/>
            </w:tcBorders>
          </w:tcPr>
          <w:p>
            <w:pPr/>
          </w:p>
        </w:tc>
        <w:tc>
          <w:tcPr>
            <w:tcW w:w="1476" w:type="dxa"/>
            <w:tcBorders>
              <w:top w:val="single" w:sz="4" w:space="0" w:color="000000"/>
              <w:left w:val="single" w:sz="4" w:space="0" w:color="000000"/>
              <w:bottom w:val="nil" w:sz="6" w:space="0" w:color="auto"/>
              <w:right w:val="single" w:sz="4" w:space="0" w:color="000000"/>
            </w:tcBorders>
          </w:tcPr>
          <w:p>
            <w:pPr/>
          </w:p>
        </w:tc>
        <w:tc>
          <w:tcPr>
            <w:tcW w:w="1474" w:type="dxa"/>
            <w:tcBorders>
              <w:top w:val="single" w:sz="4" w:space="0" w:color="000000"/>
              <w:left w:val="single" w:sz="4" w:space="0" w:color="000000"/>
              <w:bottom w:val="nil" w:sz="6" w:space="0" w:color="auto"/>
              <w:right w:val="single" w:sz="4" w:space="0" w:color="000000"/>
            </w:tcBorders>
          </w:tcPr>
          <w:p>
            <w:pPr/>
          </w:p>
        </w:tc>
        <w:tc>
          <w:tcPr>
            <w:tcW w:w="1474" w:type="dxa"/>
            <w:tcBorders>
              <w:top w:val="single" w:sz="4" w:space="0" w:color="000000"/>
              <w:left w:val="single" w:sz="4" w:space="0" w:color="000000"/>
              <w:bottom w:val="nil" w:sz="6" w:space="0" w:color="auto"/>
              <w:right w:val="single" w:sz="4" w:space="0" w:color="000000"/>
            </w:tcBorders>
          </w:tcPr>
          <w:p>
            <w:pPr/>
          </w:p>
        </w:tc>
        <w:tc>
          <w:tcPr>
            <w:tcW w:w="22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24" w:hRule="exact"/>
        </w:trPr>
        <w:tc>
          <w:tcPr>
            <w:tcW w:w="1474"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4"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 时股东大会</w:t>
            </w:r>
          </w:p>
        </w:tc>
        <w:tc>
          <w:tcPr>
            <w:tcW w:w="147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35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41.30%</w:t>
            </w:r>
          </w:p>
        </w:tc>
        <w:tc>
          <w:tcPr>
            <w:tcW w:w="147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47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22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9">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2"/>
                  <w:sz w:val="18"/>
                  <w:szCs w:val="18"/>
                </w:rPr>
                <w:t>n</w:t>
              </w:r>
            </w:hyperlink>
            <w:r>
              <w:rPr>
                <w:rFonts w:ascii="宋体" w:hAnsi="宋体" w:cs="宋体" w:eastAsia="宋体" w:hint="default"/>
                <w:spacing w:val="-14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2019</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年第一次临时股东大会决议</w:t>
            </w:r>
          </w:p>
        </w:tc>
      </w:tr>
      <w:tr>
        <w:trPr>
          <w:trHeight w:val="357" w:hRule="exact"/>
        </w:trPr>
        <w:tc>
          <w:tcPr>
            <w:tcW w:w="1474" w:type="dxa"/>
            <w:tcBorders>
              <w:top w:val="nil" w:sz="6" w:space="0" w:color="auto"/>
              <w:left w:val="single" w:sz="4" w:space="0" w:color="000000"/>
              <w:bottom w:val="single" w:sz="4" w:space="0" w:color="000000"/>
              <w:right w:val="single" w:sz="4" w:space="0" w:color="000000"/>
            </w:tcBorders>
          </w:tcPr>
          <w:p>
            <w:pPr/>
          </w:p>
        </w:tc>
        <w:tc>
          <w:tcPr>
            <w:tcW w:w="1474" w:type="dxa"/>
            <w:tcBorders>
              <w:top w:val="nil" w:sz="6" w:space="0" w:color="auto"/>
              <w:left w:val="single" w:sz="4" w:space="0" w:color="000000"/>
              <w:bottom w:val="single" w:sz="4" w:space="0" w:color="000000"/>
              <w:right w:val="single" w:sz="4" w:space="0" w:color="000000"/>
            </w:tcBorders>
          </w:tcPr>
          <w:p>
            <w:pPr/>
          </w:p>
        </w:tc>
        <w:tc>
          <w:tcPr>
            <w:tcW w:w="1476" w:type="dxa"/>
            <w:tcBorders>
              <w:top w:val="nil" w:sz="6" w:space="0" w:color="auto"/>
              <w:left w:val="single" w:sz="4" w:space="0" w:color="000000"/>
              <w:bottom w:val="single" w:sz="4" w:space="0" w:color="000000"/>
              <w:right w:val="single" w:sz="4" w:space="0" w:color="000000"/>
            </w:tcBorders>
          </w:tcPr>
          <w:p>
            <w:pPr/>
          </w:p>
        </w:tc>
        <w:tc>
          <w:tcPr>
            <w:tcW w:w="1474" w:type="dxa"/>
            <w:tcBorders>
              <w:top w:val="nil" w:sz="6" w:space="0" w:color="auto"/>
              <w:left w:val="single" w:sz="4" w:space="0" w:color="000000"/>
              <w:bottom w:val="single" w:sz="4" w:space="0" w:color="000000"/>
              <w:right w:val="single" w:sz="4" w:space="0" w:color="000000"/>
            </w:tcBorders>
          </w:tcPr>
          <w:p>
            <w:pPr/>
          </w:p>
        </w:tc>
        <w:tc>
          <w:tcPr>
            <w:tcW w:w="1474" w:type="dxa"/>
            <w:tcBorders>
              <w:top w:val="nil" w:sz="6" w:space="0" w:color="auto"/>
              <w:left w:val="single" w:sz="4" w:space="0" w:color="000000"/>
              <w:bottom w:val="single" w:sz="4" w:space="0" w:color="000000"/>
              <w:right w:val="single" w:sz="4" w:space="0" w:color="000000"/>
            </w:tcBorders>
          </w:tcPr>
          <w:p>
            <w:pPr/>
          </w:p>
        </w:tc>
        <w:tc>
          <w:tcPr>
            <w:tcW w:w="22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公告</w:t>
            </w:r>
            <w:r>
              <w:rPr>
                <w:rFonts w:ascii="宋体" w:hAnsi="宋体" w:cs="宋体" w:eastAsia="宋体" w:hint="default"/>
                <w:spacing w:val="-92"/>
                <w:sz w:val="18"/>
                <w:szCs w:val="18"/>
              </w:rPr>
              <w:t>》</w:t>
            </w:r>
            <w:r>
              <w:rPr>
                <w:rFonts w:ascii="宋体" w:hAnsi="宋体" w:cs="宋体" w:eastAsia="宋体" w:hint="default"/>
                <w:sz w:val="18"/>
                <w:szCs w:val="18"/>
              </w:rPr>
              <w:t>（公告号：</w:t>
            </w:r>
            <w:r>
              <w:rPr>
                <w:rFonts w:ascii="Times New Roman" w:hAnsi="Times New Roman" w:cs="Times New Roman" w:eastAsia="Times New Roman" w:hint="default"/>
                <w:spacing w:val="1"/>
                <w:sz w:val="18"/>
                <w:szCs w:val="18"/>
              </w:rPr>
              <w:t>2019</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2"/>
        <w:gridCol w:w="1164"/>
        <w:gridCol w:w="1162"/>
        <w:gridCol w:w="1165"/>
        <w:gridCol w:w="1164"/>
      </w:tblGrid>
      <w:tr>
        <w:trPr>
          <w:trHeight w:val="403" w:hRule="exact"/>
        </w:trPr>
        <w:tc>
          <w:tcPr>
            <w:tcW w:w="957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bl>
    <w:p>
      <w:pPr>
        <w:spacing w:after="0" w:line="316"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4"/>
        <w:gridCol w:w="1162"/>
        <w:gridCol w:w="1164"/>
        <w:gridCol w:w="1162"/>
        <w:gridCol w:w="1165"/>
        <w:gridCol w:w="1164"/>
      </w:tblGrid>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梁云凤</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王艳辉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348" w:lineRule="auto" w:before="49"/>
        <w:ind w:right="7244"/>
        <w:jc w:val="left"/>
      </w:pPr>
      <w:r>
        <w:rPr/>
        <w:t>连续两次未亲自出席董事会的说明：无 </w:t>
      </w:r>
      <w:r>
        <w:rPr>
          <w:rFonts w:ascii="Times New Roman" w:hAnsi="Times New Roman" w:cs="Times New Roman" w:eastAsia="Times New Roman" w:hint="default"/>
        </w:rPr>
        <w:t>2</w:t>
      </w:r>
      <w:r>
        <w:rPr/>
        <w:t>、独立董事对公司有关事项提出异议的情况 独立董事对公司有关事项是否提出异议</w:t>
      </w:r>
    </w:p>
    <w:p>
      <w:pPr>
        <w:pStyle w:val="BodyText"/>
        <w:spacing w:line="338" w:lineRule="auto" w:before="36"/>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独立董事对公司有关建议是否被采纳</w:t>
      </w:r>
    </w:p>
    <w:p>
      <w:pPr>
        <w:pStyle w:val="BodyText"/>
        <w:spacing w:line="338" w:lineRule="auto" w:before="117"/>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04" w:lineRule="auto" w:before="43"/>
        <w:ind w:right="1034" w:firstLine="36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日召开的第四届董事会第二次会议，独立董事发表了关于续聘公司</w:t>
      </w:r>
      <w:r>
        <w:rPr>
          <w:rFonts w:ascii="Times New Roman" w:hAnsi="Times New Roman" w:cs="Times New Roman" w:eastAsia="Times New Roman" w:hint="default"/>
        </w:rPr>
        <w:t>2019</w:t>
      </w:r>
      <w:r>
        <w:rPr/>
        <w:t>年度审计机构的事前认可意见， </w:t>
      </w:r>
      <w:r>
        <w:rPr>
          <w:spacing w:val="-3"/>
        </w:rPr>
        <w:t>并对公司</w:t>
      </w:r>
      <w:r>
        <w:rPr>
          <w:rFonts w:ascii="Times New Roman" w:hAnsi="Times New Roman" w:cs="Times New Roman" w:eastAsia="Times New Roman" w:hint="default"/>
          <w:spacing w:val="-3"/>
        </w:rPr>
        <w:t>2018</w:t>
      </w:r>
      <w:r>
        <w:rPr>
          <w:spacing w:val="-3"/>
        </w:rPr>
        <w:t>年度关联交易事项、</w:t>
      </w:r>
      <w:r>
        <w:rPr>
          <w:rFonts w:ascii="Times New Roman" w:hAnsi="Times New Roman" w:cs="Times New Roman" w:eastAsia="Times New Roman" w:hint="default"/>
          <w:spacing w:val="-3"/>
        </w:rPr>
        <w:t>2018</w:t>
      </w:r>
      <w:r>
        <w:rPr>
          <w:spacing w:val="-3"/>
        </w:rPr>
        <w:t>年度累计和当期担保情况、</w:t>
      </w:r>
      <w:r>
        <w:rPr>
          <w:rFonts w:ascii="Times New Roman" w:hAnsi="Times New Roman" w:cs="Times New Roman" w:eastAsia="Times New Roman" w:hint="default"/>
          <w:spacing w:val="-3"/>
        </w:rPr>
        <w:t>2018</w:t>
      </w:r>
      <w:r>
        <w:rPr>
          <w:spacing w:val="-3"/>
        </w:rPr>
        <w:t>年度控股股东及其他关联方资金占用和对外担保情况、</w:t>
      </w:r>
      <w:r>
        <w:rPr>
          <w:spacing w:val="-86"/>
        </w:rPr>
        <w:t> </w:t>
      </w:r>
      <w:r>
        <w:rPr>
          <w:spacing w:val="-86"/>
        </w:rPr>
      </w:r>
      <w:r>
        <w:rPr>
          <w:rFonts w:ascii="Times New Roman" w:hAnsi="Times New Roman" w:cs="Times New Roman" w:eastAsia="Times New Roman" w:hint="default"/>
          <w:spacing w:val="-2"/>
        </w:rPr>
        <w:t>2018</w:t>
      </w:r>
      <w:r>
        <w:rPr>
          <w:spacing w:val="-2"/>
        </w:rPr>
        <w:t>年度利润分配及资本公积金转增股本预案、</w:t>
      </w:r>
      <w:r>
        <w:rPr>
          <w:rFonts w:ascii="Times New Roman" w:hAnsi="Times New Roman" w:cs="Times New Roman" w:eastAsia="Times New Roman" w:hint="default"/>
          <w:spacing w:val="-2"/>
        </w:rPr>
        <w:t>2018</w:t>
      </w:r>
      <w:r>
        <w:rPr>
          <w:spacing w:val="-2"/>
        </w:rPr>
        <w:t>年度募集资金存放与使用情况的专项报告、</w:t>
      </w:r>
      <w:r>
        <w:rPr>
          <w:rFonts w:ascii="Times New Roman" w:hAnsi="Times New Roman" w:cs="Times New Roman" w:eastAsia="Times New Roman" w:hint="default"/>
          <w:spacing w:val="-2"/>
        </w:rPr>
        <w:t>2018</w:t>
      </w:r>
      <w:r>
        <w:rPr>
          <w:spacing w:val="-2"/>
        </w:rPr>
        <w:t>年度内部控制自我评价</w:t>
      </w:r>
      <w:r>
        <w:rPr>
          <w:spacing w:val="-57"/>
        </w:rPr>
        <w:t> </w:t>
      </w:r>
      <w:r>
        <w:rPr>
          <w:spacing w:val="-57"/>
        </w:rPr>
      </w:r>
      <w:r>
        <w:rPr>
          <w:spacing w:val="-2"/>
        </w:rPr>
        <w:t>报告、续聘公司</w:t>
      </w:r>
      <w:r>
        <w:rPr>
          <w:rFonts w:ascii="Times New Roman" w:hAnsi="Times New Roman" w:cs="Times New Roman" w:eastAsia="Times New Roman" w:hint="default"/>
          <w:spacing w:val="-2"/>
        </w:rPr>
        <w:t>2019</w:t>
      </w:r>
      <w:r>
        <w:rPr>
          <w:spacing w:val="-2"/>
        </w:rPr>
        <w:t>年度审计机构、计提资产减值准备及核销资产、会计政策变更、调整股票期权激励计划授予数量和授予</w:t>
      </w:r>
      <w:r>
        <w:rPr>
          <w:spacing w:val="-61"/>
        </w:rPr>
        <w:t> </w:t>
      </w:r>
      <w:r>
        <w:rPr>
          <w:spacing w:val="-61"/>
        </w:rPr>
      </w:r>
      <w:r>
        <w:rPr>
          <w:spacing w:val="-4"/>
        </w:rPr>
        <w:t>对象人数并拟注销部分已授予股票期权、股票期权激励计划第三个行权期可行权事项、继续使用闲置募集资金进行现金管理、</w:t>
      </w:r>
      <w:r>
        <w:rPr>
          <w:spacing w:val="-44"/>
        </w:rPr>
        <w:t> </w:t>
      </w:r>
      <w:r>
        <w:rPr>
          <w:spacing w:val="-44"/>
        </w:rPr>
      </w:r>
      <w:r>
        <w:rPr/>
        <w:t>募集资金投资项目延期事项、聘任公司副总经理事项发表了独立意见并被公司采纳。</w:t>
      </w:r>
    </w:p>
    <w:p>
      <w:pPr>
        <w:pStyle w:val="BodyText"/>
        <w:spacing w:line="240" w:lineRule="auto" w:before="69"/>
        <w:ind w:left="513" w:right="986"/>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日召开的第四届董事会第三次会议，独立董事发表了关于公司会计政策变更事项的独立意见并被公司采</w:t>
      </w:r>
    </w:p>
    <w:p>
      <w:pPr>
        <w:pStyle w:val="BodyText"/>
        <w:spacing w:line="240" w:lineRule="auto" w:before="63"/>
        <w:ind w:right="1133"/>
        <w:jc w:val="left"/>
      </w:pPr>
      <w:r>
        <w:rPr/>
        <w:t>纳。</w:t>
      </w:r>
    </w:p>
    <w:p>
      <w:pPr>
        <w:pStyle w:val="BodyText"/>
        <w:spacing w:line="240" w:lineRule="auto" w:before="115"/>
        <w:ind w:left="513" w:right="986"/>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8</w:t>
      </w:r>
      <w:r>
        <w:rPr/>
        <w:t>日召开的第四届董事会第四次会议，独立董事发表了关于公司继续推进重大资产重组事项暨拟对方案进</w:t>
      </w:r>
    </w:p>
    <w:p>
      <w:pPr>
        <w:pStyle w:val="BodyText"/>
        <w:spacing w:line="240" w:lineRule="auto" w:before="63"/>
        <w:ind w:right="1133"/>
        <w:jc w:val="left"/>
      </w:pPr>
      <w:r>
        <w:rPr/>
        <w:t>行重大调整的事前认可意见和独立意见并被公司采纳。</w:t>
      </w:r>
    </w:p>
    <w:p>
      <w:pPr>
        <w:pStyle w:val="BodyText"/>
        <w:spacing w:line="300" w:lineRule="auto" w:before="117"/>
        <w:ind w:right="1132" w:firstLine="360"/>
        <w:jc w:val="both"/>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16</w:t>
      </w:r>
      <w:r>
        <w:rPr>
          <w:spacing w:val="-2"/>
        </w:rPr>
        <w:t>日召开的第四届董事会第五次会议，独立董事发表了关于公司发行股份及支付现金购买资产并募集配套</w:t>
      </w:r>
      <w:r>
        <w:rPr/>
        <w:t> 资金暨关联交易的事前认可意见和独立意见并被公司采纳。</w:t>
      </w:r>
    </w:p>
    <w:p>
      <w:pPr>
        <w:pStyle w:val="BodyText"/>
        <w:spacing w:line="300" w:lineRule="auto" w:before="72"/>
        <w:ind w:right="1132" w:firstLine="360"/>
        <w:jc w:val="both"/>
      </w:pP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27</w:t>
      </w:r>
      <w:r>
        <w:rPr>
          <w:spacing w:val="-2"/>
        </w:rPr>
        <w:t>日召开的第四届董事会第六次会议，独立董事发表了关于调整股票期权激励计划行权价格的独立意见并</w:t>
      </w:r>
      <w:r>
        <w:rPr/>
        <w:t> 被公司采纳。</w:t>
      </w:r>
    </w:p>
    <w:p>
      <w:pPr>
        <w:pStyle w:val="BodyText"/>
        <w:spacing w:line="312" w:lineRule="auto" w:before="70"/>
        <w:ind w:right="1129" w:firstLine="360"/>
        <w:jc w:val="both"/>
      </w:pPr>
      <w:r>
        <w:rPr>
          <w:rFonts w:ascii="Times New Roman" w:hAnsi="Times New Roman" w:cs="Times New Roman" w:eastAsia="Times New Roman" w:hint="default"/>
          <w:spacing w:val="-2"/>
        </w:rPr>
        <w:t>6</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31</w:t>
      </w:r>
      <w:r>
        <w:rPr>
          <w:spacing w:val="-2"/>
        </w:rPr>
        <w:t>日召开的第四届董事会第七次会议，独立董事发表了关于公司发行股份及支付现金购买资产并募集配套</w:t>
      </w:r>
      <w:r>
        <w:rPr/>
        <w:t> </w:t>
      </w:r>
      <w:r>
        <w:rPr>
          <w:spacing w:val="-2"/>
        </w:rPr>
        <w:t>资金暨关联交易的事前认可意见，并对公司本次交易、本次交易评估定价相关事项（包括本次评估机构的独立性、评估假设</w:t>
      </w:r>
      <w:r>
        <w:rPr>
          <w:spacing w:val="-62"/>
        </w:rPr>
        <w:t> </w:t>
      </w:r>
      <w:r>
        <w:rPr>
          <w:spacing w:val="-62"/>
        </w:rPr>
      </w:r>
      <w:r>
        <w:rPr>
          <w:spacing w:val="-2"/>
        </w:rPr>
        <w:t>前提的合理性、评估方法与评估目的相关性以及评估定价的公允性）、使用结余募集资金和超募资金及部分募集资金利息支</w:t>
      </w:r>
      <w:r>
        <w:rPr>
          <w:spacing w:val="-65"/>
        </w:rPr>
        <w:t> </w:t>
      </w:r>
      <w:r>
        <w:rPr>
          <w:spacing w:val="-65"/>
        </w:rPr>
      </w:r>
      <w:r>
        <w:rPr/>
        <w:t>付本次交易部分现金对价及可行性分析报告事项发表了独立意见并被公司采纳。</w:t>
      </w:r>
    </w:p>
    <w:p>
      <w:pPr>
        <w:pStyle w:val="BodyText"/>
        <w:spacing w:line="300" w:lineRule="auto" w:before="63"/>
        <w:ind w:right="1132" w:firstLine="360"/>
        <w:jc w:val="both"/>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日召开的第四届董事会第八次会议，独立董事发表了关于公司</w:t>
      </w:r>
      <w:r>
        <w:rPr>
          <w:rFonts w:ascii="Times New Roman" w:hAnsi="Times New Roman" w:cs="Times New Roman" w:eastAsia="Times New Roman" w:hint="default"/>
        </w:rPr>
        <w:t>2019</w:t>
      </w:r>
      <w:r>
        <w:rPr/>
        <w:t>年半年度关联交易事项、</w:t>
      </w:r>
      <w:r>
        <w:rPr>
          <w:rFonts w:ascii="Times New Roman" w:hAnsi="Times New Roman" w:cs="Times New Roman" w:eastAsia="Times New Roman" w:hint="default"/>
        </w:rPr>
        <w:t>2019</w:t>
      </w:r>
      <w:r>
        <w:rPr/>
        <w:t>年半年 </w:t>
      </w:r>
      <w:r>
        <w:rPr>
          <w:spacing w:val="-2"/>
        </w:rPr>
        <w:t>度控股股东及其他关联方资金占用和对外担保情况、</w:t>
      </w:r>
      <w:r>
        <w:rPr>
          <w:rFonts w:ascii="Times New Roman" w:hAnsi="Times New Roman" w:cs="Times New Roman" w:eastAsia="Times New Roman" w:hint="default"/>
          <w:spacing w:val="-2"/>
        </w:rPr>
        <w:t>2019</w:t>
      </w:r>
      <w:r>
        <w:rPr>
          <w:spacing w:val="-2"/>
        </w:rPr>
        <w:t>年半年度募集资金存放与使用情况的专项报告、会计政策变更事项</w:t>
      </w:r>
      <w:r>
        <w:rPr>
          <w:spacing w:val="-62"/>
        </w:rPr>
        <w:t> </w:t>
      </w:r>
      <w:r>
        <w:rPr>
          <w:spacing w:val="-62"/>
        </w:rPr>
      </w:r>
      <w:r>
        <w:rPr/>
        <w:t>的独立意见并被公司采纳。</w:t>
      </w:r>
    </w:p>
    <w:p>
      <w:pPr>
        <w:pStyle w:val="BodyText"/>
        <w:spacing w:line="300" w:lineRule="auto" w:before="72"/>
        <w:ind w:right="1132" w:firstLine="360"/>
        <w:jc w:val="both"/>
      </w:pPr>
      <w:r>
        <w:rPr>
          <w:rFonts w:ascii="Times New Roman" w:hAnsi="Times New Roman" w:cs="Times New Roman" w:eastAsia="Times New Roman" w:hint="default"/>
          <w:spacing w:val="-2"/>
        </w:rPr>
        <w:t>8</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23</w:t>
      </w:r>
      <w:r>
        <w:rPr>
          <w:spacing w:val="-2"/>
        </w:rPr>
        <w:t>日召开的第四届董事会第九次会议，独立董事发表了关于公司发行股份及支付现金购买资产并募集配套</w:t>
      </w:r>
      <w:r>
        <w:rPr/>
        <w:t> 资金暨关联交易的事前认可意见，并对第四届董事会第九次会议的相关事项发表了独立意见并被公司采纳。</w:t>
      </w:r>
    </w:p>
    <w:p>
      <w:pPr>
        <w:pStyle w:val="BodyText"/>
        <w:spacing w:line="300" w:lineRule="auto" w:before="70"/>
        <w:ind w:right="1139" w:firstLine="360"/>
        <w:jc w:val="both"/>
      </w:pPr>
      <w:r>
        <w:rPr>
          <w:rFonts w:ascii="Times New Roman" w:hAnsi="Times New Roman" w:cs="Times New Roman" w:eastAsia="Times New Roman" w:hint="default"/>
        </w:rPr>
        <w:t>9</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日召开的第四届董事会第十一次会议，独立董事发表了关于公司向关联方租赁闲置办公用房的事前认 可意见和独立意见并被公司采纳。</w:t>
      </w:r>
    </w:p>
    <w:p>
      <w:pPr>
        <w:spacing w:line="240" w:lineRule="auto" w:before="11"/>
        <w:rPr>
          <w:rFonts w:ascii="宋体" w:hAnsi="宋体" w:cs="宋体" w:eastAsia="宋体" w:hint="default"/>
          <w:sz w:val="21"/>
          <w:szCs w:val="21"/>
        </w:rPr>
      </w:pPr>
    </w:p>
    <w:p>
      <w:pPr>
        <w:pStyle w:val="Heading2"/>
        <w:spacing w:line="240" w:lineRule="auto"/>
        <w:ind w:right="1133"/>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3" w:right="986"/>
        <w:jc w:val="left"/>
      </w:pPr>
      <w:r>
        <w:rPr/>
        <w:t>公司董事会下设三个专门委员会，分别为：审计委员会、提名与薪酬委员会、战略委员会。</w:t>
      </w:r>
      <w:r>
        <w:rPr>
          <w:rFonts w:ascii="Times New Roman" w:hAnsi="Times New Roman" w:cs="Times New Roman" w:eastAsia="Times New Roman" w:hint="default"/>
        </w:rPr>
        <w:t>2019</w:t>
      </w:r>
      <w:r>
        <w:rPr/>
        <w:t>年度，各专门委员会本</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4"/>
        <w:ind w:right="1135"/>
        <w:jc w:val="both"/>
      </w:pPr>
      <w:r>
        <w:rPr>
          <w:spacing w:val="-2"/>
        </w:rPr>
        <w:t>着勤勉尽责的原则，按照有关法律、法规、规范性文件及公司各专门委员会工作细则的规定开展相关工作。报告期内，各专</w:t>
      </w:r>
      <w:r>
        <w:rPr>
          <w:spacing w:val="-67"/>
        </w:rPr>
        <w:t> </w:t>
      </w:r>
      <w:r>
        <w:rPr>
          <w:spacing w:val="-67"/>
        </w:rPr>
      </w:r>
      <w:r>
        <w:rPr/>
        <w:t>门委员会履职情况如下：</w:t>
      </w:r>
    </w:p>
    <w:p>
      <w:pPr>
        <w:pStyle w:val="BodyText"/>
        <w:spacing w:line="338" w:lineRule="auto" w:before="59"/>
        <w:ind w:left="513" w:right="1118"/>
        <w:jc w:val="left"/>
      </w:pPr>
      <w:r>
        <w:rPr>
          <w:rFonts w:ascii="Times New Roman" w:hAnsi="Times New Roman" w:cs="Times New Roman" w:eastAsia="Times New Roman" w:hint="default"/>
        </w:rPr>
        <w:t>1</w:t>
      </w:r>
      <w:r>
        <w:rPr/>
        <w:t>、审计委员会 </w:t>
      </w:r>
      <w:r>
        <w:rPr>
          <w:spacing w:val="-2"/>
        </w:rPr>
        <w:t>报告期内审计委员会严格按照相关法律法规及《公司章程》、《董事会审计委员会工作细则》的相关规定，认真履行职</w:t>
      </w:r>
    </w:p>
    <w:p>
      <w:pPr>
        <w:pStyle w:val="BodyText"/>
        <w:spacing w:line="309" w:lineRule="auto" w:before="2"/>
        <w:ind w:right="1130"/>
        <w:jc w:val="both"/>
      </w:pPr>
      <w:r>
        <w:rPr>
          <w:spacing w:val="-2"/>
        </w:rPr>
        <w:t>责。</w:t>
      </w:r>
      <w:r>
        <w:rPr>
          <w:rFonts w:ascii="Times New Roman" w:hAnsi="Times New Roman" w:cs="Times New Roman" w:eastAsia="Times New Roman" w:hint="default"/>
          <w:spacing w:val="-2"/>
        </w:rPr>
        <w:t>2019</w:t>
      </w:r>
      <w:r>
        <w:rPr>
          <w:spacing w:val="-2"/>
        </w:rPr>
        <w:t>年度，审计委员会共召开四次会议，重点对公司定期财务报告、利润分配、内部控制、募集资金存放与使用等事项</w:t>
      </w:r>
      <w:r>
        <w:rPr>
          <w:spacing w:val="-64"/>
        </w:rPr>
        <w:t> </w:t>
      </w:r>
      <w:r>
        <w:rPr>
          <w:spacing w:val="-64"/>
        </w:rPr>
      </w:r>
      <w:r>
        <w:rPr>
          <w:spacing w:val="-2"/>
        </w:rPr>
        <w:t>进行审议，并对会计师事务所的年度审计工作进行了总结评价。审计委员会强化了公司董事会决策功能，确保董事会对高级</w:t>
      </w:r>
      <w:r>
        <w:rPr>
          <w:spacing w:val="-63"/>
        </w:rPr>
        <w:t> </w:t>
      </w:r>
      <w:r>
        <w:rPr>
          <w:spacing w:val="-63"/>
        </w:rPr>
      </w:r>
      <w:r>
        <w:rPr/>
        <w:t>管理人员的有效监督，进一步完善了公司的治理结构。</w:t>
      </w:r>
    </w:p>
    <w:p>
      <w:pPr>
        <w:pStyle w:val="BodyText"/>
        <w:spacing w:line="340" w:lineRule="auto" w:before="65"/>
        <w:ind w:left="513" w:right="986"/>
        <w:jc w:val="left"/>
      </w:pPr>
      <w:r>
        <w:rPr>
          <w:rFonts w:ascii="Times New Roman" w:hAnsi="Times New Roman" w:cs="Times New Roman" w:eastAsia="Times New Roman" w:hint="default"/>
        </w:rPr>
        <w:t>2</w:t>
      </w:r>
      <w:r>
        <w:rPr/>
        <w:t>、提名与薪酬委员会 </w:t>
      </w:r>
      <w:r>
        <w:rPr>
          <w:spacing w:val="-4"/>
        </w:rPr>
        <w:t>报告期内提名与薪酬委员会严格按照相关法律法规及《公司章程》、《董事会提名与薪酬委员会工作细则》的相关规定，</w:t>
      </w:r>
    </w:p>
    <w:p>
      <w:pPr>
        <w:pStyle w:val="BodyText"/>
        <w:spacing w:line="309" w:lineRule="auto" w:before="1"/>
        <w:ind w:right="1133"/>
        <w:jc w:val="both"/>
      </w:pPr>
      <w:r>
        <w:rPr>
          <w:spacing w:val="-2"/>
        </w:rPr>
        <w:t>认真履行职责。</w:t>
      </w:r>
      <w:r>
        <w:rPr>
          <w:rFonts w:ascii="Times New Roman" w:hAnsi="Times New Roman" w:cs="Times New Roman" w:eastAsia="Times New Roman" w:hint="default"/>
          <w:spacing w:val="-2"/>
        </w:rPr>
        <w:t>2019</w:t>
      </w:r>
      <w:r>
        <w:rPr>
          <w:spacing w:val="-2"/>
        </w:rPr>
        <w:t>年度，提名与薪酬委员会共召开两次会议，对年度董事和高级管理人员的绩效考核、基薪方案、股票期</w:t>
      </w:r>
      <w:r>
        <w:rPr>
          <w:spacing w:val="-65"/>
        </w:rPr>
        <w:t> </w:t>
      </w:r>
      <w:r>
        <w:rPr>
          <w:spacing w:val="-65"/>
        </w:rPr>
      </w:r>
      <w:r>
        <w:rPr>
          <w:spacing w:val="-2"/>
        </w:rPr>
        <w:t>权激励计划首次授予股票期权第三个行权期激励对象绩效、聘任公司副总经理、调整公司副总经理基薪等相关事项进行了审</w:t>
      </w:r>
      <w:r>
        <w:rPr>
          <w:spacing w:val="-64"/>
        </w:rPr>
        <w:t> </w:t>
      </w:r>
      <w:r>
        <w:rPr>
          <w:spacing w:val="-64"/>
        </w:rPr>
      </w:r>
      <w:r>
        <w:rPr/>
        <w:t>议。</w:t>
      </w:r>
    </w:p>
    <w:p>
      <w:pPr>
        <w:pStyle w:val="BodyText"/>
        <w:spacing w:line="340" w:lineRule="auto" w:before="62"/>
        <w:ind w:left="513" w:right="1118"/>
        <w:jc w:val="left"/>
      </w:pPr>
      <w:r>
        <w:rPr>
          <w:rFonts w:ascii="Times New Roman" w:hAnsi="Times New Roman" w:cs="Times New Roman" w:eastAsia="Times New Roman" w:hint="default"/>
        </w:rPr>
        <w:t>3</w:t>
      </w:r>
      <w:r>
        <w:rPr/>
        <w:t>、战略委员会 </w:t>
      </w:r>
      <w:r>
        <w:rPr>
          <w:spacing w:val="-2"/>
        </w:rPr>
        <w:t>报告期内战略委员会严格按照相关法律法规及《公司章程》、《董事会战略委员会工作细则》的相关规定，认真履行职</w:t>
      </w:r>
    </w:p>
    <w:p>
      <w:pPr>
        <w:pStyle w:val="BodyText"/>
        <w:spacing w:line="300" w:lineRule="auto" w:before="1"/>
        <w:ind w:right="986"/>
        <w:jc w:val="left"/>
      </w:pPr>
      <w:r>
        <w:rPr>
          <w:spacing w:val="-4"/>
        </w:rPr>
        <w:t>责。</w:t>
      </w:r>
      <w:r>
        <w:rPr>
          <w:rFonts w:ascii="Times New Roman" w:hAnsi="Times New Roman" w:cs="Times New Roman" w:eastAsia="Times New Roman" w:hint="default"/>
          <w:spacing w:val="-4"/>
        </w:rPr>
        <w:t>2019</w:t>
      </w:r>
      <w:r>
        <w:rPr>
          <w:spacing w:val="-4"/>
        </w:rPr>
        <w:t>年度，战略委员会共召开一次会议，对公司</w:t>
      </w:r>
      <w:r>
        <w:rPr>
          <w:rFonts w:ascii="Times New Roman" w:hAnsi="Times New Roman" w:cs="Times New Roman" w:eastAsia="Times New Roman" w:hint="default"/>
          <w:spacing w:val="-4"/>
        </w:rPr>
        <w:t>2019</w:t>
      </w:r>
      <w:r>
        <w:rPr>
          <w:spacing w:val="-4"/>
        </w:rPr>
        <w:t>年发展战略进行整体规划，对公司所处行业和市场进行了规划研究，</w:t>
      </w:r>
      <w:r>
        <w:rPr>
          <w:spacing w:val="-33"/>
        </w:rPr>
        <w:t> </w:t>
      </w:r>
      <w:r>
        <w:rPr>
          <w:spacing w:val="-33"/>
        </w:rPr>
      </w:r>
      <w:r>
        <w:rPr/>
        <w:t>并结合公司的实际运营情况，提出合理性建议。</w:t>
      </w:r>
    </w:p>
    <w:p>
      <w:pPr>
        <w:spacing w:line="240" w:lineRule="auto" w:before="11"/>
        <w:rPr>
          <w:rFonts w:ascii="宋体" w:hAnsi="宋体" w:cs="宋体" w:eastAsia="宋体" w:hint="default"/>
          <w:sz w:val="21"/>
          <w:szCs w:val="21"/>
        </w:rPr>
      </w:pPr>
    </w:p>
    <w:p>
      <w:pPr>
        <w:pStyle w:val="Heading2"/>
        <w:spacing w:line="240" w:lineRule="auto"/>
        <w:ind w:right="1133"/>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监事会在报告期内的监督活动中发现公司是否存在风险</w:t>
      </w:r>
    </w:p>
    <w:p>
      <w:pPr>
        <w:pStyle w:val="BodyText"/>
        <w:spacing w:line="340" w:lineRule="auto" w:before="115"/>
        <w:ind w:right="7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r>
        <w:rPr/>
        <w:t>八、高级管理人员的考评及激励情况</w:t>
      </w:r>
      <w:r>
        <w:rPr>
          <w:b w:val="0"/>
          <w:bCs w:val="0"/>
        </w:rPr>
      </w:r>
    </w:p>
    <w:p>
      <w:pPr>
        <w:spacing w:line="240" w:lineRule="auto" w:before="4"/>
        <w:rPr>
          <w:rFonts w:ascii="宋体" w:hAnsi="宋体" w:cs="宋体" w:eastAsia="宋体" w:hint="default"/>
          <w:b/>
          <w:bCs/>
          <w:sz w:val="26"/>
          <w:szCs w:val="26"/>
        </w:rPr>
      </w:pPr>
    </w:p>
    <w:p>
      <w:pPr>
        <w:pStyle w:val="BodyText"/>
        <w:spacing w:line="312" w:lineRule="auto"/>
        <w:ind w:right="1130" w:firstLine="360"/>
        <w:jc w:val="both"/>
      </w:pPr>
      <w:r>
        <w:rPr>
          <w:spacing w:val="-2"/>
        </w:rPr>
        <w:t>公司高级管理人员薪酬根据公司《董事、监事、高级管理人员薪酬及绩效考核管理制度》确定，以公司经济效益及工作</w:t>
      </w:r>
      <w:r>
        <w:rPr/>
        <w:t> </w:t>
      </w:r>
      <w:r>
        <w:rPr>
          <w:spacing w:val="-2"/>
        </w:rPr>
        <w:t>目标为出发点，根据公司年度经营计划和人员分工职责，由董事会提名与薪酬委员会组织并考核。公司董事会提名与薪酬委</w:t>
      </w:r>
      <w:r>
        <w:rPr>
          <w:spacing w:val="-63"/>
        </w:rPr>
        <w:t> </w:t>
      </w:r>
      <w:r>
        <w:rPr>
          <w:spacing w:val="-63"/>
        </w:rPr>
      </w:r>
      <w:r>
        <w:rPr>
          <w:spacing w:val="-2"/>
        </w:rPr>
        <w:t>员会根据实际情况对公司高级管理人员进行考核后，一致认为：</w:t>
      </w:r>
      <w:r>
        <w:rPr>
          <w:rFonts w:ascii="Times New Roman" w:hAnsi="Times New Roman" w:cs="Times New Roman" w:eastAsia="Times New Roman" w:hint="default"/>
          <w:spacing w:val="-2"/>
        </w:rPr>
        <w:t>2019</w:t>
      </w:r>
      <w:r>
        <w:rPr>
          <w:spacing w:val="-2"/>
        </w:rPr>
        <w:t>年度公司高级管理人员薪酬方案严格执行了公司薪酬管</w:t>
      </w:r>
      <w:r>
        <w:rPr>
          <w:spacing w:val="-61"/>
        </w:rPr>
        <w:t> </w:t>
      </w:r>
      <w:r>
        <w:rPr>
          <w:spacing w:val="-61"/>
        </w:rPr>
      </w:r>
      <w:r>
        <w:rPr/>
        <w:t>理制度。</w:t>
      </w:r>
    </w:p>
    <w:p>
      <w:pPr>
        <w:spacing w:line="240" w:lineRule="auto" w:before="2"/>
        <w:rPr>
          <w:rFonts w:ascii="宋体" w:hAnsi="宋体" w:cs="宋体" w:eastAsia="宋体" w:hint="default"/>
          <w:sz w:val="21"/>
          <w:szCs w:val="21"/>
        </w:rPr>
      </w:pPr>
    </w:p>
    <w:p>
      <w:pPr>
        <w:pStyle w:val="Heading2"/>
        <w:spacing w:line="240" w:lineRule="auto"/>
        <w:ind w:right="1133"/>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BodyText"/>
        <w:spacing w:line="240" w:lineRule="auto"/>
        <w:ind w:left="0" w:right="1139"/>
        <w:jc w:val="right"/>
      </w:pPr>
      <w:r>
        <w:rPr/>
        <w:pict>
          <v:shape style="position:absolute;margin-left:57pt;margin-top:-164.618301pt;width:478.7pt;height:602.75pt;mso-position-horizontal-relative:page;mso-position-vertical-relative:paragraph;z-index:26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8"/>
                    <w:gridCol w:w="3327"/>
                    <w:gridCol w:w="3053"/>
                  </w:tblGrid>
                  <w:tr>
                    <w:trPr>
                      <w:trHeight w:val="714"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2"/>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6"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7"/>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61" w:hRule="exact"/>
                    </w:trPr>
                    <w:tc>
                      <w:tcPr>
                        <w:tcW w:w="3178" w:type="dxa"/>
                        <w:vMerge w:val="restart"/>
                        <w:tcBorders>
                          <w:top w:val="single" w:sz="4" w:space="0" w:color="000000"/>
                          <w:left w:val="single" w:sz="4" w:space="0" w:color="000000"/>
                          <w:right w:val="single" w:sz="4" w:space="0" w:color="000000"/>
                        </w:tcBorders>
                        <w:shd w:val="clear" w:color="auto" w:fill="D2D2D2"/>
                      </w:tcPr>
                      <w:p>
                        <w:pPr/>
                      </w:p>
                    </w:tc>
                    <w:tc>
                      <w:tcPr>
                        <w:tcW w:w="33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9"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、重大缺陷：是指一个或多个控制缺陷的</w:t>
                        </w:r>
                      </w:p>
                    </w:tc>
                    <w:tc>
                      <w:tcPr>
                        <w:tcW w:w="3053"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3178" w:type="dxa"/>
                        <w:vMerge/>
                        <w:tcBorders>
                          <w:left w:val="single" w:sz="4" w:space="0" w:color="000000"/>
                          <w:right w:val="single" w:sz="4" w:space="0" w:color="000000"/>
                        </w:tcBorders>
                        <w:shd w:val="clear" w:color="auto" w:fill="D2D2D2"/>
                      </w:tcPr>
                      <w:p>
                        <w:pPr/>
                      </w:p>
                    </w:tc>
                    <w:tc>
                      <w:tcPr>
                        <w:tcW w:w="332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组合，可能导致企业严重偏离控制目标。</w:t>
                        </w:r>
                      </w:p>
                    </w:tc>
                    <w:tc>
                      <w:tcPr>
                        <w:tcW w:w="305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78" w:type="dxa"/>
                        <w:vMerge/>
                        <w:tcBorders>
                          <w:left w:val="single" w:sz="4" w:space="0" w:color="000000"/>
                          <w:right w:val="single" w:sz="4" w:space="0" w:color="000000"/>
                        </w:tcBorders>
                        <w:shd w:val="clear" w:color="auto" w:fill="D2D2D2"/>
                      </w:tcPr>
                      <w:p>
                        <w:pPr/>
                      </w:p>
                    </w:tc>
                    <w:tc>
                      <w:tcPr>
                        <w:tcW w:w="33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9" w:right="0"/>
                          <w:jc w:val="left"/>
                          <w:rPr>
                            <w:rFonts w:ascii="宋体" w:hAnsi="宋体" w:cs="宋体" w:eastAsia="宋体" w:hint="default"/>
                            <w:sz w:val="18"/>
                            <w:szCs w:val="18"/>
                          </w:rPr>
                        </w:pPr>
                        <w:r>
                          <w:rPr>
                            <w:rFonts w:ascii="宋体" w:hAnsi="宋体" w:cs="宋体" w:eastAsia="宋体" w:hint="default"/>
                            <w:spacing w:val="-4"/>
                            <w:sz w:val="18"/>
                            <w:szCs w:val="18"/>
                          </w:rPr>
                          <w:t>具备以下特征，认定为重大缺陷：</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）财务</w:t>
                        </w:r>
                      </w:p>
                    </w:tc>
                    <w:tc>
                      <w:tcPr>
                        <w:tcW w:w="305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78" w:type="dxa"/>
                        <w:vMerge/>
                        <w:tcBorders>
                          <w:left w:val="single" w:sz="4" w:space="0" w:color="000000"/>
                          <w:right w:val="single" w:sz="4" w:space="0" w:color="000000"/>
                        </w:tcBorders>
                        <w:shd w:val="clear" w:color="auto" w:fill="D2D2D2"/>
                      </w:tcPr>
                      <w:p>
                        <w:pPr/>
                      </w:p>
                    </w:tc>
                    <w:tc>
                      <w:tcPr>
                        <w:tcW w:w="33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9" w:right="0"/>
                          <w:jc w:val="left"/>
                          <w:rPr>
                            <w:rFonts w:ascii="宋体" w:hAnsi="宋体" w:cs="宋体" w:eastAsia="宋体" w:hint="default"/>
                            <w:sz w:val="18"/>
                            <w:szCs w:val="18"/>
                          </w:rPr>
                        </w:pPr>
                        <w:r>
                          <w:rPr>
                            <w:rFonts w:ascii="宋体" w:hAnsi="宋体" w:cs="宋体" w:eastAsia="宋体" w:hint="default"/>
                            <w:spacing w:val="-4"/>
                            <w:sz w:val="18"/>
                            <w:szCs w:val="18"/>
                          </w:rPr>
                          <w:t>报告内部控制环境无效；</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）公司董事、监</w:t>
                        </w:r>
                      </w:p>
                    </w:tc>
                    <w:tc>
                      <w:tcPr>
                        <w:tcW w:w="3053" w:type="dxa"/>
                        <w:tcBorders>
                          <w:top w:val="nil" w:sz="6" w:space="0" w:color="auto"/>
                          <w:left w:val="single" w:sz="4" w:space="0" w:color="000000"/>
                          <w:bottom w:val="nil" w:sz="6" w:space="0" w:color="auto"/>
                          <w:right w:val="single" w:sz="4" w:space="0" w:color="000000"/>
                        </w:tcBorders>
                      </w:tcPr>
                      <w:p>
                        <w:pPr/>
                      </w:p>
                    </w:tc>
                  </w:tr>
                  <w:tr>
                    <w:trPr>
                      <w:trHeight w:val="1988" w:hRule="exact"/>
                    </w:trPr>
                    <w:tc>
                      <w:tcPr>
                        <w:tcW w:w="3178" w:type="dxa"/>
                        <w:vMerge/>
                        <w:tcBorders>
                          <w:left w:val="single" w:sz="4" w:space="0" w:color="000000"/>
                          <w:bottom w:val="nil" w:sz="6" w:space="0" w:color="auto"/>
                          <w:right w:val="single" w:sz="4" w:space="0" w:color="000000"/>
                        </w:tcBorders>
                        <w:shd w:val="clear" w:color="auto" w:fill="D2D2D2"/>
                      </w:tcPr>
                      <w:p>
                        <w:pPr/>
                      </w:p>
                    </w:tc>
                    <w:tc>
                      <w:tcPr>
                        <w:tcW w:w="3327" w:type="dxa"/>
                        <w:vMerge w:val="restart"/>
                        <w:tcBorders>
                          <w:top w:val="nil" w:sz="6" w:space="0" w:color="auto"/>
                          <w:left w:val="single" w:sz="9" w:space="0" w:color="D2D2D2"/>
                          <w:right w:val="single" w:sz="4" w:space="0" w:color="000000"/>
                        </w:tcBorders>
                      </w:tcPr>
                      <w:p>
                        <w:pPr>
                          <w:pStyle w:val="TableParagraph"/>
                          <w:spacing w:line="309" w:lineRule="auto" w:before="5"/>
                          <w:ind w:left="23" w:right="17"/>
                          <w:jc w:val="left"/>
                          <w:rPr>
                            <w:rFonts w:ascii="宋体" w:hAnsi="宋体" w:cs="宋体" w:eastAsia="宋体" w:hint="default"/>
                            <w:sz w:val="18"/>
                            <w:szCs w:val="18"/>
                          </w:rPr>
                        </w:pPr>
                        <w:r>
                          <w:rPr>
                            <w:rFonts w:ascii="宋体" w:hAnsi="宋体" w:cs="宋体" w:eastAsia="宋体" w:hint="default"/>
                            <w:spacing w:val="-4"/>
                            <w:sz w:val="18"/>
                            <w:szCs w:val="18"/>
                          </w:rPr>
                          <w:t>事、高级管理人员存在舞弊行为；</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）注册</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会计师发现的却未被公司内部控制识别的 </w:t>
                        </w:r>
                        <w:r>
                          <w:rPr>
                            <w:rFonts w:ascii="宋体" w:hAnsi="宋体" w:cs="宋体" w:eastAsia="宋体" w:hint="default"/>
                            <w:spacing w:val="-4"/>
                            <w:sz w:val="18"/>
                            <w:szCs w:val="18"/>
                          </w:rPr>
                          <w:t>当期财务报告中的重大错报；</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）审计委员</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会和内部审计机构对公司的对外财务报告 </w:t>
                        </w:r>
                        <w:r>
                          <w:rPr>
                            <w:rFonts w:ascii="宋体" w:hAnsi="宋体" w:cs="宋体" w:eastAsia="宋体" w:hint="default"/>
                            <w:spacing w:val="-4"/>
                            <w:sz w:val="18"/>
                            <w:szCs w:val="18"/>
                          </w:rPr>
                          <w:t>和财务报告内部控制监督无效。</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、重要缺</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陷：是指一个或多个控制缺陷的组合，其 严重程度和经济后果低于重大缺陷但仍有 可能导致企业偏离控制目标。具有以下特 征的缺陷或情形</w:t>
                        </w:r>
                        <w:r>
                          <w:rPr>
                            <w:rFonts w:ascii="Times New Roman" w:hAnsi="Times New Roman" w:cs="Times New Roman" w:eastAsia="Times New Roman" w:hint="default"/>
                            <w:sz w:val="18"/>
                            <w:szCs w:val="18"/>
                          </w:rPr>
                          <w:t>,</w:t>
                        </w:r>
                        <w:r>
                          <w:rPr>
                            <w:rFonts w:ascii="宋体" w:hAnsi="宋体" w:cs="宋体" w:eastAsia="宋体" w:hint="default"/>
                            <w:sz w:val="18"/>
                            <w:szCs w:val="18"/>
                          </w:rPr>
                          <w:t>通常应认定为重要缺 陷</w:t>
                        </w:r>
                        <w:r>
                          <w:rPr>
                            <w:rFonts w:ascii="Times New Roman" w:hAnsi="Times New Roman" w:cs="Times New Roman" w:eastAsia="Times New Roman" w:hint="default"/>
                            <w:sz w:val="18"/>
                            <w:szCs w:val="18"/>
                          </w:rPr>
                          <w:t>:1</w:t>
                        </w:r>
                        <w:r>
                          <w:rPr>
                            <w:rFonts w:ascii="宋体" w:hAnsi="宋体" w:cs="宋体" w:eastAsia="宋体" w:hint="default"/>
                            <w:sz w:val="18"/>
                            <w:szCs w:val="18"/>
                          </w:rPr>
                          <w:t>）未按照公认的会计准则选择和应用 </w:t>
                        </w:r>
                        <w:r>
                          <w:rPr>
                            <w:rFonts w:ascii="宋体" w:hAnsi="宋体" w:cs="宋体" w:eastAsia="宋体" w:hint="default"/>
                            <w:spacing w:val="-4"/>
                            <w:sz w:val="18"/>
                            <w:szCs w:val="18"/>
                          </w:rPr>
                          <w:t>会计政策；</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）未建立反舞弊程序和控制措</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施；</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）对于非常规或特殊交易的账务处理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没有建立相应的控制机制或没有实施且没 </w:t>
                        </w:r>
                        <w:r>
                          <w:rPr>
                            <w:rFonts w:ascii="宋体" w:hAnsi="宋体" w:cs="宋体" w:eastAsia="宋体" w:hint="default"/>
                            <w:spacing w:val="-4"/>
                            <w:sz w:val="18"/>
                            <w:szCs w:val="18"/>
                          </w:rPr>
                          <w:t>有相应的补偿性控制；</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）对于期末财务报</w:t>
                        </w:r>
                      </w:p>
                    </w:tc>
                    <w:tc>
                      <w:tcPr>
                        <w:tcW w:w="3053" w:type="dxa"/>
                        <w:vMerge w:val="restart"/>
                        <w:tcBorders>
                          <w:top w:val="nil" w:sz="6" w:space="0" w:color="auto"/>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07" w:lineRule="auto"/>
                          <w:ind w:left="26"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、出现以下情形的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通常应认定为重大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缺陷：</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）公司经营活动违反国家法律</w:t>
                        </w:r>
                        <w:r>
                          <w:rPr>
                            <w:rFonts w:ascii="宋体" w:hAnsi="宋体" w:cs="宋体" w:eastAsia="宋体" w:hint="default"/>
                            <w:sz w:val="18"/>
                            <w:szCs w:val="18"/>
                          </w:rPr>
                          <w:t> 法规，导致相关部门的调查并吊销营 业执照或受到重大处罚；</w:t>
                        </w:r>
                        <w:r>
                          <w:rPr>
                            <w:rFonts w:ascii="Times New Roman" w:hAnsi="Times New Roman" w:cs="Times New Roman" w:eastAsia="Times New Roman" w:hint="default"/>
                            <w:sz w:val="18"/>
                            <w:szCs w:val="18"/>
                          </w:rPr>
                          <w:t>2</w:t>
                        </w:r>
                        <w:r>
                          <w:rPr>
                            <w:rFonts w:ascii="宋体" w:hAnsi="宋体" w:cs="宋体" w:eastAsia="宋体" w:hint="default"/>
                            <w:sz w:val="18"/>
                            <w:szCs w:val="18"/>
                          </w:rPr>
                          <w:t>）因公司重 要决策失误导致公司遭受的损失；</w:t>
                        </w:r>
                        <w:r>
                          <w:rPr>
                            <w:rFonts w:ascii="Times New Roman" w:hAnsi="Times New Roman" w:cs="Times New Roman" w:eastAsia="Times New Roman" w:hint="default"/>
                            <w:sz w:val="18"/>
                            <w:szCs w:val="18"/>
                          </w:rPr>
                          <w:t>3</w:t>
                        </w:r>
                        <w:r>
                          <w:rPr>
                            <w:rFonts w:ascii="宋体" w:hAnsi="宋体" w:cs="宋体" w:eastAsia="宋体" w:hint="default"/>
                            <w:sz w:val="18"/>
                            <w:szCs w:val="18"/>
                          </w:rPr>
                          <w:t>） 重要岗位管理人员或核心人员流失严 重影响公司生产、经营的；</w:t>
                        </w:r>
                        <w:r>
                          <w:rPr>
                            <w:rFonts w:ascii="Times New Roman" w:hAnsi="Times New Roman" w:cs="Times New Roman" w:eastAsia="Times New Roman" w:hint="default"/>
                            <w:sz w:val="18"/>
                            <w:szCs w:val="18"/>
                          </w:rPr>
                          <w:t>4</w:t>
                        </w:r>
                        <w:r>
                          <w:rPr>
                            <w:rFonts w:ascii="宋体" w:hAnsi="宋体" w:cs="宋体" w:eastAsia="宋体" w:hint="default"/>
                            <w:sz w:val="18"/>
                            <w:szCs w:val="18"/>
                          </w:rPr>
                          <w:t>）重要业 务缺乏制度控制或制度系统失效；</w:t>
                        </w:r>
                        <w:r>
                          <w:rPr>
                            <w:rFonts w:ascii="Times New Roman" w:hAnsi="Times New Roman" w:cs="Times New Roman" w:eastAsia="Times New Roman" w:hint="default"/>
                            <w:sz w:val="18"/>
                            <w:szCs w:val="18"/>
                          </w:rPr>
                          <w:t>5</w:t>
                        </w:r>
                        <w:r>
                          <w:rPr>
                            <w:rFonts w:ascii="宋体" w:hAnsi="宋体" w:cs="宋体" w:eastAsia="宋体" w:hint="default"/>
                            <w:sz w:val="18"/>
                            <w:szCs w:val="18"/>
                          </w:rPr>
                          <w:t>） 内部控制评价的结果是重大缺陷但未 得到整改；</w:t>
                        </w:r>
                        <w:r>
                          <w:rPr>
                            <w:rFonts w:ascii="Times New Roman" w:hAnsi="Times New Roman" w:cs="Times New Roman" w:eastAsia="Times New Roman" w:hint="default"/>
                            <w:sz w:val="18"/>
                            <w:szCs w:val="18"/>
                          </w:rPr>
                          <w:t>6</w:t>
                        </w:r>
                        <w:r>
                          <w:rPr>
                            <w:rFonts w:ascii="宋体" w:hAnsi="宋体" w:cs="宋体" w:eastAsia="宋体" w:hint="default"/>
                            <w:sz w:val="18"/>
                            <w:szCs w:val="18"/>
                          </w:rPr>
                          <w:t>）公司遭受证监会处罚或 受到深交所公开谴责。</w:t>
                        </w:r>
                        <w:r>
                          <w:rPr>
                            <w:rFonts w:ascii="Times New Roman" w:hAnsi="Times New Roman" w:cs="Times New Roman" w:eastAsia="Times New Roman" w:hint="default"/>
                            <w:sz w:val="18"/>
                            <w:szCs w:val="18"/>
                          </w:rPr>
                          <w:t>2</w:t>
                        </w:r>
                        <w:r>
                          <w:rPr>
                            <w:rFonts w:ascii="宋体" w:hAnsi="宋体" w:cs="宋体" w:eastAsia="宋体" w:hint="default"/>
                            <w:sz w:val="18"/>
                            <w:szCs w:val="18"/>
                          </w:rPr>
                          <w:t>、不构成重大 缺陷的非财务报告内部控制缺陷认定 为非重大缺陷或一般缺陷。</w:t>
                        </w:r>
                      </w:p>
                    </w:tc>
                  </w:tr>
                  <w:tr>
                    <w:trPr>
                      <w:trHeight w:val="391" w:hRule="exact"/>
                    </w:trPr>
                    <w:tc>
                      <w:tcPr>
                        <w:tcW w:w="31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1990" w:hRule="exact"/>
                    </w:trPr>
                    <w:tc>
                      <w:tcPr>
                        <w:tcW w:w="3178" w:type="dxa"/>
                        <w:vMerge w:val="restart"/>
                        <w:tcBorders>
                          <w:top w:val="nil" w:sz="6" w:space="0" w:color="auto"/>
                          <w:left w:val="single" w:sz="4" w:space="0" w:color="000000"/>
                          <w:right w:val="single" w:sz="4" w:space="0" w:color="000000"/>
                        </w:tcBorders>
                        <w:shd w:val="clear" w:color="auto" w:fill="D2D2D2"/>
                      </w:tcPr>
                      <w:p>
                        <w:pPr/>
                      </w:p>
                    </w:tc>
                    <w:tc>
                      <w:tcPr>
                        <w:tcW w:w="3327" w:type="dxa"/>
                        <w:vMerge/>
                        <w:tcBorders>
                          <w:left w:val="single" w:sz="9" w:space="0" w:color="D2D2D2"/>
                          <w:bottom w:val="nil" w:sz="6" w:space="0" w:color="auto"/>
                          <w:right w:val="single" w:sz="4" w:space="0" w:color="000000"/>
                        </w:tcBorders>
                      </w:tcPr>
                      <w:p>
                        <w:pPr/>
                      </w:p>
                    </w:tc>
                    <w:tc>
                      <w:tcPr>
                        <w:tcW w:w="3053" w:type="dxa"/>
                        <w:vMerge/>
                        <w:tcBorders>
                          <w:left w:val="single" w:sz="4" w:space="0" w:color="000000"/>
                          <w:bottom w:val="nil" w:sz="6" w:space="0" w:color="auto"/>
                          <w:right w:val="single" w:sz="4" w:space="0" w:color="000000"/>
                        </w:tcBorders>
                      </w:tcPr>
                      <w:p>
                        <w:pPr/>
                      </w:p>
                    </w:tc>
                  </w:tr>
                  <w:tr>
                    <w:trPr>
                      <w:trHeight w:val="307" w:hRule="exact"/>
                    </w:trPr>
                    <w:tc>
                      <w:tcPr>
                        <w:tcW w:w="3178" w:type="dxa"/>
                        <w:vMerge/>
                        <w:tcBorders>
                          <w:left w:val="single" w:sz="4" w:space="0" w:color="000000"/>
                          <w:right w:val="single" w:sz="4" w:space="0" w:color="000000"/>
                        </w:tcBorders>
                        <w:shd w:val="clear" w:color="auto" w:fill="D2D2D2"/>
                      </w:tcPr>
                      <w:p>
                        <w:pPr/>
                      </w:p>
                    </w:tc>
                    <w:tc>
                      <w:tcPr>
                        <w:tcW w:w="33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9" w:right="0"/>
                          <w:jc w:val="left"/>
                          <w:rPr>
                            <w:rFonts w:ascii="宋体" w:hAnsi="宋体" w:cs="宋体" w:eastAsia="宋体" w:hint="default"/>
                            <w:sz w:val="18"/>
                            <w:szCs w:val="18"/>
                          </w:rPr>
                        </w:pPr>
                        <w:r>
                          <w:rPr>
                            <w:rFonts w:ascii="宋体" w:hAnsi="宋体" w:cs="宋体" w:eastAsia="宋体" w:hint="default"/>
                            <w:sz w:val="18"/>
                            <w:szCs w:val="18"/>
                          </w:rPr>
                          <w:t>告过程的控制存在一项或多项缺陷且不能</w:t>
                        </w:r>
                      </w:p>
                    </w:tc>
                    <w:tc>
                      <w:tcPr>
                        <w:tcW w:w="305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78" w:type="dxa"/>
                        <w:vMerge/>
                        <w:tcBorders>
                          <w:left w:val="single" w:sz="4" w:space="0" w:color="000000"/>
                          <w:right w:val="single" w:sz="4" w:space="0" w:color="000000"/>
                        </w:tcBorders>
                        <w:shd w:val="clear" w:color="auto" w:fill="D2D2D2"/>
                      </w:tcPr>
                      <w:p>
                        <w:pPr/>
                      </w:p>
                    </w:tc>
                    <w:tc>
                      <w:tcPr>
                        <w:tcW w:w="33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9" w:right="0"/>
                          <w:jc w:val="left"/>
                          <w:rPr>
                            <w:rFonts w:ascii="宋体" w:hAnsi="宋体" w:cs="宋体" w:eastAsia="宋体" w:hint="default"/>
                            <w:sz w:val="18"/>
                            <w:szCs w:val="18"/>
                          </w:rPr>
                        </w:pPr>
                        <w:r>
                          <w:rPr>
                            <w:rFonts w:ascii="宋体" w:hAnsi="宋体" w:cs="宋体" w:eastAsia="宋体" w:hint="default"/>
                            <w:sz w:val="18"/>
                            <w:szCs w:val="18"/>
                          </w:rPr>
                          <w:t>合理保证编制的财务报表达到真实、完整</w:t>
                        </w:r>
                      </w:p>
                    </w:tc>
                    <w:tc>
                      <w:tcPr>
                        <w:tcW w:w="305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78" w:type="dxa"/>
                        <w:vMerge/>
                        <w:tcBorders>
                          <w:left w:val="single" w:sz="4" w:space="0" w:color="000000"/>
                          <w:right w:val="single" w:sz="4" w:space="0" w:color="000000"/>
                        </w:tcBorders>
                        <w:shd w:val="clear" w:color="auto" w:fill="D2D2D2"/>
                      </w:tcPr>
                      <w:p>
                        <w:pPr/>
                      </w:p>
                    </w:tc>
                    <w:tc>
                      <w:tcPr>
                        <w:tcW w:w="33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9" w:right="0"/>
                          <w:jc w:val="left"/>
                          <w:rPr>
                            <w:rFonts w:ascii="宋体" w:hAnsi="宋体" w:cs="宋体" w:eastAsia="宋体" w:hint="default"/>
                            <w:sz w:val="18"/>
                            <w:szCs w:val="18"/>
                          </w:rPr>
                        </w:pPr>
                        <w:r>
                          <w:rPr>
                            <w:rFonts w:ascii="宋体" w:hAnsi="宋体" w:cs="宋体" w:eastAsia="宋体" w:hint="default"/>
                            <w:spacing w:val="-4"/>
                            <w:sz w:val="18"/>
                            <w:szCs w:val="18"/>
                          </w:rPr>
                          <w:t>的目标。</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、除上述重大缺陷和重要缺陷之</w:t>
                        </w:r>
                      </w:p>
                    </w:tc>
                    <w:tc>
                      <w:tcPr>
                        <w:tcW w:w="3053"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3178" w:type="dxa"/>
                        <w:vMerge/>
                        <w:tcBorders>
                          <w:left w:val="single" w:sz="4" w:space="0" w:color="000000"/>
                          <w:bottom w:val="single" w:sz="4" w:space="0" w:color="000000"/>
                          <w:right w:val="single" w:sz="4" w:space="0" w:color="000000"/>
                        </w:tcBorders>
                        <w:shd w:val="clear" w:color="auto" w:fill="D2D2D2"/>
                      </w:tcPr>
                      <w:p>
                        <w:pPr/>
                      </w:p>
                    </w:tc>
                    <w:tc>
                      <w:tcPr>
                        <w:tcW w:w="33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9" w:right="0"/>
                          <w:jc w:val="left"/>
                          <w:rPr>
                            <w:rFonts w:ascii="宋体" w:hAnsi="宋体" w:cs="宋体" w:eastAsia="宋体" w:hint="default"/>
                            <w:sz w:val="18"/>
                            <w:szCs w:val="18"/>
                          </w:rPr>
                        </w:pPr>
                        <w:r>
                          <w:rPr>
                            <w:rFonts w:ascii="宋体" w:hAnsi="宋体" w:cs="宋体" w:eastAsia="宋体" w:hint="default"/>
                            <w:sz w:val="18"/>
                            <w:szCs w:val="18"/>
                          </w:rPr>
                          <w:t>外的控制缺陷被认定为一般缺陷。</w:t>
                        </w:r>
                      </w:p>
                    </w:tc>
                    <w:tc>
                      <w:tcPr>
                        <w:tcW w:w="3053"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3178" w:type="dxa"/>
                        <w:vMerge w:val="restart"/>
                        <w:tcBorders>
                          <w:top w:val="single" w:sz="4" w:space="0" w:color="000000"/>
                          <w:left w:val="single" w:sz="4" w:space="0" w:color="000000"/>
                          <w:right w:val="single" w:sz="4" w:space="0" w:color="000000"/>
                        </w:tcBorders>
                        <w:shd w:val="clear" w:color="auto" w:fill="D2D2D2"/>
                      </w:tcPr>
                      <w:p>
                        <w:pPr/>
                      </w:p>
                    </w:tc>
                    <w:tc>
                      <w:tcPr>
                        <w:tcW w:w="33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宋体" w:hAnsi="宋体" w:cs="宋体" w:eastAsia="宋体" w:hint="default"/>
                            <w:sz w:val="18"/>
                            <w:szCs w:val="18"/>
                          </w:rPr>
                          <w:t>重大缺陷：错报金额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或错</w:t>
                        </w:r>
                      </w:p>
                    </w:tc>
                    <w:tc>
                      <w:tcPr>
                        <w:tcW w:w="305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178" w:type="dxa"/>
                        <w:vMerge/>
                        <w:tcBorders>
                          <w:left w:val="single" w:sz="4" w:space="0" w:color="000000"/>
                          <w:right w:val="single" w:sz="4" w:space="0" w:color="000000"/>
                        </w:tcBorders>
                        <w:shd w:val="clear" w:color="auto" w:fill="D2D2D2"/>
                      </w:tcPr>
                      <w:p>
                        <w:pPr/>
                      </w:p>
                    </w:tc>
                    <w:tc>
                      <w:tcPr>
                        <w:tcW w:w="33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9" w:right="0"/>
                          <w:jc w:val="left"/>
                          <w:rPr>
                            <w:rFonts w:ascii="宋体" w:hAnsi="宋体" w:cs="宋体" w:eastAsia="宋体" w:hint="default"/>
                            <w:sz w:val="18"/>
                            <w:szCs w:val="18"/>
                          </w:rPr>
                        </w:pPr>
                        <w:r>
                          <w:rPr>
                            <w:rFonts w:ascii="宋体" w:hAnsi="宋体" w:cs="宋体" w:eastAsia="宋体" w:hint="default"/>
                            <w:sz w:val="18"/>
                            <w:szCs w:val="18"/>
                          </w:rPr>
                          <w:t>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。重要缺陷：资产</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重大缺陷：资产总额的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以上。重要</w:t>
                        </w:r>
                      </w:p>
                    </w:tc>
                  </w:tr>
                  <w:tr>
                    <w:trPr>
                      <w:trHeight w:val="113" w:hRule="exact"/>
                    </w:trPr>
                    <w:tc>
                      <w:tcPr>
                        <w:tcW w:w="3178" w:type="dxa"/>
                        <w:vMerge/>
                        <w:tcBorders>
                          <w:left w:val="single" w:sz="4" w:space="0" w:color="000000"/>
                          <w:bottom w:val="nil" w:sz="6" w:space="0" w:color="auto"/>
                          <w:right w:val="single" w:sz="4" w:space="0" w:color="000000"/>
                        </w:tcBorders>
                        <w:shd w:val="clear" w:color="auto" w:fill="D2D2D2"/>
                      </w:tcPr>
                      <w:p>
                        <w:pPr/>
                      </w:p>
                    </w:tc>
                    <w:tc>
                      <w:tcPr>
                        <w:tcW w:w="3327" w:type="dxa"/>
                        <w:vMerge w:val="restart"/>
                        <w:tcBorders>
                          <w:top w:val="nil" w:sz="6" w:space="0" w:color="auto"/>
                          <w:left w:val="single" w:sz="9" w:space="0" w:color="D2D2D2"/>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总额的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或</w:t>
                        </w:r>
                      </w:p>
                    </w:tc>
                    <w:tc>
                      <w:tcPr>
                        <w:tcW w:w="3053" w:type="dxa"/>
                        <w:vMerge w:val="restart"/>
                        <w:tcBorders>
                          <w:top w:val="nil" w:sz="6" w:space="0" w:color="auto"/>
                          <w:left w:val="single" w:sz="4" w:space="0" w:color="000000"/>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缺陷</w:t>
                        </w:r>
                        <w:r>
                          <w:rPr>
                            <w:rFonts w:ascii="宋体" w:hAnsi="宋体" w:cs="宋体" w:eastAsia="宋体" w:hint="default"/>
                            <w:spacing w:val="-89"/>
                            <w:sz w:val="18"/>
                            <w:szCs w:val="18"/>
                          </w:rPr>
                          <w:t>：</w:t>
                        </w:r>
                        <w:r>
                          <w:rPr>
                            <w:rFonts w:ascii="宋体" w:hAnsi="宋体" w:cs="宋体" w:eastAsia="宋体" w:hint="default"/>
                            <w:sz w:val="18"/>
                            <w:szCs w:val="18"/>
                          </w:rPr>
                          <w:t>资产总额的</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直接财产损失＜</w:t>
                        </w:r>
                      </w:p>
                    </w:tc>
                  </w:tr>
                  <w:tr>
                    <w:trPr>
                      <w:trHeight w:val="199" w:hRule="exact"/>
                    </w:trPr>
                    <w:tc>
                      <w:tcPr>
                        <w:tcW w:w="31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7" w:type="dxa"/>
                        <w:vMerge/>
                        <w:tcBorders>
                          <w:left w:val="single" w:sz="9" w:space="0" w:color="D2D2D2"/>
                          <w:bottom w:val="nil" w:sz="6" w:space="0" w:color="auto"/>
                          <w:right w:val="single" w:sz="4" w:space="0" w:color="000000"/>
                        </w:tcBorders>
                      </w:tcPr>
                      <w:p>
                        <w:pPr/>
                      </w:p>
                    </w:tc>
                    <w:tc>
                      <w:tcPr>
                        <w:tcW w:w="3053" w:type="dxa"/>
                        <w:vMerge/>
                        <w:tcBorders>
                          <w:left w:val="single" w:sz="4" w:space="0" w:color="000000"/>
                          <w:bottom w:val="nil" w:sz="6" w:space="0" w:color="auto"/>
                          <w:right w:val="single" w:sz="4" w:space="0" w:color="000000"/>
                        </w:tcBorders>
                      </w:tcPr>
                      <w:p>
                        <w:pPr/>
                      </w:p>
                    </w:tc>
                  </w:tr>
                  <w:tr>
                    <w:trPr>
                      <w:trHeight w:val="192" w:hRule="exact"/>
                    </w:trPr>
                    <w:tc>
                      <w:tcPr>
                        <w:tcW w:w="3178" w:type="dxa"/>
                        <w:vMerge/>
                        <w:tcBorders>
                          <w:left w:val="single" w:sz="4" w:space="0" w:color="000000"/>
                          <w:bottom w:val="nil" w:sz="6" w:space="0" w:color="auto"/>
                          <w:right w:val="single" w:sz="4" w:space="0" w:color="000000"/>
                        </w:tcBorders>
                        <w:shd w:val="clear" w:color="auto" w:fill="D2D2D2"/>
                      </w:tcPr>
                      <w:p>
                        <w:pPr/>
                      </w:p>
                    </w:tc>
                    <w:tc>
                      <w:tcPr>
                        <w:tcW w:w="3327" w:type="dxa"/>
                        <w:vMerge w:val="restart"/>
                        <w:tcBorders>
                          <w:top w:val="nil" w:sz="6" w:space="0" w:color="auto"/>
                          <w:left w:val="single" w:sz="9" w:space="0" w:color="D2D2D2"/>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营业收入的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错报金额＜营业收入的</w:t>
                        </w:r>
                      </w:p>
                    </w:tc>
                    <w:tc>
                      <w:tcPr>
                        <w:tcW w:w="3053" w:type="dxa"/>
                        <w:vMerge w:val="restart"/>
                        <w:tcBorders>
                          <w:top w:val="nil" w:sz="6" w:space="0" w:color="auto"/>
                          <w:left w:val="single" w:sz="4" w:space="0" w:color="000000"/>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。一般缺陷：直接财产</w:t>
                        </w:r>
                      </w:p>
                    </w:tc>
                  </w:tr>
                  <w:tr>
                    <w:trPr>
                      <w:trHeight w:val="120" w:hRule="exact"/>
                    </w:trPr>
                    <w:tc>
                      <w:tcPr>
                        <w:tcW w:w="3178" w:type="dxa"/>
                        <w:vMerge w:val="restart"/>
                        <w:tcBorders>
                          <w:top w:val="nil" w:sz="6" w:space="0" w:color="auto"/>
                          <w:left w:val="single" w:sz="4" w:space="0" w:color="000000"/>
                          <w:right w:val="single" w:sz="4" w:space="0" w:color="000000"/>
                        </w:tcBorders>
                        <w:shd w:val="clear" w:color="auto" w:fill="D2D2D2"/>
                      </w:tcPr>
                      <w:p>
                        <w:pPr/>
                      </w:p>
                    </w:tc>
                    <w:tc>
                      <w:tcPr>
                        <w:tcW w:w="3327" w:type="dxa"/>
                        <w:vMerge/>
                        <w:tcBorders>
                          <w:left w:val="single" w:sz="9" w:space="0" w:color="D2D2D2"/>
                          <w:bottom w:val="nil" w:sz="6" w:space="0" w:color="auto"/>
                          <w:right w:val="single" w:sz="4" w:space="0" w:color="000000"/>
                        </w:tcBorders>
                      </w:tcPr>
                      <w:p>
                        <w:pPr/>
                      </w:p>
                    </w:tc>
                    <w:tc>
                      <w:tcPr>
                        <w:tcW w:w="3053" w:type="dxa"/>
                        <w:vMerge/>
                        <w:tcBorders>
                          <w:left w:val="single" w:sz="4" w:space="0" w:color="000000"/>
                          <w:bottom w:val="nil" w:sz="6" w:space="0" w:color="auto"/>
                          <w:right w:val="single" w:sz="4" w:space="0" w:color="000000"/>
                        </w:tcBorders>
                      </w:tcPr>
                      <w:p>
                        <w:pPr/>
                      </w:p>
                    </w:tc>
                  </w:tr>
                  <w:tr>
                    <w:trPr>
                      <w:trHeight w:val="312" w:hRule="exact"/>
                    </w:trPr>
                    <w:tc>
                      <w:tcPr>
                        <w:tcW w:w="3178" w:type="dxa"/>
                        <w:vMerge/>
                        <w:tcBorders>
                          <w:left w:val="single" w:sz="4" w:space="0" w:color="000000"/>
                          <w:right w:val="single" w:sz="4" w:space="0" w:color="000000"/>
                        </w:tcBorders>
                        <w:shd w:val="clear" w:color="auto" w:fill="D2D2D2"/>
                      </w:tcPr>
                      <w:p>
                        <w:pPr/>
                      </w:p>
                    </w:tc>
                    <w:tc>
                      <w:tcPr>
                        <w:tcW w:w="332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。一般缺陷：错报金额＜资产总额的</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6" w:right="0"/>
                          <w:jc w:val="left"/>
                          <w:rPr>
                            <w:rFonts w:ascii="宋体" w:hAnsi="宋体" w:cs="宋体" w:eastAsia="宋体" w:hint="default"/>
                            <w:sz w:val="18"/>
                            <w:szCs w:val="18"/>
                          </w:rPr>
                        </w:pPr>
                        <w:r>
                          <w:rPr>
                            <w:rFonts w:ascii="宋体" w:hAnsi="宋体" w:cs="宋体" w:eastAsia="宋体" w:hint="default"/>
                            <w:sz w:val="18"/>
                            <w:szCs w:val="18"/>
                          </w:rPr>
                          <w:t>损失＜资产总额的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353" w:hRule="exact"/>
                    </w:trPr>
                    <w:tc>
                      <w:tcPr>
                        <w:tcW w:w="3178" w:type="dxa"/>
                        <w:vMerge/>
                        <w:tcBorders>
                          <w:left w:val="single" w:sz="4" w:space="0" w:color="000000"/>
                          <w:bottom w:val="single" w:sz="4" w:space="0" w:color="000000"/>
                          <w:right w:val="single" w:sz="4" w:space="0" w:color="000000"/>
                        </w:tcBorders>
                        <w:shd w:val="clear" w:color="auto" w:fill="D2D2D2"/>
                      </w:tcPr>
                      <w:p>
                        <w:pPr/>
                      </w:p>
                    </w:tc>
                    <w:tc>
                      <w:tcPr>
                        <w:tcW w:w="33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9" w:right="0"/>
                          <w:jc w:val="left"/>
                          <w:rPr>
                            <w:rFonts w:ascii="宋体" w:hAnsi="宋体" w:cs="宋体" w:eastAsia="宋体" w:hint="default"/>
                            <w:sz w:val="18"/>
                            <w:szCs w:val="18"/>
                          </w:rPr>
                        </w:pPr>
                        <w:r>
                          <w:rPr>
                            <w:rFonts w:ascii="宋体" w:hAnsi="宋体" w:cs="宋体" w:eastAsia="宋体" w:hint="default"/>
                            <w:sz w:val="18"/>
                            <w:szCs w:val="18"/>
                          </w:rPr>
                          <w:t>或错报金额＜营业收入的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3053"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2"/>
        <w:spacing w:line="240" w:lineRule="auto" w:before="26"/>
        <w:ind w:right="1133"/>
        <w:jc w:val="left"/>
        <w:rPr>
          <w:b w:val="0"/>
          <w:bCs w:val="0"/>
        </w:rPr>
      </w:pPr>
      <w:r>
        <w:rPr/>
        <w:t>十、内部控制审计报告或鉴证报告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内部控制鉴证报告</w:t>
      </w:r>
    </w:p>
    <w:p>
      <w:pPr>
        <w:spacing w:line="240" w:lineRule="auto" w:before="9"/>
        <w:rPr>
          <w:rFonts w:ascii="宋体" w:hAnsi="宋体" w:cs="宋体" w:eastAsia="宋体" w:hint="default"/>
          <w:sz w:val="8"/>
          <w:szCs w:val="8"/>
        </w:rPr>
      </w:pPr>
    </w:p>
    <w:p>
      <w:pPr>
        <w:spacing w:line="400" w:lineRule="exact"/>
        <w:ind w:left="15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5pt;height:20.05pt;mso-position-horizontal-relative:char;mso-position-vertical-relative:line" type="#_x0000_t202" filled="true" fillcolor="#d2d2d2" stroked="true" strokeweight=".47998pt" strokecolor="#000000">
            <w10:anchorlock/>
            <v:textbox inset="0,0,0,0">
              <w:txbxContent>
                <w:p>
                  <w:pPr>
                    <w:pStyle w:val="BodyText"/>
                    <w:spacing w:line="240" w:lineRule="auto" w:before="49"/>
                    <w:ind w:left="-1" w:right="1"/>
                    <w:jc w:val="center"/>
                  </w:pPr>
                  <w:r>
                    <w:rPr/>
                    <w:t>内部控制鉴证报告中的审议意见段</w:t>
                  </w:r>
                </w:p>
              </w:txbxContent>
            </v:textbox>
            <v:fill type="solid"/>
          </v:shape>
        </w:pict>
      </w:r>
      <w:r>
        <w:rPr>
          <w:rFonts w:ascii="宋体" w:hAnsi="宋体" w:cs="宋体" w:eastAsia="宋体" w:hint="default"/>
          <w:position w:val="-7"/>
          <w:sz w:val="20"/>
          <w:szCs w:val="20"/>
        </w:rPr>
      </w:r>
    </w:p>
    <w:p>
      <w:pPr>
        <w:spacing w:after="0" w:line="400" w:lineRule="exact"/>
        <w:rPr>
          <w:rFonts w:ascii="宋体" w:hAnsi="宋体" w:cs="宋体" w:eastAsia="宋体" w:hint="default"/>
          <w:sz w:val="20"/>
          <w:szCs w:val="20"/>
        </w:rPr>
        <w:sectPr>
          <w:footerReference w:type="default" r:id="rId20"/>
          <w:pgSz w:w="11910" w:h="16840"/>
          <w:pgMar w:footer="979" w:header="877" w:top="1100" w:bottom="1160" w:left="980" w:right="0"/>
          <w:pgNumType w:start="11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713"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79" w:firstLine="360"/>
              <w:jc w:val="left"/>
              <w:rPr>
                <w:rFonts w:ascii="宋体" w:hAnsi="宋体" w:cs="宋体" w:eastAsia="宋体" w:hint="default"/>
                <w:sz w:val="18"/>
                <w:szCs w:val="18"/>
              </w:rPr>
            </w:pPr>
            <w:r>
              <w:rPr>
                <w:rFonts w:ascii="宋体" w:hAnsi="宋体" w:cs="宋体" w:eastAsia="宋体" w:hint="default"/>
                <w:sz w:val="18"/>
                <w:szCs w:val="18"/>
              </w:rPr>
              <w:t>我们认为，贵公司按照财政部等五部委颁发的《企业内部控制基本规范》及相关规定于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 大方面保持了与财务报表相关的有效的内部控制。本结论是在受到鉴证报告中指出的固有限制的条件下形成的。</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33"/>
        <w:jc w:val="left"/>
      </w:pPr>
      <w:r>
        <w:rPr/>
        <w:t>会计师事务所是否出具非标准意见的内部控制鉴证报告</w:t>
      </w:r>
    </w:p>
    <w:p>
      <w:pPr>
        <w:pStyle w:val="BodyText"/>
        <w:spacing w:line="340" w:lineRule="auto" w:before="115"/>
        <w:ind w:right="46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41"/>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045" w:right="1133"/>
        <w:jc w:val="left"/>
        <w:rPr>
          <w:b w:val="0"/>
          <w:bCs w:val="0"/>
        </w:rPr>
      </w:pPr>
      <w:bookmarkStart w:name="_bookmark10" w:id="11"/>
      <w:bookmarkEnd w:id="11"/>
      <w:r>
        <w:rPr>
          <w:b w:val="0"/>
          <w:bCs w:val="0"/>
        </w:rPr>
      </w:r>
      <w:r>
        <w:rPr/>
        <w:t>第十一节公司债券相关情况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726" w:right="4650"/>
        <w:jc w:val="center"/>
        <w:rPr>
          <w:b w:val="0"/>
          <w:bCs w:val="0"/>
        </w:rPr>
      </w:pPr>
      <w:bookmarkStart w:name="_bookmark11" w:id="12"/>
      <w:bookmarkEnd w:id="12"/>
      <w:r>
        <w:rPr>
          <w:b w:val="0"/>
          <w:bCs w:val="0"/>
        </w:rPr>
      </w:r>
      <w:r>
        <w:rPr/>
        <w:t>第十二节财务报告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left="212" w:right="1119"/>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20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京会兴审字第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01000010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时彦禄、余自勇</w:t>
            </w:r>
          </w:p>
        </w:tc>
      </w:tr>
    </w:tbl>
    <w:p>
      <w:pPr>
        <w:spacing w:after="0" w:line="240" w:lineRule="auto"/>
        <w:jc w:val="left"/>
        <w:rPr>
          <w:rFonts w:ascii="宋体" w:hAnsi="宋体" w:cs="宋体" w:eastAsia="宋体" w:hint="default"/>
          <w:sz w:val="18"/>
          <w:szCs w:val="18"/>
        </w:rPr>
        <w:sectPr>
          <w:pgSz w:w="11910" w:h="16840"/>
          <w:pgMar w:header="877" w:footer="979" w:top="1100" w:bottom="1160" w:left="920" w:right="0"/>
        </w:sect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18"/>
          <w:szCs w:val="18"/>
        </w:rPr>
      </w:pPr>
    </w:p>
    <w:p>
      <w:pPr>
        <w:pStyle w:val="Heading4"/>
        <w:spacing w:line="316" w:lineRule="auto" w:before="0"/>
        <w:ind w:left="573" w:right="0" w:hanging="361"/>
        <w:jc w:val="left"/>
        <w:rPr>
          <w:b w:val="0"/>
          <w:bCs w:val="0"/>
        </w:rPr>
      </w:pPr>
      <w:r>
        <w:rPr>
          <w:w w:val="95"/>
        </w:rPr>
        <w:t>北京君正集成电路股份有限公司全体股东：</w:t>
      </w:r>
      <w:r>
        <w:rPr>
          <w:spacing w:val="84"/>
          <w:w w:val="95"/>
        </w:rPr>
        <w:t> </w:t>
      </w:r>
      <w:r>
        <w:rPr>
          <w:spacing w:val="84"/>
          <w:w w:val="95"/>
        </w:rPr>
      </w:r>
      <w:r>
        <w:rPr/>
        <w:t>一、审计意见</w:t>
      </w:r>
      <w:r>
        <w:rPr>
          <w:b w:val="0"/>
          <w:bCs w:val="0"/>
        </w:rPr>
      </w:r>
    </w:p>
    <w:p>
      <w:pPr>
        <w:pStyle w:val="Heading4"/>
        <w:spacing w:line="240" w:lineRule="auto" w:before="49"/>
        <w:ind w:right="-20"/>
        <w:jc w:val="left"/>
        <w:rPr>
          <w:b w:val="0"/>
          <w:bCs w:val="0"/>
        </w:rPr>
      </w:pPr>
      <w:r>
        <w:rPr>
          <w:b w:val="0"/>
          <w:bCs w:val="0"/>
        </w:rPr>
        <w:br w:type="column"/>
      </w:r>
      <w:r>
        <w:rPr/>
        <w:t>审计报告正文</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7"/>
        <w:rPr>
          <w:rFonts w:ascii="宋体" w:hAnsi="宋体" w:cs="宋体" w:eastAsia="宋体" w:hint="default"/>
          <w:b/>
          <w:bCs/>
          <w:sz w:val="12"/>
          <w:szCs w:val="12"/>
        </w:rPr>
      </w:pPr>
    </w:p>
    <w:p>
      <w:pPr>
        <w:pStyle w:val="Heading4"/>
        <w:spacing w:line="240" w:lineRule="auto" w:before="0"/>
        <w:ind w:right="0"/>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[2020]</w:t>
      </w:r>
      <w:r>
        <w:rPr/>
        <w:t>京会兴审字第</w:t>
      </w:r>
      <w:r>
        <w:rPr>
          <w:spacing w:val="-48"/>
        </w:rPr>
        <w:t> </w:t>
      </w:r>
      <w:r>
        <w:rPr>
          <w:rFonts w:ascii="Times New Roman" w:hAnsi="Times New Roman" w:cs="Times New Roman" w:eastAsia="Times New Roman" w:hint="default"/>
        </w:rPr>
        <w:t>01000010</w:t>
      </w:r>
      <w:r>
        <w:rPr>
          <w:rFonts w:ascii="Times New Roman" w:hAnsi="Times New Roman" w:cs="Times New Roman" w:eastAsia="Times New Roman" w:hint="default"/>
          <w:b w:val="0"/>
          <w:bCs w:val="0"/>
        </w:rPr>
      </w:r>
    </w:p>
    <w:p>
      <w:pPr>
        <w:spacing w:after="0" w:line="240" w:lineRule="auto"/>
        <w:jc w:val="left"/>
        <w:rPr>
          <w:rFonts w:ascii="Times New Roman" w:hAnsi="Times New Roman" w:cs="Times New Roman" w:eastAsia="Times New Roman" w:hint="default"/>
        </w:rPr>
        <w:sectPr>
          <w:type w:val="continuous"/>
          <w:pgSz w:w="11910" w:h="16840"/>
          <w:pgMar w:top="1060" w:bottom="1160" w:left="920" w:right="0"/>
          <w:cols w:num="3" w:equalWidth="0">
            <w:col w:w="3646" w:space="632"/>
            <w:col w:w="1298" w:space="395"/>
            <w:col w:w="5019"/>
          </w:cols>
        </w:sectPr>
      </w:pPr>
    </w:p>
    <w:p>
      <w:pPr>
        <w:pStyle w:val="BodyText"/>
        <w:spacing w:line="300" w:lineRule="auto" w:before="19"/>
        <w:ind w:left="212" w:right="1484" w:firstLine="353"/>
        <w:jc w:val="both"/>
      </w:pPr>
      <w:r>
        <w:rPr>
          <w:spacing w:val="-3"/>
        </w:rPr>
        <w:t>我们审计了北京君正集成电路股份有限公司合并及母公司财务报表（以下简称财务报表），包括</w:t>
      </w:r>
      <w:r>
        <w:rPr/>
        <w:t>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spacing w:val="-1"/>
        </w:rPr>
        <w:t>12</w:t>
      </w:r>
      <w:r>
        <w:rPr>
          <w:rFonts w:ascii="Times New Roman" w:hAnsi="Times New Roman" w:cs="Times New Roman" w:eastAsia="Times New Roman" w:hint="default"/>
        </w:rPr>
        <w:t> </w:t>
      </w:r>
      <w:r>
        <w:rPr/>
        <w:t>月</w:t>
      </w:r>
      <w:r>
        <w:rPr>
          <w:spacing w:val="-32"/>
        </w:rPr>
        <w:t> </w:t>
      </w:r>
      <w:r>
        <w:rPr>
          <w:rFonts w:ascii="Times New Roman" w:hAnsi="Times New Roman" w:cs="Times New Roman" w:eastAsia="Times New Roman" w:hint="default"/>
          <w:spacing w:val="-2"/>
        </w:rPr>
        <w:t>31 </w:t>
      </w:r>
      <w:r>
        <w:rPr/>
        <w:t>日的合并及母公司资产负债表，</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年度的合并及母公司利润表、合并及母公司现金流量表、合并及母公司所有者权 益变动表以及相关财务报表附注。</w:t>
      </w:r>
    </w:p>
    <w:p>
      <w:pPr>
        <w:pStyle w:val="BodyText"/>
        <w:spacing w:line="240" w:lineRule="auto" w:before="31"/>
        <w:ind w:left="566" w:right="1119"/>
        <w:jc w:val="left"/>
        <w:rPr>
          <w:rFonts w:ascii="Times New Roman" w:hAnsi="Times New Roman" w:cs="Times New Roman" w:eastAsia="Times New Roman" w:hint="default"/>
        </w:rPr>
      </w:pPr>
      <w:r>
        <w:rPr/>
        <w:t>我们认为，后附的财务报表在所有重大方面按照企业会计准则的规定编制，公允反映了北京君正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 </w:t>
      </w:r>
      <w:r>
        <w:rPr/>
        <w:t>月</w:t>
      </w:r>
      <w:r>
        <w:rPr>
          <w:spacing w:val="-68"/>
        </w:rPr>
        <w:t> </w:t>
      </w:r>
      <w:r>
        <w:rPr>
          <w:rFonts w:ascii="Times New Roman" w:hAnsi="Times New Roman" w:cs="Times New Roman" w:eastAsia="Times New Roman" w:hint="default"/>
        </w:rPr>
        <w:t>31</w:t>
      </w:r>
    </w:p>
    <w:p>
      <w:pPr>
        <w:spacing w:line="300" w:lineRule="auto" w:before="63"/>
        <w:ind w:left="573" w:right="4365" w:hanging="361"/>
        <w:jc w:val="left"/>
        <w:rPr>
          <w:rFonts w:ascii="宋体" w:hAnsi="宋体" w:cs="宋体" w:eastAsia="宋体" w:hint="default"/>
          <w:sz w:val="18"/>
          <w:szCs w:val="18"/>
        </w:rPr>
      </w:pPr>
      <w:r>
        <w:rPr>
          <w:rFonts w:ascii="宋体" w:hAnsi="宋体" w:cs="宋体" w:eastAsia="宋体" w:hint="default"/>
          <w:sz w:val="18"/>
          <w:szCs w:val="18"/>
        </w:rPr>
        <w:t>日的合并及母公司财务状况以及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年度的合并及母公司经营成果和现金流量。 </w:t>
      </w:r>
      <w:r>
        <w:rPr>
          <w:rFonts w:ascii="宋体" w:hAnsi="宋体" w:cs="宋体" w:eastAsia="宋体" w:hint="default"/>
          <w:b/>
          <w:bCs/>
          <w:sz w:val="18"/>
          <w:szCs w:val="18"/>
        </w:rPr>
        <w:t>二、形成审计意见的基础</w:t>
      </w:r>
      <w:r>
        <w:rPr>
          <w:rFonts w:ascii="宋体" w:hAnsi="宋体" w:cs="宋体" w:eastAsia="宋体" w:hint="default"/>
          <w:sz w:val="18"/>
          <w:szCs w:val="18"/>
        </w:rPr>
      </w:r>
    </w:p>
    <w:p>
      <w:pPr>
        <w:pStyle w:val="BodyText"/>
        <w:spacing w:line="309" w:lineRule="auto" w:before="31"/>
        <w:ind w:left="212" w:right="1483" w:firstLine="353"/>
        <w:jc w:val="both"/>
      </w:pPr>
      <w:r>
        <w:rPr>
          <w:spacing w:val="-1"/>
        </w:rPr>
        <w:t>我们按照中国注册会计师审计准则的规定执行了审计工作。审计报告的</w:t>
      </w:r>
      <w:r>
        <w:rPr>
          <w:rFonts w:ascii="Times New Roman" w:hAnsi="Times New Roman" w:cs="Times New Roman" w:eastAsia="Times New Roman" w:hint="default"/>
          <w:spacing w:val="-1"/>
        </w:rPr>
        <w:t>“</w:t>
      </w:r>
      <w:r>
        <w:rPr>
          <w:spacing w:val="-1"/>
        </w:rPr>
        <w:t>注册会计师对财务报表审计的责任</w:t>
      </w:r>
      <w:r>
        <w:rPr>
          <w:rFonts w:ascii="Times New Roman" w:hAnsi="Times New Roman" w:cs="Times New Roman" w:eastAsia="Times New Roman" w:hint="default"/>
          <w:spacing w:val="-1"/>
        </w:rPr>
        <w:t>”</w:t>
      </w:r>
      <w:r>
        <w:rPr>
          <w:spacing w:val="-1"/>
        </w:rPr>
        <w:t>部分进</w:t>
      </w:r>
      <w:r>
        <w:rPr/>
        <w:t> </w:t>
      </w:r>
      <w:r>
        <w:rPr>
          <w:spacing w:val="-2"/>
        </w:rPr>
        <w:t>一步阐述了我们在这些准则下的责任。按照中国注册会计师职业道德守则，我们独立于北京君正，并履行了职业道德方</w:t>
      </w:r>
      <w:r>
        <w:rPr>
          <w:spacing w:val="-58"/>
        </w:rPr>
        <w:t> </w:t>
      </w:r>
      <w:r>
        <w:rPr>
          <w:spacing w:val="-58"/>
        </w:rPr>
      </w:r>
      <w:r>
        <w:rPr/>
        <w:t>面的其他责任。我们相信，我们获取的审计证据是充分、适当的，为发表审计意见提供了基础。</w:t>
      </w:r>
    </w:p>
    <w:p>
      <w:pPr>
        <w:pStyle w:val="BodyText"/>
        <w:spacing w:line="316" w:lineRule="auto" w:before="24"/>
        <w:ind w:left="566" w:right="1119" w:firstLine="7"/>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w:t>
      </w:r>
    </w:p>
    <w:p>
      <w:pPr>
        <w:pStyle w:val="BodyText"/>
        <w:spacing w:line="316" w:lineRule="auto" w:before="19"/>
        <w:ind w:left="566" w:right="5354" w:hanging="354"/>
        <w:jc w:val="left"/>
      </w:pPr>
      <w:r>
        <w:rPr/>
        <w:t>进行审计并形成审计意见为背景，我们不对这些事项单独发表意见。 我们在本期财务报表审计中识别出的关键审计事项如下：</w:t>
      </w:r>
    </w:p>
    <w:p>
      <w:pPr>
        <w:pStyle w:val="BodyText"/>
        <w:spacing w:line="376" w:lineRule="auto" w:before="59"/>
        <w:ind w:left="212" w:right="7514"/>
        <w:jc w:val="left"/>
      </w:pPr>
      <w:r>
        <w:rPr>
          <w:rFonts w:ascii="Times New Roman" w:hAnsi="Times New Roman" w:cs="Times New Roman" w:eastAsia="Times New Roman" w:hint="default"/>
        </w:rPr>
        <w:t>1</w:t>
      </w:r>
      <w:r>
        <w:rPr/>
        <w:t>、收入确认 参阅财务报表附注六、（二十七）所述。</w:t>
      </w:r>
    </w:p>
    <w:tbl>
      <w:tblPr>
        <w:tblW w:w="0" w:type="auto"/>
        <w:jc w:val="left"/>
        <w:tblInd w:w="100" w:type="dxa"/>
        <w:tblLayout w:type="fixed"/>
        <w:tblCellMar>
          <w:top w:w="0" w:type="dxa"/>
          <w:left w:w="0" w:type="dxa"/>
          <w:bottom w:w="0" w:type="dxa"/>
          <w:right w:w="0" w:type="dxa"/>
        </w:tblCellMar>
        <w:tblLook w:val="01E0"/>
      </w:tblPr>
      <w:tblGrid>
        <w:gridCol w:w="3200"/>
        <w:gridCol w:w="6474"/>
      </w:tblGrid>
      <w:tr>
        <w:trPr>
          <w:trHeight w:val="401"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6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b/>
                <w:bCs/>
                <w:sz w:val="18"/>
                <w:szCs w:val="18"/>
              </w:rPr>
              <w:t>审计中的应对</w:t>
            </w:r>
            <w:r>
              <w:rPr>
                <w:rFonts w:ascii="宋体" w:hAnsi="宋体" w:cs="宋体" w:eastAsia="宋体" w:hint="default"/>
                <w:sz w:val="18"/>
                <w:szCs w:val="18"/>
              </w:rPr>
            </w:r>
          </w:p>
        </w:tc>
      </w:tr>
      <w:tr>
        <w:trPr>
          <w:trHeight w:val="360" w:hRule="exact"/>
        </w:trPr>
        <w:tc>
          <w:tcPr>
            <w:tcW w:w="32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pacing w:val="4"/>
                <w:sz w:val="18"/>
                <w:szCs w:val="18"/>
              </w:rPr>
              <w:t>北京君正</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年营业收入</w:t>
            </w:r>
            <w:r>
              <w:rPr>
                <w:rFonts w:ascii="Times New Roman" w:hAnsi="Times New Roman" w:cs="Times New Roman" w:eastAsia="Times New Roman" w:hint="default"/>
                <w:spacing w:val="4"/>
                <w:sz w:val="18"/>
                <w:szCs w:val="18"/>
              </w:rPr>
              <w:t>33,935.12</w:t>
            </w:r>
            <w:r>
              <w:rPr>
                <w:rFonts w:ascii="宋体" w:hAnsi="宋体" w:cs="宋体" w:eastAsia="宋体" w:hint="default"/>
                <w:spacing w:val="4"/>
                <w:sz w:val="18"/>
                <w:szCs w:val="18"/>
              </w:rPr>
              <w:t>万</w:t>
            </w:r>
          </w:p>
        </w:tc>
        <w:tc>
          <w:tcPr>
            <w:tcW w:w="64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对于收入的确认，我们执行的主要审计程序包括：</w:t>
            </w:r>
          </w:p>
        </w:tc>
      </w:tr>
      <w:tr>
        <w:trPr>
          <w:trHeight w:val="332" w:hRule="exact"/>
        </w:trPr>
        <w:tc>
          <w:tcPr>
            <w:tcW w:w="32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pacing w:val="-5"/>
                <w:sz w:val="18"/>
                <w:szCs w:val="18"/>
              </w:rPr>
              <w:t>元，主要系芯片销售收入。北京君正对</w:t>
            </w:r>
          </w:p>
        </w:tc>
        <w:tc>
          <w:tcPr>
            <w:tcW w:w="647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、了解和评价管理层与收入确认的关键内部控制的设计和运行有效性；</w:t>
            </w:r>
          </w:p>
        </w:tc>
      </w:tr>
      <w:tr>
        <w:trPr>
          <w:trHeight w:val="331" w:hRule="exact"/>
        </w:trPr>
        <w:tc>
          <w:tcPr>
            <w:tcW w:w="3200"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8" w:right="0"/>
              <w:jc w:val="center"/>
              <w:rPr>
                <w:rFonts w:ascii="宋体" w:hAnsi="宋体" w:cs="宋体" w:eastAsia="宋体" w:hint="default"/>
                <w:sz w:val="18"/>
                <w:szCs w:val="18"/>
              </w:rPr>
            </w:pPr>
            <w:r>
              <w:rPr>
                <w:rFonts w:ascii="宋体" w:hAnsi="宋体" w:cs="宋体" w:eastAsia="宋体" w:hint="default"/>
                <w:spacing w:val="6"/>
                <w:sz w:val="18"/>
                <w:szCs w:val="18"/>
              </w:rPr>
              <w:t>于国内销售的芯片产生的收入是在商</w:t>
            </w:r>
            <w:r>
              <w:rPr>
                <w:rFonts w:ascii="宋体" w:hAnsi="宋体" w:cs="宋体" w:eastAsia="宋体" w:hint="default"/>
                <w:sz w:val="18"/>
                <w:szCs w:val="18"/>
              </w:rPr>
            </w:r>
          </w:p>
        </w:tc>
        <w:tc>
          <w:tcPr>
            <w:tcW w:w="647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、选取样本检查销售合同，识别与商品所有权上的风险和报酬转移相关的合同</w:t>
            </w:r>
          </w:p>
        </w:tc>
      </w:tr>
      <w:tr>
        <w:trPr>
          <w:trHeight w:val="307" w:hRule="exact"/>
        </w:trPr>
        <w:tc>
          <w:tcPr>
            <w:tcW w:w="3200"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8" w:right="0"/>
              <w:jc w:val="center"/>
              <w:rPr>
                <w:rFonts w:ascii="宋体" w:hAnsi="宋体" w:cs="宋体" w:eastAsia="宋体" w:hint="default"/>
                <w:sz w:val="18"/>
                <w:szCs w:val="18"/>
              </w:rPr>
            </w:pPr>
            <w:r>
              <w:rPr>
                <w:rFonts w:ascii="宋体" w:hAnsi="宋体" w:cs="宋体" w:eastAsia="宋体" w:hint="default"/>
                <w:spacing w:val="6"/>
                <w:sz w:val="18"/>
                <w:szCs w:val="18"/>
              </w:rPr>
              <w:t>品所有权上的风险和报酬已转移至客</w:t>
            </w:r>
            <w:r>
              <w:rPr>
                <w:rFonts w:ascii="宋体" w:hAnsi="宋体" w:cs="宋体" w:eastAsia="宋体" w:hint="default"/>
                <w:sz w:val="18"/>
                <w:szCs w:val="18"/>
              </w:rPr>
            </w:r>
          </w:p>
        </w:tc>
        <w:tc>
          <w:tcPr>
            <w:tcW w:w="647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条款与条件；</w:t>
            </w:r>
          </w:p>
        </w:tc>
      </w:tr>
      <w:tr>
        <w:trPr>
          <w:trHeight w:val="337" w:hRule="exact"/>
        </w:trPr>
        <w:tc>
          <w:tcPr>
            <w:tcW w:w="3200"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pacing w:val="-5"/>
                <w:sz w:val="18"/>
                <w:szCs w:val="18"/>
              </w:rPr>
              <w:t>户时确认的，根据销售合同约定，通常</w:t>
            </w:r>
          </w:p>
        </w:tc>
        <w:tc>
          <w:tcPr>
            <w:tcW w:w="6474"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、对本年记录的收入交易选取样本，核对销售合同、出库单、发票、客户签收</w:t>
            </w:r>
          </w:p>
        </w:tc>
      </w:tr>
      <w:tr>
        <w:trPr>
          <w:trHeight w:val="307" w:hRule="exact"/>
        </w:trPr>
        <w:tc>
          <w:tcPr>
            <w:tcW w:w="3200" w:type="dxa"/>
            <w:tcBorders>
              <w:top w:val="nil" w:sz="6" w:space="0" w:color="auto"/>
              <w:left w:val="single" w:sz="4" w:space="0" w:color="000000"/>
              <w:bottom w:val="nil" w:sz="6" w:space="0" w:color="auto"/>
              <w:right w:val="single" w:sz="4" w:space="0" w:color="000000"/>
            </w:tcBorders>
          </w:tcPr>
          <w:p>
            <w:pPr>
              <w:pStyle w:val="TableParagraph"/>
              <w:spacing w:line="181" w:lineRule="exact"/>
              <w:ind w:right="1"/>
              <w:jc w:val="center"/>
              <w:rPr>
                <w:rFonts w:ascii="宋体" w:hAnsi="宋体" w:cs="宋体" w:eastAsia="宋体" w:hint="default"/>
                <w:sz w:val="18"/>
                <w:szCs w:val="18"/>
              </w:rPr>
            </w:pPr>
            <w:r>
              <w:rPr>
                <w:rFonts w:ascii="宋体" w:hAnsi="宋体" w:cs="宋体" w:eastAsia="宋体" w:hint="default"/>
                <w:sz w:val="18"/>
                <w:szCs w:val="18"/>
              </w:rPr>
              <w:t>以芯片发出后取得客户签收</w:t>
            </w:r>
            <w:r>
              <w:rPr>
                <w:rFonts w:ascii="宋体" w:hAnsi="宋体" w:cs="宋体" w:eastAsia="宋体" w:hint="default"/>
                <w:spacing w:val="-77"/>
                <w:sz w:val="18"/>
                <w:szCs w:val="18"/>
              </w:rPr>
              <w:t>、</w:t>
            </w:r>
            <w:r>
              <w:rPr>
                <w:rFonts w:ascii="宋体" w:hAnsi="宋体" w:cs="宋体" w:eastAsia="宋体" w:hint="default"/>
                <w:sz w:val="18"/>
                <w:szCs w:val="18"/>
              </w:rPr>
              <w:t>验收资料</w:t>
            </w:r>
          </w:p>
        </w:tc>
        <w:tc>
          <w:tcPr>
            <w:tcW w:w="6474"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left="105" w:right="0"/>
              <w:jc w:val="left"/>
              <w:rPr>
                <w:rFonts w:ascii="宋体" w:hAnsi="宋体" w:cs="宋体" w:eastAsia="宋体" w:hint="default"/>
                <w:sz w:val="18"/>
                <w:szCs w:val="18"/>
              </w:rPr>
            </w:pPr>
            <w:r>
              <w:rPr>
                <w:rFonts w:ascii="宋体" w:hAnsi="宋体" w:cs="宋体" w:eastAsia="宋体" w:hint="default"/>
                <w:sz w:val="18"/>
                <w:szCs w:val="18"/>
              </w:rPr>
              <w:t>单等；</w:t>
            </w:r>
          </w:p>
        </w:tc>
      </w:tr>
      <w:tr>
        <w:trPr>
          <w:trHeight w:val="820" w:hRule="exact"/>
        </w:trPr>
        <w:tc>
          <w:tcPr>
            <w:tcW w:w="3200" w:type="dxa"/>
            <w:tcBorders>
              <w:top w:val="nil" w:sz="6" w:space="0" w:color="auto"/>
              <w:left w:val="single" w:sz="4" w:space="0" w:color="000000"/>
              <w:bottom w:val="nil" w:sz="6" w:space="0" w:color="auto"/>
              <w:right w:val="single" w:sz="4" w:space="0" w:color="000000"/>
            </w:tcBorders>
          </w:tcPr>
          <w:p>
            <w:pPr>
              <w:pStyle w:val="TableParagraph"/>
              <w:spacing w:line="186" w:lineRule="exact"/>
              <w:ind w:left="103" w:right="0"/>
              <w:jc w:val="left"/>
              <w:rPr>
                <w:rFonts w:ascii="宋体" w:hAnsi="宋体" w:cs="宋体" w:eastAsia="宋体" w:hint="default"/>
                <w:sz w:val="18"/>
                <w:szCs w:val="18"/>
              </w:rPr>
            </w:pPr>
            <w:r>
              <w:rPr>
                <w:rFonts w:ascii="宋体" w:hAnsi="宋体" w:cs="宋体" w:eastAsia="宋体" w:hint="default"/>
                <w:sz w:val="18"/>
                <w:szCs w:val="18"/>
              </w:rPr>
              <w:t>时确认收入</w:t>
            </w:r>
            <w:r>
              <w:rPr>
                <w:rFonts w:ascii="宋体" w:hAnsi="宋体" w:cs="宋体" w:eastAsia="宋体" w:hint="default"/>
                <w:spacing w:val="-77"/>
                <w:sz w:val="18"/>
                <w:szCs w:val="18"/>
              </w:rPr>
              <w:t>。</w:t>
            </w:r>
            <w:r>
              <w:rPr>
                <w:rFonts w:ascii="宋体" w:hAnsi="宋体" w:cs="宋体" w:eastAsia="宋体" w:hint="default"/>
                <w:sz w:val="18"/>
                <w:szCs w:val="18"/>
              </w:rPr>
              <w:t>由于收入是北京君正的关</w:t>
            </w:r>
          </w:p>
          <w:p>
            <w:pPr>
              <w:pStyle w:val="TableParagraph"/>
              <w:spacing w:line="319" w:lineRule="auto" w:before="76"/>
              <w:ind w:left="103" w:right="25"/>
              <w:jc w:val="left"/>
              <w:rPr>
                <w:rFonts w:ascii="宋体" w:hAnsi="宋体" w:cs="宋体" w:eastAsia="宋体" w:hint="default"/>
                <w:sz w:val="18"/>
                <w:szCs w:val="18"/>
              </w:rPr>
            </w:pPr>
            <w:r>
              <w:rPr>
                <w:rFonts w:ascii="宋体" w:hAnsi="宋体" w:cs="宋体" w:eastAsia="宋体" w:hint="default"/>
                <w:sz w:val="18"/>
                <w:szCs w:val="18"/>
              </w:rPr>
              <w:t>键业绩指标之一，且对利润影响重大， </w:t>
            </w:r>
            <w:r>
              <w:rPr>
                <w:rFonts w:ascii="宋体" w:hAnsi="宋体" w:cs="宋体" w:eastAsia="宋体" w:hint="default"/>
                <w:spacing w:val="6"/>
                <w:sz w:val="18"/>
                <w:szCs w:val="18"/>
              </w:rPr>
              <w:t>从而存在管理层为达到特定目标或期</w:t>
            </w:r>
            <w:r>
              <w:rPr>
                <w:rFonts w:ascii="宋体" w:hAnsi="宋体" w:cs="宋体" w:eastAsia="宋体" w:hint="default"/>
                <w:sz w:val="18"/>
                <w:szCs w:val="18"/>
              </w:rPr>
            </w:r>
          </w:p>
        </w:tc>
        <w:tc>
          <w:tcPr>
            <w:tcW w:w="6474" w:type="dxa"/>
            <w:tcBorders>
              <w:top w:val="nil" w:sz="6" w:space="0" w:color="auto"/>
              <w:left w:val="single" w:sz="4" w:space="0" w:color="000000"/>
              <w:bottom w:val="nil" w:sz="6" w:space="0" w:color="auto"/>
              <w:right w:val="single" w:sz="4" w:space="0" w:color="000000"/>
            </w:tcBorders>
          </w:tcPr>
          <w:p>
            <w:pPr>
              <w:pStyle w:val="TableParagraph"/>
              <w:spacing w:line="300" w:lineRule="auto" w:before="111"/>
              <w:ind w:left="105"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、对资产负债表日前后记录的收入交易，选取样本，核对出库单、发票、客户</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签收单等支持性文件；</w:t>
            </w:r>
          </w:p>
        </w:tc>
      </w:tr>
      <w:tr>
        <w:trPr>
          <w:trHeight w:val="375" w:hRule="exact"/>
        </w:trPr>
        <w:tc>
          <w:tcPr>
            <w:tcW w:w="32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7"/>
              <w:ind w:right="1"/>
              <w:jc w:val="center"/>
              <w:rPr>
                <w:rFonts w:ascii="宋体" w:hAnsi="宋体" w:cs="宋体" w:eastAsia="宋体" w:hint="default"/>
                <w:sz w:val="18"/>
                <w:szCs w:val="18"/>
              </w:rPr>
            </w:pPr>
            <w:r>
              <w:rPr>
                <w:rFonts w:ascii="宋体" w:hAnsi="宋体" w:cs="宋体" w:eastAsia="宋体" w:hint="default"/>
                <w:sz w:val="18"/>
                <w:szCs w:val="18"/>
              </w:rPr>
              <w:t>望而操纵收入确认时点的固有风险</w:t>
            </w:r>
            <w:r>
              <w:rPr>
                <w:rFonts w:ascii="宋体" w:hAnsi="宋体" w:cs="宋体" w:eastAsia="宋体" w:hint="default"/>
                <w:spacing w:val="-77"/>
                <w:sz w:val="18"/>
                <w:szCs w:val="18"/>
              </w:rPr>
              <w:t>，</w:t>
            </w:r>
            <w:r>
              <w:rPr>
                <w:rFonts w:ascii="宋体" w:hAnsi="宋体" w:cs="宋体" w:eastAsia="宋体" w:hint="default"/>
                <w:sz w:val="18"/>
                <w:szCs w:val="18"/>
              </w:rPr>
              <w:t>因</w:t>
            </w:r>
          </w:p>
        </w:tc>
        <w:tc>
          <w:tcPr>
            <w:tcW w:w="6474" w:type="dxa"/>
            <w:tcBorders>
              <w:top w:val="nil" w:sz="6" w:space="0" w:color="auto"/>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、将各类别收入本期毛利率与上期进行比较，分析变动是否异常；</w:t>
            </w:r>
          </w:p>
        </w:tc>
      </w:tr>
    </w:tbl>
    <w:p>
      <w:pPr>
        <w:spacing w:after="0" w:line="203" w:lineRule="exact"/>
        <w:jc w:val="left"/>
        <w:rPr>
          <w:rFonts w:ascii="宋体" w:hAnsi="宋体" w:cs="宋体" w:eastAsia="宋体" w:hint="default"/>
          <w:sz w:val="18"/>
          <w:szCs w:val="18"/>
        </w:rPr>
        <w:sectPr>
          <w:type w:val="continuous"/>
          <w:pgSz w:w="11910" w:h="16840"/>
          <w:pgMar w:top="1060" w:bottom="1160" w:left="920" w:right="0"/>
        </w:sectPr>
      </w:pPr>
    </w:p>
    <w:p>
      <w:pPr>
        <w:spacing w:line="240" w:lineRule="auto" w:before="8"/>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3200"/>
        <w:gridCol w:w="6474"/>
      </w:tblGrid>
      <w:tr>
        <w:trPr>
          <w:trHeight w:val="320" w:hRule="exact"/>
        </w:trPr>
        <w:tc>
          <w:tcPr>
            <w:tcW w:w="32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6"/>
                <w:sz w:val="18"/>
                <w:szCs w:val="18"/>
              </w:rPr>
              <w:t>此我们将北京君正收入确认作为关键</w:t>
            </w:r>
            <w:r>
              <w:rPr>
                <w:rFonts w:ascii="宋体" w:hAnsi="宋体" w:cs="宋体" w:eastAsia="宋体" w:hint="default"/>
                <w:sz w:val="18"/>
                <w:szCs w:val="18"/>
              </w:rPr>
            </w:r>
          </w:p>
        </w:tc>
        <w:tc>
          <w:tcPr>
            <w:tcW w:w="64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、将本期的营业收入与上期的营业收入进行比较，分析产品销售的结构和价格</w:t>
            </w:r>
          </w:p>
        </w:tc>
      </w:tr>
      <w:tr>
        <w:trPr>
          <w:trHeight w:val="327" w:hRule="exact"/>
        </w:trPr>
        <w:tc>
          <w:tcPr>
            <w:tcW w:w="32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审计事项。</w:t>
            </w:r>
          </w:p>
        </w:tc>
        <w:tc>
          <w:tcPr>
            <w:tcW w:w="647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z w:val="18"/>
                <w:szCs w:val="18"/>
              </w:rPr>
              <w:t>变动是否异常；</w:t>
            </w:r>
          </w:p>
        </w:tc>
      </w:tr>
      <w:tr>
        <w:trPr>
          <w:trHeight w:val="357" w:hRule="exact"/>
        </w:trPr>
        <w:tc>
          <w:tcPr>
            <w:tcW w:w="3200" w:type="dxa"/>
            <w:tcBorders>
              <w:top w:val="nil" w:sz="6" w:space="0" w:color="auto"/>
              <w:left w:val="single" w:sz="4" w:space="0" w:color="000000"/>
              <w:bottom w:val="nil" w:sz="6" w:space="0" w:color="auto"/>
              <w:right w:val="single" w:sz="4" w:space="0" w:color="000000"/>
            </w:tcBorders>
          </w:tcPr>
          <w:p>
            <w:pPr/>
          </w:p>
        </w:tc>
        <w:tc>
          <w:tcPr>
            <w:tcW w:w="6474"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、对本期主要客户交易进行函证；</w:t>
            </w:r>
          </w:p>
        </w:tc>
      </w:tr>
      <w:tr>
        <w:trPr>
          <w:trHeight w:val="374" w:hRule="exact"/>
        </w:trPr>
        <w:tc>
          <w:tcPr>
            <w:tcW w:w="3200" w:type="dxa"/>
            <w:tcBorders>
              <w:top w:val="nil" w:sz="6" w:space="0" w:color="auto"/>
              <w:left w:val="single" w:sz="4" w:space="0" w:color="000000"/>
              <w:bottom w:val="single" w:sz="4" w:space="0" w:color="000000"/>
              <w:right w:val="single" w:sz="4" w:space="0" w:color="000000"/>
            </w:tcBorders>
          </w:tcPr>
          <w:p>
            <w:pPr/>
          </w:p>
        </w:tc>
        <w:tc>
          <w:tcPr>
            <w:tcW w:w="64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、结合应收账款的审计，检查收入对应应收账款的收回。</w:t>
            </w:r>
          </w:p>
        </w:tc>
      </w:tr>
    </w:tbl>
    <w:p>
      <w:pPr>
        <w:spacing w:line="240" w:lineRule="auto" w:before="2"/>
        <w:rPr>
          <w:rFonts w:ascii="宋体" w:hAnsi="宋体" w:cs="宋体" w:eastAsia="宋体" w:hint="default"/>
          <w:sz w:val="24"/>
          <w:szCs w:val="24"/>
        </w:rPr>
      </w:pPr>
    </w:p>
    <w:p>
      <w:pPr>
        <w:pStyle w:val="BodyText"/>
        <w:spacing w:line="379" w:lineRule="auto" w:before="44"/>
        <w:ind w:left="212" w:right="7874"/>
        <w:jc w:val="left"/>
      </w:pPr>
      <w:r>
        <w:rPr>
          <w:rFonts w:ascii="Times New Roman" w:hAnsi="Times New Roman" w:cs="Times New Roman" w:eastAsia="Times New Roman" w:hint="default"/>
        </w:rPr>
        <w:t>2</w:t>
      </w:r>
      <w:r>
        <w:rPr/>
        <w:t>、存货跌价准备计提的合理性 参阅财务报表附注六、（五）所述。</w:t>
      </w:r>
    </w:p>
    <w:tbl>
      <w:tblPr>
        <w:tblW w:w="0" w:type="auto"/>
        <w:jc w:val="left"/>
        <w:tblInd w:w="100" w:type="dxa"/>
        <w:tblLayout w:type="fixed"/>
        <w:tblCellMar>
          <w:top w:w="0" w:type="dxa"/>
          <w:left w:w="0" w:type="dxa"/>
          <w:bottom w:w="0" w:type="dxa"/>
          <w:right w:w="0" w:type="dxa"/>
        </w:tblCellMar>
        <w:tblLook w:val="01E0"/>
      </w:tblPr>
      <w:tblGrid>
        <w:gridCol w:w="3997"/>
        <w:gridCol w:w="5699"/>
      </w:tblGrid>
      <w:tr>
        <w:trPr>
          <w:trHeight w:val="401" w:hRule="exact"/>
        </w:trPr>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5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b/>
                <w:bCs/>
                <w:sz w:val="18"/>
                <w:szCs w:val="18"/>
              </w:rPr>
              <w:t>审计中的应对</w:t>
            </w:r>
            <w:r>
              <w:rPr>
                <w:rFonts w:ascii="宋体" w:hAnsi="宋体" w:cs="宋体" w:eastAsia="宋体" w:hint="default"/>
                <w:sz w:val="18"/>
                <w:szCs w:val="18"/>
              </w:rPr>
            </w:r>
          </w:p>
        </w:tc>
      </w:tr>
      <w:tr>
        <w:trPr>
          <w:trHeight w:val="362" w:hRule="exact"/>
        </w:trPr>
        <w:tc>
          <w:tcPr>
            <w:tcW w:w="39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日，合并财务报表中存货账面</w:t>
            </w:r>
          </w:p>
        </w:tc>
        <w:tc>
          <w:tcPr>
            <w:tcW w:w="56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对于存货跌价准备计提的合理性，我们执行的主要审计程序包括：</w:t>
            </w:r>
          </w:p>
        </w:tc>
      </w:tr>
      <w:tr>
        <w:trPr>
          <w:trHeight w:val="332" w:hRule="exact"/>
        </w:trPr>
        <w:tc>
          <w:tcPr>
            <w:tcW w:w="39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pacing w:val="16"/>
                <w:sz w:val="18"/>
                <w:szCs w:val="18"/>
              </w:rPr>
              <w:t>余额为</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13,035.71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w:t>
            </w:r>
            <w:r>
              <w:rPr>
                <w:rFonts w:ascii="宋体" w:hAnsi="宋体" w:cs="宋体" w:eastAsia="宋体" w:hint="default"/>
                <w:spacing w:val="-68"/>
                <w:sz w:val="18"/>
                <w:szCs w:val="18"/>
              </w:rPr>
              <w:t> </w:t>
            </w:r>
            <w:r>
              <w:rPr>
                <w:rFonts w:ascii="宋体" w:hAnsi="宋体" w:cs="宋体" w:eastAsia="宋体" w:hint="default"/>
                <w:sz w:val="18"/>
                <w:szCs w:val="18"/>
              </w:rPr>
              <w:t>元</w:t>
            </w:r>
            <w:r>
              <w:rPr>
                <w:rFonts w:ascii="宋体" w:hAnsi="宋体" w:cs="宋体" w:eastAsia="宋体" w:hint="default"/>
                <w:spacing w:val="-68"/>
                <w:sz w:val="18"/>
                <w:szCs w:val="18"/>
              </w:rPr>
              <w:t> </w:t>
            </w:r>
            <w:r>
              <w:rPr>
                <w:rFonts w:ascii="宋体" w:hAnsi="宋体" w:cs="宋体" w:eastAsia="宋体" w:hint="default"/>
                <w:sz w:val="18"/>
                <w:szCs w:val="18"/>
              </w:rPr>
              <w:t>，</w:t>
            </w:r>
            <w:r>
              <w:rPr>
                <w:rFonts w:ascii="宋体" w:hAnsi="宋体" w:cs="宋体" w:eastAsia="宋体" w:hint="default"/>
                <w:spacing w:val="-68"/>
                <w:sz w:val="18"/>
                <w:szCs w:val="18"/>
              </w:rPr>
              <w:t> </w:t>
            </w:r>
            <w:r>
              <w:rPr>
                <w:rFonts w:ascii="宋体" w:hAnsi="宋体" w:cs="宋体" w:eastAsia="宋体" w:hint="default"/>
                <w:sz w:val="18"/>
                <w:szCs w:val="18"/>
              </w:rPr>
              <w:t>存</w:t>
            </w:r>
            <w:r>
              <w:rPr>
                <w:rFonts w:ascii="宋体" w:hAnsi="宋体" w:cs="宋体" w:eastAsia="宋体" w:hint="default"/>
                <w:spacing w:val="-68"/>
                <w:sz w:val="18"/>
                <w:szCs w:val="18"/>
              </w:rPr>
              <w:t> </w:t>
            </w:r>
            <w:r>
              <w:rPr>
                <w:rFonts w:ascii="宋体" w:hAnsi="宋体" w:cs="宋体" w:eastAsia="宋体" w:hint="default"/>
                <w:spacing w:val="10"/>
                <w:sz w:val="18"/>
                <w:szCs w:val="18"/>
              </w:rPr>
              <w:t>货跌</w:t>
            </w:r>
            <w:r>
              <w:rPr>
                <w:rFonts w:ascii="宋体" w:hAnsi="宋体" w:cs="宋体" w:eastAsia="宋体" w:hint="default"/>
                <w:spacing w:val="-68"/>
                <w:sz w:val="18"/>
                <w:szCs w:val="18"/>
              </w:rPr>
              <w:t> </w:t>
            </w:r>
            <w:r>
              <w:rPr>
                <w:rFonts w:ascii="宋体" w:hAnsi="宋体" w:cs="宋体" w:eastAsia="宋体" w:hint="default"/>
                <w:sz w:val="18"/>
                <w:szCs w:val="18"/>
              </w:rPr>
              <w:t>价</w:t>
            </w:r>
            <w:r>
              <w:rPr>
                <w:rFonts w:ascii="宋体" w:hAnsi="宋体" w:cs="宋体" w:eastAsia="宋体" w:hint="default"/>
                <w:spacing w:val="-68"/>
                <w:sz w:val="18"/>
                <w:szCs w:val="18"/>
              </w:rPr>
              <w:t> </w:t>
            </w:r>
            <w:r>
              <w:rPr>
                <w:rFonts w:ascii="宋体" w:hAnsi="宋体" w:cs="宋体" w:eastAsia="宋体" w:hint="default"/>
                <w:sz w:val="18"/>
                <w:szCs w:val="18"/>
              </w:rPr>
              <w:t>准</w:t>
            </w:r>
            <w:r>
              <w:rPr>
                <w:rFonts w:ascii="宋体" w:hAnsi="宋体" w:cs="宋体" w:eastAsia="宋体" w:hint="default"/>
                <w:spacing w:val="-68"/>
                <w:sz w:val="18"/>
                <w:szCs w:val="18"/>
              </w:rPr>
              <w:t> </w:t>
            </w:r>
            <w:r>
              <w:rPr>
                <w:rFonts w:ascii="宋体" w:hAnsi="宋体" w:cs="宋体" w:eastAsia="宋体" w:hint="default"/>
                <w:sz w:val="18"/>
                <w:szCs w:val="18"/>
              </w:rPr>
              <w:t>备</w:t>
            </w:r>
            <w:r>
              <w:rPr>
                <w:rFonts w:ascii="宋体" w:hAnsi="宋体" w:cs="宋体" w:eastAsia="宋体" w:hint="default"/>
                <w:spacing w:val="-68"/>
                <w:sz w:val="18"/>
                <w:szCs w:val="18"/>
              </w:rPr>
              <w:t> </w:t>
            </w:r>
            <w:r>
              <w:rPr>
                <w:rFonts w:ascii="宋体" w:hAnsi="宋体" w:cs="宋体" w:eastAsia="宋体" w:hint="default"/>
                <w:sz w:val="18"/>
                <w:szCs w:val="18"/>
              </w:rPr>
              <w:t>余</w:t>
            </w:r>
            <w:r>
              <w:rPr>
                <w:rFonts w:ascii="宋体" w:hAnsi="宋体" w:cs="宋体" w:eastAsia="宋体" w:hint="default"/>
                <w:spacing w:val="-68"/>
                <w:sz w:val="18"/>
                <w:szCs w:val="18"/>
              </w:rPr>
              <w:t> </w:t>
            </w:r>
            <w:r>
              <w:rPr>
                <w:rFonts w:ascii="宋体" w:hAnsi="宋体" w:cs="宋体" w:eastAsia="宋体" w:hint="default"/>
                <w:sz w:val="18"/>
                <w:szCs w:val="18"/>
              </w:rPr>
              <w:t>额</w:t>
            </w:r>
            <w:r>
              <w:rPr>
                <w:rFonts w:ascii="宋体" w:hAnsi="宋体" w:cs="宋体" w:eastAsia="宋体" w:hint="default"/>
                <w:spacing w:val="-68"/>
                <w:sz w:val="18"/>
                <w:szCs w:val="18"/>
              </w:rPr>
              <w:t> </w:t>
            </w:r>
            <w:r>
              <w:rPr>
                <w:rFonts w:ascii="宋体" w:hAnsi="宋体" w:cs="宋体" w:eastAsia="宋体" w:hint="default"/>
                <w:sz w:val="18"/>
                <w:szCs w:val="18"/>
              </w:rPr>
              <w:t>为</w:t>
            </w:r>
          </w:p>
        </w:tc>
        <w:tc>
          <w:tcPr>
            <w:tcW w:w="56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、了解、评价并测试计提存货跌价准备相关内部控制的设计与执行的</w:t>
            </w:r>
          </w:p>
        </w:tc>
      </w:tr>
      <w:tr>
        <w:trPr>
          <w:trHeight w:val="307" w:hRule="exact"/>
        </w:trPr>
        <w:tc>
          <w:tcPr>
            <w:tcW w:w="3997" w:type="dxa"/>
            <w:tcBorders>
              <w:top w:val="nil" w:sz="6" w:space="0" w:color="auto"/>
              <w:left w:val="single" w:sz="4" w:space="0" w:color="000000"/>
              <w:bottom w:val="nil" w:sz="6" w:space="0" w:color="auto"/>
              <w:right w:val="single" w:sz="4" w:space="0" w:color="000000"/>
            </w:tcBorders>
          </w:tcPr>
          <w:p>
            <w:pPr>
              <w:pStyle w:val="TableParagraph"/>
              <w:spacing w:line="234"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1,885.68</w:t>
            </w:r>
            <w:r>
              <w:rPr>
                <w:rFonts w:ascii="宋体" w:hAnsi="宋体" w:cs="宋体" w:eastAsia="宋体" w:hint="default"/>
                <w:spacing w:val="-4"/>
                <w:sz w:val="18"/>
                <w:szCs w:val="18"/>
              </w:rPr>
              <w:t>万元。于资产负债表日，存货按照成本与</w:t>
            </w:r>
          </w:p>
        </w:tc>
        <w:tc>
          <w:tcPr>
            <w:tcW w:w="5699"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5" w:right="0"/>
              <w:jc w:val="left"/>
              <w:rPr>
                <w:rFonts w:ascii="宋体" w:hAnsi="宋体" w:cs="宋体" w:eastAsia="宋体" w:hint="default"/>
                <w:sz w:val="18"/>
                <w:szCs w:val="18"/>
              </w:rPr>
            </w:pPr>
            <w:r>
              <w:rPr>
                <w:rFonts w:ascii="宋体" w:hAnsi="宋体" w:cs="宋体" w:eastAsia="宋体" w:hint="default"/>
                <w:sz w:val="18"/>
                <w:szCs w:val="18"/>
              </w:rPr>
              <w:t>有效性；</w:t>
            </w:r>
          </w:p>
        </w:tc>
      </w:tr>
      <w:tr>
        <w:trPr>
          <w:trHeight w:val="337" w:hRule="exact"/>
        </w:trPr>
        <w:tc>
          <w:tcPr>
            <w:tcW w:w="3997"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可变现净值孰低计量，确定存货跌价准备需要管</w:t>
            </w:r>
          </w:p>
        </w:tc>
        <w:tc>
          <w:tcPr>
            <w:tcW w:w="5699"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、获取期末时点全部存货明细并与账面核对；</w:t>
            </w:r>
          </w:p>
        </w:tc>
      </w:tr>
      <w:tr>
        <w:trPr>
          <w:trHeight w:val="331" w:hRule="exact"/>
        </w:trPr>
        <w:tc>
          <w:tcPr>
            <w:tcW w:w="3997" w:type="dxa"/>
            <w:tcBorders>
              <w:top w:val="nil" w:sz="6" w:space="0" w:color="auto"/>
              <w:left w:val="single" w:sz="4" w:space="0" w:color="000000"/>
              <w:bottom w:val="nil" w:sz="6" w:space="0" w:color="auto"/>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理层在取得确凿证据的基础上，考虑持有存货的</w:t>
            </w:r>
          </w:p>
        </w:tc>
        <w:tc>
          <w:tcPr>
            <w:tcW w:w="5699"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、对存货盘点进行监盘并关注残次的存货是否被识别；</w:t>
            </w:r>
          </w:p>
        </w:tc>
      </w:tr>
      <w:tr>
        <w:trPr>
          <w:trHeight w:val="504" w:hRule="exact"/>
        </w:trPr>
        <w:tc>
          <w:tcPr>
            <w:tcW w:w="3997" w:type="dxa"/>
            <w:tcBorders>
              <w:top w:val="nil" w:sz="6" w:space="0" w:color="auto"/>
              <w:left w:val="single" w:sz="4" w:space="0" w:color="000000"/>
              <w:bottom w:val="nil" w:sz="6" w:space="0" w:color="auto"/>
              <w:right w:val="single" w:sz="4" w:space="0" w:color="000000"/>
            </w:tcBorders>
          </w:tcPr>
          <w:p>
            <w:pPr>
              <w:pStyle w:val="TableParagraph"/>
              <w:spacing w:line="181" w:lineRule="exact"/>
              <w:ind w:left="103" w:right="0"/>
              <w:jc w:val="left"/>
              <w:rPr>
                <w:rFonts w:ascii="宋体" w:hAnsi="宋体" w:cs="宋体" w:eastAsia="宋体" w:hint="default"/>
                <w:sz w:val="18"/>
                <w:szCs w:val="18"/>
              </w:rPr>
            </w:pPr>
            <w:r>
              <w:rPr>
                <w:rFonts w:ascii="宋体" w:hAnsi="宋体" w:cs="宋体" w:eastAsia="宋体" w:hint="default"/>
                <w:sz w:val="18"/>
                <w:szCs w:val="18"/>
              </w:rPr>
              <w:t>目的、资产负债表日后事项的影响等因素作出判</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断和估计，实际的结果与原先估计的差异将在估</w:t>
            </w:r>
          </w:p>
        </w:tc>
        <w:tc>
          <w:tcPr>
            <w:tcW w:w="5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、复核存货的库龄及周转情况；</w:t>
            </w:r>
          </w:p>
        </w:tc>
      </w:tr>
      <w:tr>
        <w:trPr>
          <w:trHeight w:val="331" w:hRule="exact"/>
        </w:trPr>
        <w:tc>
          <w:tcPr>
            <w:tcW w:w="3997"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计被改变的期间影响存货的账面价值，因此我们</w:t>
            </w:r>
          </w:p>
        </w:tc>
        <w:tc>
          <w:tcPr>
            <w:tcW w:w="5699" w:type="dxa"/>
            <w:tcBorders>
              <w:top w:val="nil" w:sz="6" w:space="0" w:color="auto"/>
              <w:left w:val="single" w:sz="4" w:space="0" w:color="000000"/>
              <w:bottom w:val="nil" w:sz="6" w:space="0" w:color="auto"/>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、复核管理层计提存货跌价准备的方法；</w:t>
            </w:r>
          </w:p>
        </w:tc>
      </w:tr>
      <w:tr>
        <w:trPr>
          <w:trHeight w:val="312" w:hRule="exact"/>
        </w:trPr>
        <w:tc>
          <w:tcPr>
            <w:tcW w:w="399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将北京君正存货跌价准备计提的合理性作为关键</w:t>
            </w:r>
          </w:p>
        </w:tc>
        <w:tc>
          <w:tcPr>
            <w:tcW w:w="5699"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、核验销售价格扣除估计的销售费用及税金等后的可变现净值与账面</w:t>
            </w:r>
          </w:p>
        </w:tc>
      </w:tr>
      <w:tr>
        <w:trPr>
          <w:trHeight w:val="396" w:hRule="exact"/>
        </w:trPr>
        <w:tc>
          <w:tcPr>
            <w:tcW w:w="39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审计事项。</w:t>
            </w:r>
          </w:p>
        </w:tc>
        <w:tc>
          <w:tcPr>
            <w:tcW w:w="5699" w:type="dxa"/>
            <w:tcBorders>
              <w:top w:val="nil" w:sz="6" w:space="0" w:color="auto"/>
              <w:left w:val="single" w:sz="4" w:space="0" w:color="000000"/>
              <w:bottom w:val="single" w:sz="4" w:space="0" w:color="000000"/>
              <w:right w:val="single" w:sz="4" w:space="0" w:color="000000"/>
            </w:tcBorders>
          </w:tcPr>
          <w:p>
            <w:pPr>
              <w:pStyle w:val="TableParagraph"/>
              <w:spacing w:line="224" w:lineRule="exact"/>
              <w:ind w:left="105" w:right="0"/>
              <w:jc w:val="left"/>
              <w:rPr>
                <w:rFonts w:ascii="宋体" w:hAnsi="宋体" w:cs="宋体" w:eastAsia="宋体" w:hint="default"/>
                <w:sz w:val="18"/>
                <w:szCs w:val="18"/>
              </w:rPr>
            </w:pPr>
            <w:r>
              <w:rPr>
                <w:rFonts w:ascii="宋体" w:hAnsi="宋体" w:cs="宋体" w:eastAsia="宋体" w:hint="default"/>
                <w:sz w:val="18"/>
                <w:szCs w:val="18"/>
              </w:rPr>
              <w:t>成本孰高；</w:t>
            </w:r>
            <w:r>
              <w:rPr>
                <w:rFonts w:ascii="Times New Roman" w:hAnsi="Times New Roman" w:cs="Times New Roman" w:eastAsia="Times New Roman" w:hint="default"/>
                <w:sz w:val="18"/>
                <w:szCs w:val="18"/>
              </w:rPr>
              <w:t>7</w:t>
            </w:r>
            <w:r>
              <w:rPr>
                <w:rFonts w:ascii="宋体" w:hAnsi="宋体" w:cs="宋体" w:eastAsia="宋体" w:hint="default"/>
                <w:sz w:val="18"/>
                <w:szCs w:val="18"/>
              </w:rPr>
              <w:t>、检查管理层对于存货跌价准备的计算。</w:t>
            </w:r>
          </w:p>
        </w:tc>
      </w:tr>
    </w:tbl>
    <w:p>
      <w:pPr>
        <w:pStyle w:val="Heading4"/>
        <w:spacing w:line="240" w:lineRule="auto" w:before="10"/>
        <w:ind w:left="573" w:right="1119"/>
        <w:jc w:val="left"/>
        <w:rPr>
          <w:b w:val="0"/>
          <w:bCs w:val="0"/>
        </w:rPr>
      </w:pPr>
      <w:r>
        <w:rPr/>
        <w:t>四、其他信息</w:t>
      </w:r>
      <w:r>
        <w:rPr>
          <w:b w:val="0"/>
          <w:bCs w:val="0"/>
        </w:rPr>
      </w:r>
    </w:p>
    <w:p>
      <w:pPr>
        <w:pStyle w:val="BodyText"/>
        <w:spacing w:line="300" w:lineRule="auto" w:before="77"/>
        <w:ind w:left="212" w:right="1134" w:firstLine="360"/>
        <w:jc w:val="both"/>
      </w:pPr>
      <w:r>
        <w:rPr/>
        <w:t>北京君正管理层</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管理层</w:t>
      </w:r>
      <w:r>
        <w:rPr>
          <w:rFonts w:ascii="Times New Roman" w:hAnsi="Times New Roman" w:cs="Times New Roman" w:eastAsia="Times New Roman" w:hint="default"/>
        </w:rPr>
        <w:t>”)</w:t>
      </w:r>
      <w:r>
        <w:rPr/>
        <w:t>对其他信息负责。其他信息包括北京君正 </w:t>
      </w:r>
      <w:r>
        <w:rPr>
          <w:rFonts w:ascii="Times New Roman" w:hAnsi="Times New Roman" w:cs="Times New Roman" w:eastAsia="Times New Roman" w:hint="default"/>
        </w:rPr>
        <w:t>2019</w:t>
      </w:r>
      <w:r>
        <w:rPr>
          <w:rFonts w:ascii="Times New Roman" w:hAnsi="Times New Roman" w:cs="Times New Roman" w:eastAsia="Times New Roman" w:hint="default"/>
          <w:spacing w:val="37"/>
        </w:rPr>
        <w:t> </w:t>
      </w:r>
      <w:r>
        <w:rPr/>
        <w:t>年年度报告中涵盖的信息，但不包 括财务报表和我们的审计报告。</w:t>
      </w:r>
    </w:p>
    <w:p>
      <w:pPr>
        <w:pStyle w:val="BodyText"/>
        <w:spacing w:line="316" w:lineRule="auto" w:before="31"/>
        <w:ind w:left="573" w:right="1119"/>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16" w:lineRule="auto" w:before="19"/>
        <w:ind w:left="573" w:right="1119" w:hanging="361"/>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19"/>
        <w:ind w:left="212" w:right="1119"/>
        <w:jc w:val="left"/>
      </w:pPr>
      <w:r>
        <w:rPr/>
        <w:t>报告。</w:t>
      </w:r>
    </w:p>
    <w:p>
      <w:pPr>
        <w:spacing w:line="316" w:lineRule="auto" w:before="76"/>
        <w:ind w:left="573" w:right="1119" w:firstLine="0"/>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管理层负责按照企业会计准则的规定编制财务报表，使其实现公允反映，并设计、执行和维护必要的内部控制，以使财</w:t>
      </w:r>
    </w:p>
    <w:p>
      <w:pPr>
        <w:pStyle w:val="BodyText"/>
        <w:spacing w:line="316" w:lineRule="auto" w:before="19"/>
        <w:ind w:left="573" w:right="1119" w:hanging="361"/>
        <w:jc w:val="left"/>
      </w:pPr>
      <w:r>
        <w:rPr/>
        <w:t>务报表不存在由于舞弊或错误导致的重大错报。 </w:t>
      </w:r>
      <w:r>
        <w:rPr>
          <w:spacing w:val="-2"/>
        </w:rPr>
        <w:t>在编制财务报表时，管理层负责评估北京君正的持续经营能力，披露与持续经营相关的事项（如适用），并运用持续经</w:t>
      </w:r>
    </w:p>
    <w:p>
      <w:pPr>
        <w:spacing w:line="316" w:lineRule="auto" w:before="19"/>
        <w:ind w:left="573" w:right="4814" w:hanging="361"/>
        <w:jc w:val="left"/>
        <w:rPr>
          <w:rFonts w:ascii="宋体" w:hAnsi="宋体" w:cs="宋体" w:eastAsia="宋体" w:hint="default"/>
          <w:sz w:val="18"/>
          <w:szCs w:val="18"/>
        </w:rPr>
      </w:pPr>
      <w:r>
        <w:rPr>
          <w:rFonts w:ascii="宋体" w:hAnsi="宋体" w:cs="宋体" w:eastAsia="宋体" w:hint="default"/>
          <w:sz w:val="18"/>
          <w:szCs w:val="18"/>
        </w:rPr>
        <w:t>营假设，除非管理层计划清算北京君正、终止运营或别无其他现实的选择。 治理层负责监督北京君正的财务报告过程。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6" w:lineRule="auto" w:before="19"/>
        <w:ind w:left="212" w:right="1130"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3"/>
        </w:rPr>
        <w:t> </w:t>
      </w:r>
      <w:r>
        <w:rPr>
          <w:spacing w:val="-63"/>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19"/>
        <w:ind w:left="573" w:right="1119"/>
        <w:jc w:val="left"/>
      </w:pPr>
      <w:r>
        <w:rPr/>
        <w:t>在按照审计准则执行审计工作的过程中，我们运用职业判断，并保持职业怀疑。同时，我们也执行以下工作：</w:t>
      </w:r>
    </w:p>
    <w:p>
      <w:pPr>
        <w:pStyle w:val="BodyText"/>
        <w:spacing w:line="309" w:lineRule="auto" w:before="76"/>
        <w:ind w:left="212" w:right="1133" w:firstLine="360"/>
        <w:jc w:val="both"/>
      </w:pP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、识别和评估由于舞弊或错误导致的财务报表重大错报风险；设计和实施审计程序以应对这些风险；并获取充分、适 </w:t>
      </w:r>
      <w:r>
        <w:rPr>
          <w:spacing w:val="-2"/>
        </w:rPr>
        <w:t>当的审计证据，作为发表审计意见的基础。由于舞弊可能涉及串通、伪造、故意遗漏、虚假陈述或凌驾于内部控制之上，未</w:t>
      </w:r>
      <w:r>
        <w:rPr>
          <w:spacing w:val="-68"/>
        </w:rPr>
        <w:t> </w:t>
      </w:r>
      <w:r>
        <w:rPr>
          <w:spacing w:val="-68"/>
        </w:rPr>
      </w:r>
      <w:r>
        <w:rPr/>
        <w:t>能发现由于舞弊导致的重大错报的风险高于未能发现由于错误导致的重大错报的风险。</w:t>
      </w:r>
    </w:p>
    <w:p>
      <w:pPr>
        <w:pStyle w:val="BodyText"/>
        <w:spacing w:line="240" w:lineRule="auto" w:before="24"/>
        <w:ind w:left="573" w:right="1119"/>
        <w:jc w:val="left"/>
      </w:pP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40" w:lineRule="auto" w:before="63"/>
        <w:ind w:left="573" w:right="1119"/>
        <w:jc w:val="left"/>
      </w:pPr>
      <w:r>
        <w:rPr>
          <w:rFonts w:ascii="Times New Roman" w:hAnsi="Times New Roman" w:cs="Times New Roman" w:eastAsia="Times New Roman" w:hint="default"/>
        </w:rPr>
        <w:t>3</w:t>
      </w:r>
      <w:r>
        <w:rPr/>
        <w:t>、评价管理层选用会计政策的恰当性和作出会计估计及相关披露的合理性。</w:t>
      </w:r>
    </w:p>
    <w:p>
      <w:pPr>
        <w:spacing w:after="0" w:line="240" w:lineRule="auto"/>
        <w:jc w:val="left"/>
        <w:sectPr>
          <w:pgSz w:w="11910" w:h="16840"/>
          <w:pgMar w:header="877" w:footer="979" w:top="1100" w:bottom="1160" w:left="920" w:right="0"/>
        </w:sectPr>
      </w:pPr>
    </w:p>
    <w:p>
      <w:pPr>
        <w:spacing w:line="240" w:lineRule="auto" w:before="11"/>
        <w:rPr>
          <w:rFonts w:ascii="宋体" w:hAnsi="宋体" w:cs="宋体" w:eastAsia="宋体" w:hint="default"/>
          <w:sz w:val="21"/>
          <w:szCs w:val="21"/>
        </w:rPr>
      </w:pPr>
    </w:p>
    <w:p>
      <w:pPr>
        <w:pStyle w:val="BodyText"/>
        <w:spacing w:line="312" w:lineRule="auto" w:before="44"/>
        <w:ind w:right="1492" w:firstLine="360"/>
        <w:jc w:val="both"/>
      </w:pPr>
      <w:r>
        <w:rPr>
          <w:rFonts w:ascii="Times New Roman" w:hAnsi="Times New Roman" w:cs="Times New Roman" w:eastAsia="Times New Roman" w:hint="default"/>
        </w:rPr>
        <w:t>4</w:t>
      </w:r>
      <w:r>
        <w:rPr/>
        <w:t>、对管理层使用持续经营假设的恰当性得出结论。同时，根据获取的审计证据，就可能导致对北京君正持续经营 </w:t>
      </w:r>
      <w:r>
        <w:rPr>
          <w:spacing w:val="-2"/>
        </w:rPr>
        <w:t>能力产生重大疑虑的事项或情况是否存在重大不确定性得出结论。如果我们得出结论认为存在重大不确定性，审计准则</w:t>
      </w:r>
      <w:r>
        <w:rPr>
          <w:spacing w:val="-68"/>
        </w:rPr>
        <w:t> </w:t>
      </w:r>
      <w:r>
        <w:rPr>
          <w:spacing w:val="-68"/>
        </w:rPr>
      </w:r>
      <w:r>
        <w:rPr>
          <w:spacing w:val="-2"/>
        </w:rPr>
        <w:t>要求我们在审计报告中提请报表使用者注意财务报表中的相关披露；如果披露不充分，我们应当发表非无保留意见。我</w:t>
      </w:r>
      <w:r>
        <w:rPr>
          <w:spacing w:val="-70"/>
        </w:rPr>
        <w:t> </w:t>
      </w:r>
      <w:r>
        <w:rPr>
          <w:spacing w:val="-70"/>
        </w:rPr>
      </w:r>
      <w:r>
        <w:rPr/>
        <w:t>们的结论基于截至审计报告日可获得的信息。然而，未来的事项或情况可能导致北京君正不能持续经营。</w:t>
      </w:r>
    </w:p>
    <w:p>
      <w:pPr>
        <w:pStyle w:val="BodyText"/>
        <w:spacing w:line="240" w:lineRule="auto" w:before="22"/>
        <w:ind w:left="513" w:right="1133"/>
        <w:jc w:val="left"/>
      </w:pPr>
      <w:r>
        <w:rPr>
          <w:rFonts w:ascii="Times New Roman" w:hAnsi="Times New Roman" w:cs="Times New Roman" w:eastAsia="Times New Roman" w:hint="default"/>
          <w:spacing w:val="1"/>
        </w:rPr>
        <w:t>5</w:t>
      </w:r>
      <w:r>
        <w:rPr/>
        <w:t>、评价财务报表的总体列报、结构和内容（包括披露</w:t>
      </w:r>
      <w:r>
        <w:rPr>
          <w:spacing w:val="-92"/>
        </w:rPr>
        <w:t>）</w:t>
      </w:r>
      <w:r>
        <w:rPr/>
        <w:t>，并</w:t>
      </w:r>
      <w:r>
        <w:rPr>
          <w:spacing w:val="2"/>
        </w:rPr>
        <w:t>评</w:t>
      </w:r>
      <w:r>
        <w:rPr/>
        <w:t>价财务报表是否公允反映相关交易和事项。</w:t>
      </w:r>
    </w:p>
    <w:p>
      <w:pPr>
        <w:pStyle w:val="BodyText"/>
        <w:spacing w:line="300" w:lineRule="auto" w:before="63"/>
        <w:ind w:right="1493" w:firstLine="360"/>
        <w:jc w:val="both"/>
      </w:pPr>
      <w:r>
        <w:rPr>
          <w:rFonts w:ascii="Times New Roman" w:hAnsi="Times New Roman" w:cs="Times New Roman" w:eastAsia="Times New Roman" w:hint="default"/>
        </w:rPr>
        <w:t>6</w:t>
      </w:r>
      <w:r>
        <w:rPr/>
        <w:t>、就北京君正中实体或业务活动的财务信息获取充分、适当的审计证据，以对财务报表发表审计意见。我们负责 指导、监督和执行集团审计，并对审计意见承担全部责任。</w:t>
      </w:r>
    </w:p>
    <w:p>
      <w:pPr>
        <w:pStyle w:val="BodyText"/>
        <w:spacing w:line="316" w:lineRule="auto" w:before="31"/>
        <w:ind w:right="1491" w:firstLine="360"/>
        <w:jc w:val="both"/>
      </w:pPr>
      <w:r>
        <w:rPr>
          <w:spacing w:val="-2"/>
        </w:rPr>
        <w:t>我们与治理层就计划的审计范围、时间安排和重大审计发现等事项进行沟通，包括沟通我们在审计中识别出的值得</w:t>
      </w:r>
      <w:r>
        <w:rPr/>
        <w:t> 关注的内部控制缺陷。</w:t>
      </w:r>
    </w:p>
    <w:p>
      <w:pPr>
        <w:pStyle w:val="BodyText"/>
        <w:spacing w:line="316" w:lineRule="auto" w:before="19"/>
        <w:ind w:right="1492" w:firstLine="360"/>
        <w:jc w:val="both"/>
      </w:pPr>
      <w:r>
        <w:rPr/>
        <w:t>我们还就已遵守与独立性相关的职业道德要求向治理层提供声明</w:t>
      </w:r>
      <w:r>
        <w:rPr>
          <w:spacing w:val="-82"/>
        </w:rPr>
        <w:t>，</w:t>
      </w:r>
      <w:r>
        <w:rPr/>
        <w:t>并与治理层沟通可能被合理认为影响我们独立性</w:t>
      </w:r>
      <w:r>
        <w:rPr/>
        <w:t> 的所有关系和其他事项，以及相关的防范措施（如适用</w:t>
      </w:r>
      <w:r>
        <w:rPr>
          <w:spacing w:val="-92"/>
        </w:rPr>
        <w:t>）</w:t>
      </w:r>
      <w:r>
        <w:rPr/>
        <w:t>。</w:t>
      </w:r>
    </w:p>
    <w:p>
      <w:pPr>
        <w:pStyle w:val="BodyText"/>
        <w:spacing w:line="316" w:lineRule="auto" w:before="19"/>
        <w:ind w:right="1490" w:firstLine="360"/>
        <w:jc w:val="both"/>
      </w:pPr>
      <w:r>
        <w:rPr>
          <w:spacing w:val="-2"/>
        </w:rPr>
        <w:t>从与治理层沟通过的事项中，我们确定哪些事项对本期财务报表审计最为重要，因而构成关键审计事项。我们在审</w:t>
      </w:r>
      <w:r>
        <w:rPr/>
        <w:t> </w:t>
      </w:r>
      <w:r>
        <w:rPr>
          <w:spacing w:val="-2"/>
        </w:rPr>
        <w:t>计报告中描述这些事项，除非法律法规禁止公开披露这些事项，或在极少数情形下，如果合理预期在审计报告中沟通某</w:t>
      </w:r>
      <w:r>
        <w:rPr>
          <w:spacing w:val="-70"/>
        </w:rPr>
        <w:t> </w:t>
      </w:r>
      <w:r>
        <w:rPr>
          <w:spacing w:val="-70"/>
        </w:rPr>
      </w:r>
      <w:r>
        <w:rPr/>
        <w:t>事项造成的负面后果超过在公众利益方面产生的益处，我们确定不应在审计报告中沟通该事项。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8"/>
          <w:szCs w:val="18"/>
        </w:rPr>
      </w:pPr>
    </w:p>
    <w:p>
      <w:pPr>
        <w:pStyle w:val="BodyText"/>
        <w:tabs>
          <w:tab w:pos="4207" w:val="left" w:leader="none"/>
        </w:tabs>
        <w:spacing w:line="240" w:lineRule="auto"/>
        <w:ind w:right="1133"/>
        <w:jc w:val="left"/>
      </w:pPr>
      <w:r>
        <w:rPr/>
        <w:t>北京兴华</w:t>
        <w:tab/>
        <w:t>中国注册会计师：</w:t>
      </w:r>
      <w:r>
        <w:rPr>
          <w:spacing w:val="-2"/>
        </w:rPr>
        <w:t> </w:t>
      </w:r>
      <w:r>
        <w:rPr/>
        <w:t>时彦禄</w:t>
      </w:r>
    </w:p>
    <w:p>
      <w:pPr>
        <w:pStyle w:val="BodyText"/>
        <w:tabs>
          <w:tab w:pos="4116" w:val="left" w:leader="none"/>
        </w:tabs>
        <w:spacing w:line="240" w:lineRule="auto" w:before="122"/>
        <w:ind w:right="1133"/>
        <w:jc w:val="left"/>
      </w:pPr>
      <w:r>
        <w:rPr/>
        <w:t>会计师事务所（特殊普通合伙）</w:t>
        <w:tab/>
        <w:t>（项目合伙人）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tabs>
          <w:tab w:pos="4207" w:val="left" w:leader="none"/>
        </w:tabs>
        <w:spacing w:line="240" w:lineRule="auto"/>
        <w:ind w:right="1133"/>
        <w:jc w:val="left"/>
      </w:pPr>
      <w:r>
        <w:rPr/>
        <w:t>中国</w:t>
      </w:r>
      <w:r>
        <w:rPr>
          <w:rFonts w:ascii="宋体" w:hAnsi="宋体" w:cs="宋体" w:eastAsia="宋体" w:hint="default"/>
          <w:b/>
          <w:bCs/>
        </w:rPr>
        <w:t>·</w:t>
      </w:r>
      <w:r>
        <w:rPr/>
        <w:t>北京</w:t>
        <w:tab/>
        <w:t>中国注册会计师：</w:t>
      </w:r>
      <w:r>
        <w:rPr>
          <w:spacing w:val="-2"/>
        </w:rPr>
        <w:t> </w:t>
      </w:r>
      <w:r>
        <w:rPr/>
        <w:t>余自勇</w:t>
      </w:r>
    </w:p>
    <w:p>
      <w:pPr>
        <w:pStyle w:val="BodyText"/>
        <w:spacing w:line="240" w:lineRule="auto" w:before="122"/>
        <w:ind w:right="1133"/>
        <w:jc w:val="left"/>
      </w:pPr>
      <w:r>
        <w:rPr/>
        <w:t>二〇二〇年三月三十日</w:t>
      </w:r>
    </w:p>
    <w:p>
      <w:pPr>
        <w:spacing w:line="240" w:lineRule="auto" w:before="0"/>
        <w:rPr>
          <w:rFonts w:ascii="宋体" w:hAnsi="宋体" w:cs="宋体" w:eastAsia="宋体" w:hint="default"/>
          <w:sz w:val="18"/>
          <w:szCs w:val="18"/>
        </w:rPr>
      </w:pPr>
    </w:p>
    <w:p>
      <w:pPr>
        <w:pStyle w:val="Heading2"/>
        <w:spacing w:line="240" w:lineRule="auto" w:before="119"/>
        <w:ind w:right="1133"/>
        <w:jc w:val="left"/>
        <w:rPr>
          <w:b w:val="0"/>
          <w:bCs w:val="0"/>
        </w:rPr>
      </w:pPr>
      <w:r>
        <w:rPr/>
        <w:t>二、财务报表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财务附注中报表的单位为：元</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79" w:top="1100" w:bottom="1160" w:left="980" w:right="0"/>
        </w:sectPr>
      </w:pPr>
    </w:p>
    <w:p>
      <w:pPr>
        <w:pStyle w:val="BodyText"/>
        <w:spacing w:line="240" w:lineRule="auto" w:before="44"/>
        <w:ind w:right="-20"/>
        <w:jc w:val="left"/>
      </w:pPr>
      <w:r>
        <w:rPr/>
        <w:t>编制单位：北京君正集成电路股份有限公司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59"/>
        <w:ind w:right="-13"/>
        <w:jc w:val="left"/>
      </w:pPr>
      <w:r>
        <w:rPr>
          <w:rFonts w:ascii="Times New Roman" w:hAnsi="Times New Roman" w:cs="Times New Roman" w:eastAsia="Times New Roman" w:hint="default"/>
        </w:rPr>
        <w:t>2019 </w:t>
      </w:r>
      <w:r>
        <w:rPr/>
        <w:t>年</w:t>
      </w:r>
      <w:r>
        <w:rPr>
          <w:spacing w:val="-48"/>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573" w:space="503"/>
            <w:col w:w="1642" w:space="3202"/>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86"/>
              <w:jc w:val="right"/>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151,234,510.36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160,601,847.85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00"/>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645,904,671.24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881,640.00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23,336,467.48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22,320,655.84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3,122,446.29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3,897,427.94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2,643,295.01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2,312,512.76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44,663.01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111,500,267.95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80,247,961.33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11,155,485.36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646,627,010.19</w:t>
            </w:r>
            <w:r>
              <w:rPr>
                <w:rFonts w:ascii="Times New Roman"/>
                <w:sz w:val="18"/>
              </w:rPr>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949,778,783.69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916,007,415.91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134,841,177.68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1,649,390.92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1,836,090.57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134,437,397.84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30,839,074.40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31,494,198.71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36,129,776.70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36,298,487.04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36,931,119.74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35,139,195.18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31,900,439.73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32,702,013.93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401,984.62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1,175,881.37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5,829,486.67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5,475,326.50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81,571,120.67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3,010,434.38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359,689,791.29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281,972,805.36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1,309,468,574.98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1,197,980,221.27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32,829,327.03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5,849,756.14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4,949,432.27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2,090,320.60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7,396,366.49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6,677,906.54</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754,583.23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4,441,376.97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4,079,228.51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4,158,600.49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50,008,937.53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23,217,960.74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1"/>
        <w:gridCol w:w="3315"/>
        <w:gridCol w:w="3303"/>
      </w:tblGrid>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23,165,902.08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32,835,347.44</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929,926.06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24,095,828.14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32,835,347.44</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74,104,765.67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56,053,308.18</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202,092,093.00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200,664,195.00</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761,525,189.49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732,816,268.10</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4,063,394.00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-835,719.37</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38,866,796.78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36,019,790.87</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228,816,336.04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173,262,378.49</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1,235,363,809.31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1,141,926,913.09</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1,235,363,809.31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1,141,926,913.09</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1,309,468,574.98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1,197,980,221.27</w:t>
            </w:r>
          </w:p>
        </w:tc>
      </w:tr>
    </w:tbl>
    <w:p>
      <w:pPr>
        <w:spacing w:line="240" w:lineRule="auto" w:before="11"/>
        <w:rPr>
          <w:rFonts w:ascii="Times New Roman" w:hAnsi="Times New Roman" w:cs="Times New Roman" w:eastAsia="Times New Roman" w:hint="default"/>
          <w:sz w:val="22"/>
          <w:szCs w:val="22"/>
        </w:rPr>
      </w:pPr>
    </w:p>
    <w:p>
      <w:pPr>
        <w:pStyle w:val="BodyText"/>
        <w:tabs>
          <w:tab w:pos="3667" w:val="left" w:leader="none"/>
          <w:tab w:pos="7899" w:val="left" w:leader="none"/>
        </w:tabs>
        <w:spacing w:line="240" w:lineRule="auto" w:before="44"/>
        <w:ind w:right="1133"/>
        <w:jc w:val="left"/>
      </w:pPr>
      <w:r>
        <w:rPr/>
        <w:t>法定代表人：刘强</w:t>
        <w:tab/>
      </w:r>
      <w:r>
        <w:rPr>
          <w:spacing w:val="-1"/>
        </w:rPr>
        <w:t>主管会计工作负责人：叶飞</w:t>
        <w:tab/>
      </w:r>
      <w:r>
        <w:rPr/>
        <w:t>会计机构负责人：李莉</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122,018,877.40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58,658,348.67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480,675,023.28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881,640.00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12,123,265.05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8,033,147.03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2,189,352.51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2,603,852.23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31,255,648.60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8,963,260.12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44,663.01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25,783,192.17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29,342,161.05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3,830,600.90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617,388,490.22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678,757,599.91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724,989,259.32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134,841,177.68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325,350,262.33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275,536,961.98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134,437,397.84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30,839,074.40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31,494,198.71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33,696,252.74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33,596,015.82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27,474,518.61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28,180,397.25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661,207.72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5,804,621.21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5,511,668.90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637,602,127.13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509,821,628.06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1,316,359,727.04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1,234,810,887.38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28,296,319.67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2,963,146.87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3,891,850.39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1,457,444.60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3,212,682.55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3,440,819.44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269,986.89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4,190,941.62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18,386,320.24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18,494,491.19</w:t>
            </w:r>
            <w:r>
              <w:rPr>
                <w:rFonts w:ascii="Times New Roman"/>
                <w:sz w:val="18"/>
              </w:rPr>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54,057,159.74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30,546,843.72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1"/>
          <w:pgSz w:w="11910" w:h="16840"/>
          <w:pgMar w:footer="979" w:header="877" w:top="1100" w:bottom="1160" w:left="980" w:right="0"/>
          <w:pgNumType w:start="12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9,898,040.00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10,235,480.00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918,623.04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10,816,663.04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10,235,480.00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64,873,822.78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40,782,323.72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202,092,093.00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200,664,195.00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767,215,783.50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738,506,862.11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4,886,760.81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38,866,796.78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36,019,790.87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238,424,470.17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218,837,715.68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1,251,485,904.26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1,194,028,563.66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1,316,359,727.04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1,234,810,887.38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339,351,160.33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259,670,111.20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339,351,160.33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259,670,111.20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346,404,113.39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274,980,243.35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204,371,407.76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156,157,537.58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211.009995pt;margin-top:496.209991pt;width:158.9pt;height:20.65pt;mso-position-horizontal-relative:page;mso-position-vertical-relative:page;z-index:-1611856" coordorigin="4220,9924" coordsize="3178,413">
            <v:group style="position:absolute;left:4231;top:9935;width:2;height:392" coordorigin="4231,9935" coordsize="2,392">
              <v:shape style="position:absolute;left:4231;top:9935;width:2;height:392" coordorigin="4231,9935" coordsize="0,392" path="m4231,9935l4231,10326e" filled="false" stroked="true" strokeweight="1.08pt" strokecolor="#ffffff">
                <v:path arrowok="t"/>
              </v:shape>
            </v:group>
            <v:group style="position:absolute;left:4242;top:9935;width:3157;height:392" coordorigin="4242,9935" coordsize="3157,392">
              <v:shape style="position:absolute;left:4242;top:9935;width:3157;height:392" coordorigin="4242,9935" coordsize="3157,392" path="m4242,10326l7398,10326,7398,9935,4242,9935,4242,10326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068"/>
        <w:gridCol w:w="3222"/>
        <w:gridCol w:w="3277"/>
      </w:tblGrid>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3,820,414.68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4,297,137.13</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10,079,230.32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10,677,738.77</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67,773,457.12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30,728,720.84</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62,015,627.30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73,964,380.09</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-1,656,023.79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-845,271.06</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1,455,249.91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671,537.55</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39,678,235.78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15,705,478.46</w:t>
            </w:r>
          </w:p>
        </w:tc>
      </w:tr>
      <w:tr>
        <w:trPr>
          <w:trHeight w:val="716"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31,728,281.29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29,006,900.68</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-186,699.65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-148,505.28</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53"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净敞口套期收益（损失以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604,671.24</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129,689.09</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-2,302,362.17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-13,785,583.86</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62,785,562.17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15,616,663.13</w:t>
            </w:r>
          </w:p>
        </w:tc>
      </w:tr>
      <w:tr>
        <w:trPr>
          <w:trHeight w:val="40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278,111.78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93,969.99</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3,747,102.37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1,893,018.33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211.009995pt;margin-top:71.935982pt;width:158.9pt;height:20.7pt;mso-position-horizontal-relative:page;mso-position-vertical-relative:page;z-index:-1611832" coordorigin="4220,1439" coordsize="3178,414">
            <v:group style="position:absolute;left:4231;top:1450;width:2;height:392" coordorigin="4231,1450" coordsize="2,392">
              <v:shape style="position:absolute;left:4231;top:1450;width:2;height:392" coordorigin="4231,1450" coordsize="0,392" path="m4231,1450l4231,1841e" filled="false" stroked="true" strokeweight="1.08pt" strokecolor="#ffffff">
                <v:path arrowok="t"/>
              </v:shape>
            </v:group>
            <v:group style="position:absolute;left:4242;top:1450;width:3157;height:392" coordorigin="4242,1450" coordsize="3157,392">
              <v:shape style="position:absolute;left:4242;top:1450;width:3157;height:392" coordorigin="4242,1450" coordsize="3157,392" path="m4242,1841l7398,1841,7398,1450,4242,1450,4242,1841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tabs>
                <w:tab w:pos="2147" w:val="left" w:leader="none"/>
              </w:tabs>
              <w:spacing w:line="240" w:lineRule="auto" w:before="49"/>
              <w:ind w:left="-117" w:right="22"/>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59,316,571.58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13,817,614.79</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656,844.38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302,168.78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58,659,727.20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13,515,446.01</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58,659,727.20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13,515,446.01</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58,659,727.20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13,515,446.01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12,636,641.83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29,326.25</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12,636,641.83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29,326.25</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12,624,289.27</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14,852,105.02</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-2,227,815.75</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12,352.56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29,326.25</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12,352.56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29,326.25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71,296,369.03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13,544,772.26</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71,296,369.03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13,544,772.26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0.2914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0.0674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0.2902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0.0576</w:t>
            </w:r>
          </w:p>
        </w:tc>
      </w:tr>
    </w:tbl>
    <w:p>
      <w:pPr>
        <w:spacing w:line="240" w:lineRule="auto" w:before="11"/>
        <w:rPr>
          <w:rFonts w:ascii="Times New Roman" w:hAnsi="Times New Roman" w:cs="Times New Roman" w:eastAsia="Times New Roman" w:hint="default"/>
          <w:sz w:val="22"/>
          <w:szCs w:val="22"/>
        </w:rPr>
      </w:pPr>
    </w:p>
    <w:p>
      <w:pPr>
        <w:pStyle w:val="BodyText"/>
        <w:tabs>
          <w:tab w:pos="3514" w:val="left" w:leader="none"/>
          <w:tab w:pos="7746" w:val="left" w:leader="none"/>
        </w:tabs>
        <w:spacing w:line="240" w:lineRule="auto" w:before="44"/>
        <w:ind w:left="0" w:right="1224"/>
        <w:jc w:val="right"/>
      </w:pPr>
      <w:r>
        <w:rPr/>
        <w:t>法定代表人：刘强</w:t>
        <w:tab/>
      </w:r>
      <w:r>
        <w:rPr>
          <w:spacing w:val="-1"/>
        </w:rPr>
        <w:t>主管会计工作负责人：叶飞</w:t>
        <w:tab/>
      </w:r>
      <w:r>
        <w:rPr/>
        <w:t>会计机构负责人：李莉</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134,618,171.63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152,546,487.91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63,664,305.55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90,636,488.65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3,011,371.72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3,441,218.33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2,239,539.97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2,339,933.65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58,100,995.51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22,375,018.28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26,495,137.64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28,539,613.24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-1,200,577.51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-689,977.16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60"/>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60"/>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1,193,949.92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587,805.12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17,647,254.97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6,335,489.23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25,899,369.73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28,756,927.71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-186,699.65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-148,505.28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102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375,023.28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129,689.09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-1,387,690.59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-14,136,388.98</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24,971,045.23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26,860,220.88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256,719.08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65,835.91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2,517,380.43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1,429,641.78</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22,710,383.88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25,496,415.01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67,053.49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215,540.15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22,643,330.39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25,280,874.86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22,643,330.39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25,280,874.86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12,624,289.27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12,624,289.27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14,852,105.02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-2,227,815.75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35,267,619.66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25,280,874.86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148" w:right="0"/>
              <w:jc w:val="left"/>
              <w:rPr>
                <w:rFonts w:ascii="Times New Roman" w:hAnsi="Times New Roman" w:cs="Times New Roman" w:eastAsia="Times New Roman" w:hint="default"/>
                <w:sz w:val="18"/>
                <w:szCs w:val="18"/>
              </w:rPr>
            </w:pPr>
            <w:r>
              <w:rPr>
                <w:rFonts w:ascii="Times New Roman"/>
                <w:sz w:val="18"/>
              </w:rPr>
              <w:t>365,864,501.98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279,373,470.02</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20,821,501.39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12,078,888.86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42,624,839.65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34,736,011.04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429,310,843.02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326,188,369.92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273,660,307.06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162,904,761.43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61,767,396.51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56,852,506.09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18,926,237.93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15,151,351.67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59,770,967.71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54,909,009.07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414,124,909.21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289,817,628.26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15,185,933.81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36,370,741.66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2,403,052,910.20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2,527,535,199.92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33,279,142.86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30,884,725.81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1,860.00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2,436,332,053.06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2,558,421,785.73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2,672,217.59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10,498,312.93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2,401,200,000.00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2,468,980,000.00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2,483,872,217.59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2,479,478,312.93</w:t>
            </w:r>
            <w:r>
              <w:rPr>
                <w:rFonts w:ascii="Times New Roman"/>
                <w:sz w:val="18"/>
              </w:rPr>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-47,540,164.53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78,943,472.80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28,721,918.66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7,625,997.77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28,721,918.66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7,625,997.77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6,034,079.78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3,376,488.82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6,034,079.78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3,376,488.82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22,687,838.88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4,249,508.95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299,054.35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239,069.48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-9,367,337.49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119,802,792.89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160,601,847.85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40,799,054.96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151,234,510.36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160,601,847.85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146,464,572.33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168,778,675.16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3,932,068.62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3,683,415.46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37,201,007.71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83,686,476.66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187,597,648.66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256,148,567.28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71,706,129.01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86,382,597.07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30,173,689.57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30,855,724.89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15,398,163.63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11,739,170.23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71,885,361.54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114,434,133.38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189,163,343.75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243,411,625.57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-1,565,695.09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12,736,941.71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2,115,852,910.20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2,490,535,199.92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27,264,628.99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30,620,400.16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2,143,117,539.19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2,521,155,600.08</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1,890,701.59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355,453.00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2,019,000,000.00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2,506,980,000.00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2,100,890,701.59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2,507,335,453.00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42,226,837.60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13,820,147.08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28,721,918.66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7,625,997.77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28,721,918.66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7,625,997.77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6,034,079.78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3,376,488.82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6,034,079.78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3,376,488.82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22,687,838.88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4,249,508.95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11,547.34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84,023.51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63,360,528.73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30,890,621.25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58,658,348.67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27,767,727.42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122,018,877.40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58,658,348.67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9"/>
        <w:rPr>
          <w:rFonts w:ascii="Times New Roman" w:hAnsi="Times New Roman" w:cs="Times New Roman" w:eastAsia="Times New Roman" w:hint="default"/>
          <w:sz w:val="23"/>
          <w:szCs w:val="23"/>
        </w:rPr>
      </w:pPr>
    </w:p>
    <w:p>
      <w:pPr>
        <w:pStyle w:val="Heading3"/>
        <w:spacing w:line="240" w:lineRule="auto" w:before="36"/>
        <w:ind w:right="1133"/>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41"/>
        <w:gridCol w:w="494"/>
        <w:gridCol w:w="466"/>
        <w:gridCol w:w="466"/>
        <w:gridCol w:w="468"/>
        <w:gridCol w:w="583"/>
        <w:gridCol w:w="586"/>
        <w:gridCol w:w="583"/>
        <w:gridCol w:w="584"/>
        <w:gridCol w:w="583"/>
        <w:gridCol w:w="583"/>
        <w:gridCol w:w="586"/>
        <w:gridCol w:w="584"/>
        <w:gridCol w:w="583"/>
        <w:gridCol w:w="586"/>
        <w:gridCol w:w="578"/>
      </w:tblGrid>
      <w:tr>
        <w:trPr>
          <w:trHeight w:val="402" w:hRule="exact"/>
        </w:trPr>
        <w:tc>
          <w:tcPr>
            <w:tcW w:w="1241" w:type="dxa"/>
            <w:vMerge w:val="restart"/>
            <w:tcBorders>
              <w:top w:val="single" w:sz="4" w:space="0" w:color="000000"/>
              <w:left w:val="single" w:sz="4" w:space="0" w:color="000000"/>
              <w:right w:val="single" w:sz="4" w:space="0" w:color="000000"/>
            </w:tcBorders>
            <w:shd w:val="clear" w:color="auto" w:fill="D2D2D2"/>
          </w:tcPr>
          <w:p>
            <w:pPr/>
          </w:p>
        </w:tc>
        <w:tc>
          <w:tcPr>
            <w:tcW w:w="831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95" w:hRule="exact"/>
        </w:trPr>
        <w:tc>
          <w:tcPr>
            <w:tcW w:w="1241" w:type="dxa"/>
            <w:vMerge/>
            <w:tcBorders>
              <w:left w:val="single" w:sz="4" w:space="0" w:color="000000"/>
              <w:right w:val="single" w:sz="4" w:space="0" w:color="000000"/>
            </w:tcBorders>
            <w:shd w:val="clear" w:color="auto" w:fill="D2D2D2"/>
          </w:tcPr>
          <w:p>
            <w:pPr/>
          </w:p>
        </w:tc>
        <w:tc>
          <w:tcPr>
            <w:tcW w:w="7149"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7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241" w:type="dxa"/>
            <w:vMerge/>
            <w:tcBorders>
              <w:left w:val="single" w:sz="4" w:space="0" w:color="000000"/>
              <w:right w:val="single" w:sz="4" w:space="0" w:color="000000"/>
            </w:tcBorders>
            <w:shd w:val="clear" w:color="auto" w:fill="D2D2D2"/>
          </w:tcPr>
          <w:p>
            <w:pPr/>
          </w:p>
        </w:tc>
        <w:tc>
          <w:tcPr>
            <w:tcW w:w="7149" w:type="dxa"/>
            <w:gridSpan w:val="13"/>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151" w:hRule="exact"/>
        </w:trPr>
        <w:tc>
          <w:tcPr>
            <w:tcW w:w="1241" w:type="dxa"/>
            <w:vMerge/>
            <w:tcBorders>
              <w:left w:val="single" w:sz="4" w:space="0" w:color="000000"/>
              <w:bottom w:val="nil" w:sz="6" w:space="0" w:color="auto"/>
              <w:right w:val="single" w:sz="4" w:space="0" w:color="000000"/>
            </w:tcBorders>
            <w:shd w:val="clear" w:color="auto" w:fill="D2D2D2"/>
          </w:tcPr>
          <w:p>
            <w:pPr/>
          </w:p>
        </w:tc>
        <w:tc>
          <w:tcPr>
            <w:tcW w:w="7149" w:type="dxa"/>
            <w:gridSpan w:val="13"/>
            <w:vMerge/>
            <w:tcBorders>
              <w:left w:val="single" w:sz="4" w:space="0" w:color="000000"/>
              <w:bottom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0"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tcBorders>
              <w:left w:val="single" w:sz="4" w:space="0" w:color="000000"/>
              <w:right w:val="single" w:sz="4" w:space="0" w:color="000000"/>
            </w:tcBorders>
            <w:shd w:val="clear" w:color="auto" w:fill="D2D2D2"/>
          </w:tcPr>
          <w:p>
            <w:pPr/>
          </w:p>
        </w:tc>
      </w:tr>
      <w:tr>
        <w:trPr>
          <w:trHeight w:val="206" w:hRule="exact"/>
        </w:trPr>
        <w:tc>
          <w:tcPr>
            <w:tcW w:w="12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94" w:type="dxa"/>
            <w:vMerge w:val="restart"/>
            <w:tcBorders>
              <w:top w:val="single" w:sz="4" w:space="0" w:color="000000"/>
              <w:left w:val="single" w:sz="4" w:space="0" w:color="000000"/>
              <w:right w:val="single" w:sz="4" w:space="0" w:color="000000"/>
            </w:tcBorders>
            <w:shd w:val="clear" w:color="auto" w:fill="D2D2D2"/>
          </w:tcPr>
          <w:p>
            <w:pPr/>
          </w:p>
        </w:tc>
        <w:tc>
          <w:tcPr>
            <w:tcW w:w="14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000000"/>
              <w:left w:val="single" w:sz="4" w:space="0" w:color="000000"/>
              <w:right w:val="single" w:sz="4" w:space="0" w:color="000000"/>
            </w:tcBorders>
            <w:shd w:val="clear" w:color="auto" w:fill="D2D2D2"/>
          </w:tcPr>
          <w:p>
            <w:pPr/>
          </w:p>
        </w:tc>
        <w:tc>
          <w:tcPr>
            <w:tcW w:w="583" w:type="dxa"/>
            <w:vMerge w:val="restart"/>
            <w:tcBorders>
              <w:top w:val="single" w:sz="4" w:space="0" w:color="000000"/>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65" w:hRule="exact"/>
        </w:trPr>
        <w:tc>
          <w:tcPr>
            <w:tcW w:w="1241" w:type="dxa"/>
            <w:vMerge/>
            <w:tcBorders>
              <w:left w:val="single" w:sz="4" w:space="0" w:color="000000"/>
              <w:bottom w:val="nil" w:sz="6" w:space="0" w:color="auto"/>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1400" w:type="dxa"/>
            <w:gridSpan w:val="3"/>
            <w:vMerge/>
            <w:tcBorders>
              <w:left w:val="single" w:sz="4" w:space="0" w:color="000000"/>
              <w:bottom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8"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3" w:hRule="exact"/>
        </w:trPr>
        <w:tc>
          <w:tcPr>
            <w:tcW w:w="1241" w:type="dxa"/>
            <w:vMerge w:val="restart"/>
            <w:tcBorders>
              <w:top w:val="nil" w:sz="6" w:space="0" w:color="auto"/>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39" w:right="4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39" w:right="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0"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33" w:hRule="exact"/>
        </w:trPr>
        <w:tc>
          <w:tcPr>
            <w:tcW w:w="1241" w:type="dxa"/>
            <w:vMerge/>
            <w:tcBorders>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22"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78" w:type="dxa"/>
            <w:vMerge/>
            <w:tcBorders>
              <w:left w:val="single" w:sz="4" w:space="0" w:color="000000"/>
              <w:bottom w:val="nil" w:sz="6" w:space="0" w:color="auto"/>
              <w:right w:val="single" w:sz="4" w:space="0" w:color="000000"/>
            </w:tcBorders>
            <w:shd w:val="clear" w:color="auto" w:fill="D2D2D2"/>
          </w:tcPr>
          <w:p>
            <w:pPr/>
          </w:p>
        </w:tc>
      </w:tr>
      <w:tr>
        <w:trPr>
          <w:trHeight w:val="96" w:hRule="exact"/>
        </w:trPr>
        <w:tc>
          <w:tcPr>
            <w:tcW w:w="1241"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8"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200,6</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64,19</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5.00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732,81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6,268.</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10</w:t>
            </w: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-835,7</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19.37</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36,019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,790.8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83" w:type="dxa"/>
            <w:vMerge w:val="restart"/>
            <w:tcBorders>
              <w:top w:val="single" w:sz="22" w:space="0" w:color="D2D2D2"/>
              <w:left w:val="single" w:sz="4" w:space="0" w:color="000000"/>
              <w:right w:val="single" w:sz="4" w:space="0" w:color="000000"/>
            </w:tcBorders>
          </w:tcPr>
          <w:p>
            <w:pPr/>
          </w:p>
        </w:tc>
        <w:tc>
          <w:tcPr>
            <w:tcW w:w="586" w:type="dxa"/>
            <w:vMerge w:val="restart"/>
            <w:tcBorders>
              <w:top w:val="single" w:sz="22" w:space="0" w:color="D2D2D2"/>
              <w:left w:val="single" w:sz="4" w:space="0" w:color="000000"/>
              <w:right w:val="single" w:sz="4" w:space="0" w:color="000000"/>
            </w:tcBorders>
          </w:tcPr>
          <w:p>
            <w:pPr>
              <w:pStyle w:val="TableParagraph"/>
              <w:spacing w:line="240" w:lineRule="auto" w:before="69"/>
              <w:ind w:left="60" w:right="0"/>
              <w:jc w:val="left"/>
              <w:rPr>
                <w:rFonts w:ascii="Times New Roman" w:hAnsi="Times New Roman" w:cs="Times New Roman" w:eastAsia="Times New Roman" w:hint="default"/>
                <w:sz w:val="18"/>
                <w:szCs w:val="18"/>
              </w:rPr>
            </w:pPr>
            <w:r>
              <w:rPr>
                <w:rFonts w:ascii="Times New Roman"/>
                <w:sz w:val="18"/>
              </w:rPr>
              <w:t>173,26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2,378.</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49</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1,141,</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926,91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3.09</w:t>
            </w:r>
          </w:p>
        </w:tc>
        <w:tc>
          <w:tcPr>
            <w:tcW w:w="58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0" w:space="0" w:color="D2D2D2"/>
              <w:left w:val="single" w:sz="4" w:space="0" w:color="000000"/>
              <w:right w:val="single" w:sz="4" w:space="0" w:color="000000"/>
            </w:tcBorders>
          </w:tcPr>
          <w:p>
            <w:pPr>
              <w:pStyle w:val="TableParagraph"/>
              <w:spacing w:line="240" w:lineRule="auto" w:before="46"/>
              <w:ind w:left="75" w:right="0"/>
              <w:jc w:val="center"/>
              <w:rPr>
                <w:rFonts w:ascii="Times New Roman" w:hAnsi="Times New Roman" w:cs="Times New Roman" w:eastAsia="Times New Roman" w:hint="default"/>
                <w:sz w:val="18"/>
                <w:szCs w:val="18"/>
              </w:rPr>
            </w:pPr>
            <w:r>
              <w:rPr>
                <w:rFonts w:ascii="Times New Roman"/>
                <w:sz w:val="18"/>
              </w:rPr>
              <w:t>1,141,</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926,91</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3.09</w:t>
            </w:r>
          </w:p>
        </w:tc>
      </w:tr>
      <w:tr>
        <w:trPr>
          <w:trHeight w:val="703"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9"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-7,737,</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528.46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 w:right="0"/>
              <w:jc w:val="center"/>
              <w:rPr>
                <w:rFonts w:ascii="Times New Roman" w:hAnsi="Times New Roman" w:cs="Times New Roman" w:eastAsia="Times New Roman" w:hint="default"/>
                <w:sz w:val="18"/>
                <w:szCs w:val="18"/>
              </w:rPr>
            </w:pPr>
            <w:r>
              <w:rPr>
                <w:rFonts w:ascii="Times New Roman"/>
                <w:sz w:val="18"/>
              </w:rPr>
              <w:t>582,67</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2.87</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5,194,</w:t>
            </w:r>
          </w:p>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862.07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-1,959,</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993.52</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-1,959,</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993.52</w:t>
            </w:r>
          </w:p>
        </w:tc>
      </w:tr>
      <w:tr>
        <w:trPr>
          <w:trHeight w:val="713"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37"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93"/>
              <w:ind w:left="49" w:right="0"/>
              <w:jc w:val="left"/>
              <w:rPr>
                <w:rFonts w:ascii="Times New Roman" w:hAnsi="Times New Roman" w:cs="Times New Roman" w:eastAsia="Times New Roman" w:hint="default"/>
                <w:sz w:val="18"/>
                <w:szCs w:val="18"/>
              </w:rPr>
            </w:pPr>
            <w:r>
              <w:rPr>
                <w:rFonts w:ascii="Times New Roman"/>
                <w:sz w:val="18"/>
              </w:rPr>
              <w:t>200,6</w:t>
            </w:r>
          </w:p>
          <w:p>
            <w:pPr>
              <w:pStyle w:val="TableParagraph"/>
              <w:spacing w:line="240" w:lineRule="auto" w:before="102"/>
              <w:ind w:left="49" w:right="0"/>
              <w:jc w:val="left"/>
              <w:rPr>
                <w:rFonts w:ascii="Times New Roman" w:hAnsi="Times New Roman" w:cs="Times New Roman" w:eastAsia="Times New Roman" w:hint="default"/>
                <w:sz w:val="18"/>
                <w:szCs w:val="18"/>
              </w:rPr>
            </w:pPr>
            <w:r>
              <w:rPr>
                <w:rFonts w:ascii="Times New Roman"/>
                <w:sz w:val="18"/>
              </w:rPr>
              <w:t>64,19</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5.00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732,81</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6,268.</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10</w:t>
            </w: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-8,573,</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247.83</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36,602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,463.7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178,45</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7,240.</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56</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1,139,</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966,91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9.57</w:t>
            </w:r>
          </w:p>
        </w:tc>
        <w:tc>
          <w:tcPr>
            <w:tcW w:w="58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3"/>
              <w:ind w:left="75" w:right="0"/>
              <w:jc w:val="center"/>
              <w:rPr>
                <w:rFonts w:ascii="Times New Roman" w:hAnsi="Times New Roman" w:cs="Times New Roman" w:eastAsia="Times New Roman" w:hint="default"/>
                <w:sz w:val="18"/>
                <w:szCs w:val="18"/>
              </w:rPr>
            </w:pPr>
            <w:r>
              <w:rPr>
                <w:rFonts w:ascii="Times New Roman"/>
                <w:sz w:val="18"/>
              </w:rPr>
              <w:t>1,139,</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966,91</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9.57</w:t>
            </w:r>
          </w:p>
        </w:tc>
      </w:tr>
      <w:tr>
        <w:trPr>
          <w:trHeight w:val="703"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102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1,427</w:t>
            </w:r>
          </w:p>
          <w:p>
            <w:pPr>
              <w:pStyle w:val="TableParagraph"/>
              <w:spacing w:line="240" w:lineRule="auto" w:before="105"/>
              <w:ind w:left="67" w:right="0"/>
              <w:jc w:val="center"/>
              <w:rPr>
                <w:rFonts w:ascii="Times New Roman" w:hAnsi="Times New Roman" w:cs="Times New Roman" w:eastAsia="Times New Roman" w:hint="default"/>
                <w:sz w:val="18"/>
                <w:szCs w:val="18"/>
              </w:rPr>
            </w:pPr>
            <w:r>
              <w:rPr>
                <w:rFonts w:ascii="Times New Roman"/>
                <w:sz w:val="18"/>
              </w:rPr>
              <w:t>,898.</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28,708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,921.3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12,636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,641.8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2,264,</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333.04</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50,359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,095.4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95,396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95,396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163"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12,636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,641.8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58,659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,727.2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71,296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,369.0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8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71,296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,369.0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704"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161"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1,427</w:t>
            </w:r>
          </w:p>
          <w:p>
            <w:pPr>
              <w:pStyle w:val="TableParagraph"/>
              <w:spacing w:line="240" w:lineRule="auto" w:before="105"/>
              <w:ind w:left="72" w:right="0"/>
              <w:jc w:val="center"/>
              <w:rPr>
                <w:rFonts w:ascii="Times New Roman" w:hAnsi="Times New Roman" w:cs="Times New Roman" w:eastAsia="Times New Roman" w:hint="default"/>
                <w:sz w:val="18"/>
                <w:szCs w:val="18"/>
              </w:rPr>
            </w:pPr>
            <w:r>
              <w:rPr>
                <w:rFonts w:ascii="Times New Roman"/>
                <w:sz w:val="18"/>
              </w:rPr>
              <w:t>,898.</w:t>
            </w:r>
          </w:p>
          <w:p>
            <w:pPr>
              <w:pStyle w:val="TableParagraph"/>
              <w:spacing w:line="240" w:lineRule="auto" w:before="105"/>
              <w:ind w:left="253" w:right="0"/>
              <w:jc w:val="center"/>
              <w:rPr>
                <w:rFonts w:ascii="Times New Roman" w:hAnsi="Times New Roman" w:cs="Times New Roman" w:eastAsia="Times New Roman" w:hint="default"/>
                <w:sz w:val="18"/>
                <w:szCs w:val="18"/>
              </w:rPr>
            </w:pPr>
            <w:r>
              <w:rPr>
                <w:rFonts w:ascii="Times New Roman"/>
                <w:sz w:val="18"/>
              </w:rPr>
              <w:t>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28,708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,921.3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30,136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8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30,136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703"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1,427</w:t>
            </w:r>
          </w:p>
          <w:p>
            <w:pPr>
              <w:pStyle w:val="TableParagraph"/>
              <w:spacing w:line="240" w:lineRule="auto" w:before="105"/>
              <w:ind w:left="78" w:right="0"/>
              <w:jc w:val="center"/>
              <w:rPr>
                <w:rFonts w:ascii="Times New Roman" w:hAnsi="Times New Roman" w:cs="Times New Roman" w:eastAsia="Times New Roman" w:hint="default"/>
                <w:sz w:val="18"/>
                <w:szCs w:val="18"/>
              </w:rPr>
            </w:pPr>
            <w:r>
              <w:rPr>
                <w:rFonts w:ascii="Times New Roman"/>
                <w:sz w:val="18"/>
              </w:rPr>
              <w:t>,898.</w:t>
            </w:r>
          </w:p>
          <w:p>
            <w:pPr>
              <w:pStyle w:val="TableParagraph"/>
              <w:spacing w:line="240" w:lineRule="auto" w:before="105"/>
              <w:ind w:left="259"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28,708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,921.3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30,136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30,136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2,264,</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333.04</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-8,300,</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631.72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-6,036,</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298.68</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-6,036,</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298.68</w:t>
            </w: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2,264,</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333.04</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-2,264,</w:t>
            </w:r>
          </w:p>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333.04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-6,036,</w:t>
            </w:r>
          </w:p>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298.68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-6,036,</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298.68</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-6,036,</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298.68</w:t>
            </w: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92,09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3.00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761,52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5,189.</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49</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4,063,</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394.00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38,866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,796.7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228,81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6,336.</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1,235,</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363,80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9.31</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1,235,</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363,80</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9.31</w:t>
            </w:r>
          </w:p>
        </w:tc>
      </w:tr>
    </w:tbl>
    <w:p>
      <w:pPr>
        <w:pStyle w:val="BodyText"/>
        <w:spacing w:line="240" w:lineRule="auto" w:before="49"/>
        <w:ind w:right="1133"/>
        <w:jc w:val="left"/>
      </w:pPr>
      <w:r>
        <w:rPr/>
        <w:t>上期金额</w:t>
      </w:r>
    </w:p>
    <w:p>
      <w:pPr>
        <w:pStyle w:val="BodyText"/>
        <w:spacing w:line="240" w:lineRule="auto" w:before="115"/>
        <w:ind w:left="0" w:right="1131"/>
        <w:jc w:val="right"/>
      </w:pPr>
      <w:r>
        <w:rPr/>
        <w:t>单位：元</w:t>
      </w:r>
    </w:p>
    <w:p>
      <w:pPr>
        <w:spacing w:after="0" w:line="240" w:lineRule="auto"/>
        <w:jc w:val="right"/>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1200"/>
        <w:gridCol w:w="490"/>
        <w:gridCol w:w="449"/>
        <w:gridCol w:w="449"/>
        <w:gridCol w:w="492"/>
        <w:gridCol w:w="576"/>
        <w:gridCol w:w="576"/>
        <w:gridCol w:w="578"/>
        <w:gridCol w:w="576"/>
        <w:gridCol w:w="576"/>
        <w:gridCol w:w="578"/>
        <w:gridCol w:w="588"/>
        <w:gridCol w:w="567"/>
        <w:gridCol w:w="569"/>
        <w:gridCol w:w="641"/>
        <w:gridCol w:w="653"/>
      </w:tblGrid>
      <w:tr>
        <w:trPr>
          <w:trHeight w:val="402"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835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251" w:hRule="exact"/>
        </w:trPr>
        <w:tc>
          <w:tcPr>
            <w:tcW w:w="1200" w:type="dxa"/>
            <w:vMerge/>
            <w:tcBorders>
              <w:left w:val="single" w:sz="4" w:space="0" w:color="000000"/>
              <w:right w:val="single" w:sz="4" w:space="0" w:color="000000"/>
            </w:tcBorders>
            <w:shd w:val="clear" w:color="auto" w:fill="D2D2D2"/>
          </w:tcPr>
          <w:p>
            <w:pPr/>
          </w:p>
        </w:tc>
        <w:tc>
          <w:tcPr>
            <w:tcW w:w="7065"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7065" w:type="dxa"/>
            <w:gridSpan w:val="13"/>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490" w:type="dxa"/>
            <w:vMerge w:val="restart"/>
            <w:tcBorders>
              <w:top w:val="single" w:sz="4" w:space="0" w:color="000000"/>
              <w:left w:val="single" w:sz="4" w:space="0" w:color="000000"/>
              <w:right w:val="single" w:sz="4" w:space="0" w:color="000000"/>
            </w:tcBorders>
            <w:shd w:val="clear" w:color="auto" w:fill="D2D2D2"/>
          </w:tcPr>
          <w:p>
            <w:pPr/>
          </w:p>
        </w:tc>
        <w:tc>
          <w:tcPr>
            <w:tcW w:w="139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7" w:type="dxa"/>
            <w:vMerge w:val="restart"/>
            <w:tcBorders>
              <w:top w:val="single" w:sz="4" w:space="0" w:color="000000"/>
              <w:left w:val="single" w:sz="4" w:space="0" w:color="000000"/>
              <w:right w:val="single" w:sz="4" w:space="0" w:color="000000"/>
            </w:tcBorders>
            <w:shd w:val="clear" w:color="auto" w:fill="D2D2D2"/>
          </w:tcPr>
          <w:p>
            <w:pPr/>
          </w:p>
        </w:tc>
        <w:tc>
          <w:tcPr>
            <w:tcW w:w="569" w:type="dxa"/>
            <w:vMerge w:val="restart"/>
            <w:tcBorders>
              <w:top w:val="single" w:sz="4" w:space="0" w:color="000000"/>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48"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tcBorders>
              <w:left w:val="single" w:sz="4" w:space="0" w:color="000000"/>
              <w:right w:val="single" w:sz="4" w:space="0" w:color="000000"/>
            </w:tcBorders>
            <w:shd w:val="clear" w:color="auto" w:fill="D2D2D2"/>
          </w:tcPr>
          <w:p>
            <w:pPr/>
          </w:p>
        </w:tc>
      </w:tr>
      <w:tr>
        <w:trPr>
          <w:trHeight w:val="165"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1390" w:type="dxa"/>
            <w:gridSpan w:val="3"/>
            <w:vMerge/>
            <w:tcBorders>
              <w:left w:val="single" w:sz="4" w:space="0" w:color="000000"/>
              <w:bottom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9"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8" w:type="dxa"/>
            <w:vMerge/>
            <w:tcBorders>
              <w:left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3"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29" w:right="38"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2"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0" w:hRule="exact"/>
        </w:trPr>
        <w:tc>
          <w:tcPr>
            <w:tcW w:w="1200" w:type="dxa"/>
            <w:vMerge/>
            <w:tcBorders>
              <w:left w:val="single" w:sz="4" w:space="0" w:color="000000"/>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33" w:hRule="exact"/>
        </w:trPr>
        <w:tc>
          <w:tcPr>
            <w:tcW w:w="1200" w:type="dxa"/>
            <w:vMerge/>
            <w:tcBorders>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2"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r>
      <w:tr>
        <w:trPr>
          <w:trHeight w:val="218"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92"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00"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9" w:space="0" w:color="D2D2D2"/>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167,0</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46,17</w:t>
            </w:r>
          </w:p>
          <w:p>
            <w:pPr>
              <w:pStyle w:val="TableParagraph"/>
              <w:spacing w:line="240" w:lineRule="auto" w:before="105"/>
              <w:ind w:left="138" w:right="0"/>
              <w:jc w:val="left"/>
              <w:rPr>
                <w:rFonts w:ascii="Times New Roman" w:hAnsi="Times New Roman" w:cs="Times New Roman" w:eastAsia="Times New Roman" w:hint="default"/>
                <w:sz w:val="18"/>
                <w:szCs w:val="18"/>
              </w:rPr>
            </w:pPr>
            <w:r>
              <w:rPr>
                <w:rFonts w:ascii="Times New Roman"/>
                <w:sz w:val="18"/>
              </w:rPr>
              <w:t>3.00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759,53</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8,575.</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28</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22" w:space="0" w:color="D2D2D2"/>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-865,0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45.62</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33,491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78" w:type="dxa"/>
            <w:vMerge w:val="restart"/>
            <w:tcBorders>
              <w:top w:val="single" w:sz="22" w:space="0" w:color="D2D2D2"/>
              <w:left w:val="single" w:sz="4" w:space="0" w:color="000000"/>
              <w:right w:val="single" w:sz="4" w:space="0" w:color="000000"/>
            </w:tcBorders>
          </w:tcPr>
          <w:p>
            <w:pPr/>
          </w:p>
        </w:tc>
        <w:tc>
          <w:tcPr>
            <w:tcW w:w="588" w:type="dxa"/>
            <w:vMerge w:val="restart"/>
            <w:tcBorders>
              <w:top w:val="single" w:sz="22" w:space="0" w:color="D2D2D2"/>
              <w:left w:val="single" w:sz="4" w:space="0" w:color="000000"/>
              <w:right w:val="single" w:sz="4" w:space="0" w:color="000000"/>
            </w:tcBorders>
          </w:tcPr>
          <w:p>
            <w:pPr>
              <w:pStyle w:val="TableParagraph"/>
              <w:spacing w:line="240" w:lineRule="auto" w:before="68"/>
              <w:ind w:left="62" w:right="0"/>
              <w:jc w:val="left"/>
              <w:rPr>
                <w:rFonts w:ascii="Times New Roman" w:hAnsi="Times New Roman" w:cs="Times New Roman" w:eastAsia="Times New Roman" w:hint="default"/>
                <w:sz w:val="18"/>
                <w:szCs w:val="18"/>
              </w:rPr>
            </w:pPr>
            <w:r>
              <w:rPr>
                <w:rFonts w:ascii="Times New Roman"/>
                <w:sz w:val="18"/>
              </w:rPr>
              <w:t>165,61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6,219.</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92</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1,124,</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827,62</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5.96</w:t>
            </w:r>
          </w:p>
        </w:tc>
        <w:tc>
          <w:tcPr>
            <w:tcW w:w="641"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1,124,8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27,625.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96</w:t>
            </w:r>
          </w:p>
        </w:tc>
      </w:tr>
      <w:tr>
        <w:trPr>
          <w:trHeight w:val="703"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9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6"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6"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200"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9" w:space="0" w:color="D2D2D2"/>
              <w:right w:val="single" w:sz="4" w:space="0" w:color="000000"/>
            </w:tcBorders>
          </w:tcPr>
          <w:p>
            <w:pPr>
              <w:pStyle w:val="TableParagraph"/>
              <w:spacing w:line="240" w:lineRule="auto" w:before="93"/>
              <w:ind w:left="46" w:right="0"/>
              <w:jc w:val="left"/>
              <w:rPr>
                <w:rFonts w:ascii="Times New Roman" w:hAnsi="Times New Roman" w:cs="Times New Roman" w:eastAsia="Times New Roman" w:hint="default"/>
                <w:sz w:val="18"/>
                <w:szCs w:val="18"/>
              </w:rPr>
            </w:pPr>
            <w:r>
              <w:rPr>
                <w:rFonts w:ascii="Times New Roman"/>
                <w:sz w:val="18"/>
              </w:rPr>
              <w:t>167,0</w:t>
            </w:r>
          </w:p>
          <w:p>
            <w:pPr>
              <w:pStyle w:val="TableParagraph"/>
              <w:spacing w:line="240" w:lineRule="auto" w:before="102"/>
              <w:ind w:left="46" w:right="0"/>
              <w:jc w:val="left"/>
              <w:rPr>
                <w:rFonts w:ascii="Times New Roman" w:hAnsi="Times New Roman" w:cs="Times New Roman" w:eastAsia="Times New Roman" w:hint="default"/>
                <w:sz w:val="18"/>
                <w:szCs w:val="18"/>
              </w:rPr>
            </w:pPr>
            <w:r>
              <w:rPr>
                <w:rFonts w:ascii="Times New Roman"/>
                <w:sz w:val="18"/>
              </w:rPr>
              <w:t>46,17</w:t>
            </w:r>
          </w:p>
          <w:p>
            <w:pPr>
              <w:pStyle w:val="TableParagraph"/>
              <w:spacing w:line="240" w:lineRule="auto" w:before="105"/>
              <w:ind w:left="138" w:right="0"/>
              <w:jc w:val="left"/>
              <w:rPr>
                <w:rFonts w:ascii="Times New Roman" w:hAnsi="Times New Roman" w:cs="Times New Roman" w:eastAsia="Times New Roman" w:hint="default"/>
                <w:sz w:val="18"/>
                <w:szCs w:val="18"/>
              </w:rPr>
            </w:pPr>
            <w:r>
              <w:rPr>
                <w:rFonts w:ascii="Times New Roman"/>
                <w:sz w:val="18"/>
              </w:rPr>
              <w:t>3.00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759,53</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8,575.</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28</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-865,0</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45.62</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33,491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,703.3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165,61</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6,219.</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92</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3"/>
              <w:ind w:left="61" w:right="0"/>
              <w:jc w:val="center"/>
              <w:rPr>
                <w:rFonts w:ascii="Times New Roman" w:hAnsi="Times New Roman" w:cs="Times New Roman" w:eastAsia="Times New Roman" w:hint="default"/>
                <w:sz w:val="18"/>
                <w:szCs w:val="18"/>
              </w:rPr>
            </w:pPr>
            <w:r>
              <w:rPr>
                <w:rFonts w:ascii="Times New Roman"/>
                <w:sz w:val="18"/>
              </w:rPr>
              <w:t>1,124,</w:t>
            </w:r>
          </w:p>
          <w:p>
            <w:pPr>
              <w:pStyle w:val="TableParagraph"/>
              <w:spacing w:line="240" w:lineRule="auto" w:before="102"/>
              <w:ind w:left="17" w:right="0"/>
              <w:jc w:val="center"/>
              <w:rPr>
                <w:rFonts w:ascii="Times New Roman" w:hAnsi="Times New Roman" w:cs="Times New Roman" w:eastAsia="Times New Roman" w:hint="default"/>
                <w:sz w:val="18"/>
                <w:szCs w:val="18"/>
              </w:rPr>
            </w:pPr>
            <w:r>
              <w:rPr>
                <w:rFonts w:ascii="Times New Roman"/>
                <w:sz w:val="18"/>
              </w:rPr>
              <w:t>827,62</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5.96</w:t>
            </w:r>
          </w:p>
        </w:tc>
        <w:tc>
          <w:tcPr>
            <w:tcW w:w="641"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1,124,8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27,625.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96</w:t>
            </w:r>
          </w:p>
        </w:tc>
      </w:tr>
      <w:tr>
        <w:trPr>
          <w:trHeight w:val="704"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9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1337"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96"/>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33,61</w:t>
            </w:r>
          </w:p>
          <w:p>
            <w:pPr>
              <w:pStyle w:val="TableParagraph"/>
              <w:spacing w:line="240" w:lineRule="auto" w:before="105"/>
              <w:ind w:left="21" w:right="0"/>
              <w:jc w:val="center"/>
              <w:rPr>
                <w:rFonts w:ascii="Times New Roman" w:hAnsi="Times New Roman" w:cs="Times New Roman" w:eastAsia="Times New Roman" w:hint="default"/>
                <w:sz w:val="18"/>
                <w:szCs w:val="18"/>
              </w:rPr>
            </w:pPr>
            <w:r>
              <w:rPr>
                <w:rFonts w:ascii="Times New Roman"/>
                <w:sz w:val="18"/>
              </w:rPr>
              <w:t>8,022</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-26,72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2,307.</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18</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29,326</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.25</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2,528,</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087.49</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7,646,</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158.57</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17,099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,287.1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17,099,</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287.13</w:t>
            </w:r>
          </w:p>
        </w:tc>
      </w:tr>
      <w:tr>
        <w:trPr>
          <w:trHeight w:val="163" w:hRule="exact"/>
        </w:trPr>
        <w:tc>
          <w:tcPr>
            <w:tcW w:w="1200"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9" w:space="0" w:color="D2D2D2"/>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29,326</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.25</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13,515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,446.0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13,544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,772.2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641"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13,544,</w:t>
            </w:r>
          </w:p>
          <w:p>
            <w:pPr>
              <w:pStyle w:val="TableParagraph"/>
              <w:spacing w:line="240" w:lineRule="auto" w:before="102"/>
              <w:ind w:left="127" w:right="0"/>
              <w:jc w:val="left"/>
              <w:rPr>
                <w:rFonts w:ascii="Times New Roman" w:hAnsi="Times New Roman" w:cs="Times New Roman" w:eastAsia="Times New Roman" w:hint="default"/>
                <w:sz w:val="18"/>
                <w:szCs w:val="18"/>
              </w:rPr>
            </w:pPr>
            <w:r>
              <w:rPr>
                <w:rFonts w:ascii="Times New Roman"/>
                <w:sz w:val="18"/>
              </w:rPr>
              <w:t>772.26</w:t>
            </w:r>
          </w:p>
        </w:tc>
      </w:tr>
      <w:tr>
        <w:trPr>
          <w:trHeight w:val="703"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204,6</w:t>
            </w:r>
          </w:p>
          <w:p>
            <w:pPr>
              <w:pStyle w:val="TableParagraph"/>
              <w:spacing w:line="240" w:lineRule="auto" w:before="105"/>
              <w:ind w:left="42" w:right="0"/>
              <w:jc w:val="left"/>
              <w:rPr>
                <w:rFonts w:ascii="Times New Roman" w:hAnsi="Times New Roman" w:cs="Times New Roman" w:eastAsia="Times New Roman" w:hint="default"/>
                <w:sz w:val="18"/>
                <w:szCs w:val="18"/>
              </w:rPr>
            </w:pPr>
            <w:r>
              <w:rPr>
                <w:rFonts w:ascii="Times New Roman"/>
                <w:sz w:val="18"/>
              </w:rPr>
              <w:t>22.00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6,691,</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092.82</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6,895,</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714.82</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6,895,7</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14.82</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4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204,6</w:t>
            </w:r>
          </w:p>
          <w:p>
            <w:pPr>
              <w:pStyle w:val="TableParagraph"/>
              <w:spacing w:line="240" w:lineRule="auto" w:before="102"/>
              <w:ind w:left="42" w:right="0"/>
              <w:jc w:val="left"/>
              <w:rPr>
                <w:rFonts w:ascii="Times New Roman" w:hAnsi="Times New Roman" w:cs="Times New Roman" w:eastAsia="Times New Roman" w:hint="default"/>
                <w:sz w:val="18"/>
                <w:szCs w:val="18"/>
              </w:rPr>
            </w:pPr>
            <w:r>
              <w:rPr>
                <w:rFonts w:ascii="Times New Roman"/>
                <w:sz w:val="18"/>
              </w:rPr>
              <w:t>22.00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6,691,</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092.82</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6,895,</w:t>
            </w:r>
          </w:p>
          <w:p>
            <w:pPr>
              <w:pStyle w:val="TableParagraph"/>
              <w:spacing w:line="240" w:lineRule="auto" w:before="102"/>
              <w:ind w:left="40" w:right="0"/>
              <w:jc w:val="left"/>
              <w:rPr>
                <w:rFonts w:ascii="Times New Roman" w:hAnsi="Times New Roman" w:cs="Times New Roman" w:eastAsia="Times New Roman" w:hint="default"/>
                <w:sz w:val="18"/>
                <w:szCs w:val="18"/>
              </w:rPr>
            </w:pPr>
            <w:r>
              <w:rPr>
                <w:rFonts w:ascii="Times New Roman"/>
                <w:sz w:val="18"/>
              </w:rPr>
              <w:t>714.82</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6,895,7</w:t>
            </w:r>
          </w:p>
          <w:p>
            <w:pPr>
              <w:pStyle w:val="TableParagraph"/>
              <w:spacing w:line="240" w:lineRule="auto" w:before="102"/>
              <w:ind w:left="195" w:right="0"/>
              <w:jc w:val="center"/>
              <w:rPr>
                <w:rFonts w:ascii="Times New Roman" w:hAnsi="Times New Roman" w:cs="Times New Roman" w:eastAsia="Times New Roman" w:hint="default"/>
                <w:sz w:val="18"/>
                <w:szCs w:val="18"/>
              </w:rPr>
            </w:pPr>
            <w:r>
              <w:rPr>
                <w:rFonts w:ascii="Times New Roman"/>
                <w:sz w:val="18"/>
              </w:rPr>
              <w:t>14.82</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2"/>
        <w:gridCol w:w="576"/>
        <w:gridCol w:w="576"/>
        <w:gridCol w:w="578"/>
        <w:gridCol w:w="576"/>
        <w:gridCol w:w="576"/>
        <w:gridCol w:w="578"/>
        <w:gridCol w:w="588"/>
        <w:gridCol w:w="567"/>
        <w:gridCol w:w="569"/>
        <w:gridCol w:w="641"/>
        <w:gridCol w:w="653"/>
      </w:tblGrid>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2,528,</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087.49</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-5,869,</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287.44</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-3,341,</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199.95</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-3,341,</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199.95</w:t>
            </w:r>
          </w:p>
        </w:tc>
      </w:tr>
      <w:tr>
        <w:trPr>
          <w:trHeight w:val="361" w:hRule="exact"/>
        </w:trPr>
        <w:tc>
          <w:tcPr>
            <w:tcW w:w="121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w:t>
            </w:r>
          </w:p>
        </w:tc>
        <w:tc>
          <w:tcPr>
            <w:tcW w:w="49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73" w:right="0"/>
              <w:jc w:val="center"/>
              <w:rPr>
                <w:rFonts w:ascii="Times New Roman" w:hAnsi="Times New Roman" w:cs="Times New Roman" w:eastAsia="Times New Roman" w:hint="default"/>
                <w:sz w:val="18"/>
                <w:szCs w:val="18"/>
              </w:rPr>
            </w:pPr>
            <w:r>
              <w:rPr>
                <w:rFonts w:ascii="Times New Roman"/>
                <w:sz w:val="18"/>
              </w:rPr>
              <w:t>2,528,</w:t>
            </w:r>
          </w:p>
        </w:tc>
        <w:tc>
          <w:tcPr>
            <w:tcW w:w="578" w:type="dxa"/>
            <w:vMerge w:val="restart"/>
            <w:tcBorders>
              <w:top w:val="single" w:sz="4" w:space="0" w:color="000000"/>
              <w:left w:val="single" w:sz="4" w:space="0" w:color="000000"/>
              <w:right w:val="single" w:sz="4" w:space="0" w:color="000000"/>
            </w:tcBorders>
          </w:tcPr>
          <w:p>
            <w:pPr/>
          </w:p>
        </w:tc>
        <w:tc>
          <w:tcPr>
            <w:tcW w:w="5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-2,528,</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
        </w:tc>
      </w:tr>
      <w:tr>
        <w:trPr>
          <w:trHeight w:val="354" w:hRule="exact"/>
        </w:trPr>
        <w:tc>
          <w:tcPr>
            <w:tcW w:w="121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积</w:t>
            </w:r>
          </w:p>
        </w:tc>
        <w:tc>
          <w:tcPr>
            <w:tcW w:w="49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left="29" w:right="0"/>
              <w:jc w:val="center"/>
              <w:rPr>
                <w:rFonts w:ascii="Times New Roman" w:hAnsi="Times New Roman" w:cs="Times New Roman" w:eastAsia="Times New Roman" w:hint="default"/>
                <w:sz w:val="18"/>
                <w:szCs w:val="18"/>
              </w:rPr>
            </w:pPr>
            <w:r>
              <w:rPr>
                <w:rFonts w:ascii="Times New Roman"/>
                <w:sz w:val="18"/>
              </w:rPr>
              <w:t>087.49</w:t>
            </w:r>
          </w:p>
        </w:tc>
        <w:tc>
          <w:tcPr>
            <w:tcW w:w="578" w:type="dxa"/>
            <w:vMerge/>
            <w:tcBorders>
              <w:left w:val="single" w:sz="4" w:space="0" w:color="000000"/>
              <w:bottom w:val="single" w:sz="4" w:space="0" w:color="000000"/>
              <w:right w:val="single" w:sz="4" w:space="0" w:color="000000"/>
            </w:tcBorders>
          </w:tcPr>
          <w:p>
            <w:pPr/>
          </w:p>
        </w:tc>
        <w:tc>
          <w:tcPr>
            <w:tcW w:w="5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087.49</w:t>
            </w: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0"/>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-3,341,</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199.95</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-3,341,</w:t>
            </w:r>
          </w:p>
          <w:p>
            <w:pPr>
              <w:pStyle w:val="TableParagraph"/>
              <w:spacing w:line="240" w:lineRule="auto" w:before="102"/>
              <w:ind w:left="40" w:right="0"/>
              <w:jc w:val="left"/>
              <w:rPr>
                <w:rFonts w:ascii="Times New Roman" w:hAnsi="Times New Roman" w:cs="Times New Roman" w:eastAsia="Times New Roman" w:hint="default"/>
                <w:sz w:val="18"/>
                <w:szCs w:val="18"/>
              </w:rPr>
            </w:pPr>
            <w:r>
              <w:rPr>
                <w:rFonts w:ascii="Times New Roman"/>
                <w:sz w:val="18"/>
              </w:rPr>
              <w:t>199.95</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-3,341,</w:t>
            </w:r>
          </w:p>
          <w:p>
            <w:pPr>
              <w:pStyle w:val="TableParagraph"/>
              <w:spacing w:line="240" w:lineRule="auto" w:before="102"/>
              <w:ind w:left="127" w:right="0"/>
              <w:jc w:val="left"/>
              <w:rPr>
                <w:rFonts w:ascii="Times New Roman" w:hAnsi="Times New Roman" w:cs="Times New Roman" w:eastAsia="Times New Roman" w:hint="default"/>
                <w:sz w:val="18"/>
                <w:szCs w:val="18"/>
              </w:rPr>
            </w:pPr>
            <w:r>
              <w:rPr>
                <w:rFonts w:ascii="Times New Roman"/>
                <w:sz w:val="18"/>
              </w:rPr>
              <w:t>199.95</w:t>
            </w: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2" w:right="0"/>
              <w:jc w:val="center"/>
              <w:rPr>
                <w:rFonts w:ascii="Times New Roman" w:hAnsi="Times New Roman" w:cs="Times New Roman" w:eastAsia="Times New Roman" w:hint="default"/>
                <w:sz w:val="18"/>
                <w:szCs w:val="18"/>
              </w:rPr>
            </w:pPr>
            <w:r>
              <w:rPr>
                <w:rFonts w:ascii="Times New Roman"/>
                <w:sz w:val="18"/>
              </w:rPr>
              <w:t>33,41</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3,400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-33,41</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3,400.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21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w:t>
            </w:r>
          </w:p>
        </w:tc>
        <w:tc>
          <w:tcPr>
            <w:tcW w:w="4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33,41</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2" w:type="dxa"/>
            <w:vMerge w:val="restart"/>
            <w:tcBorders>
              <w:top w:val="single" w:sz="4" w:space="0" w:color="000000"/>
              <w:left w:val="single" w:sz="4" w:space="0" w:color="000000"/>
              <w:right w:val="single" w:sz="4" w:space="0" w:color="000000"/>
            </w:tcBorders>
          </w:tcPr>
          <w:p>
            <w:pPr/>
          </w:p>
        </w:tc>
        <w:tc>
          <w:tcPr>
            <w:tcW w:w="5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-33,41</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
        </w:tc>
      </w:tr>
      <w:tr>
        <w:trPr>
          <w:trHeight w:val="312" w:hRule="exact"/>
        </w:trPr>
        <w:tc>
          <w:tcPr>
            <w:tcW w:w="12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增资本（或股</w:t>
            </w:r>
          </w:p>
        </w:tc>
        <w:tc>
          <w:tcPr>
            <w:tcW w:w="49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3,400</w:t>
            </w: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57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3,400.</w:t>
            </w: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353" w:hRule="exact"/>
        </w:trPr>
        <w:tc>
          <w:tcPr>
            <w:tcW w:w="121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4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.00</w:t>
            </w: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2" w:type="dxa"/>
            <w:vMerge/>
            <w:tcBorders>
              <w:left w:val="single" w:sz="4" w:space="0" w:color="000000"/>
              <w:bottom w:val="single" w:sz="4" w:space="0" w:color="000000"/>
              <w:right w:val="single" w:sz="4" w:space="0" w:color="000000"/>
            </w:tcBorders>
          </w:tcPr>
          <w:p>
            <w:pPr/>
          </w:p>
        </w:tc>
        <w:tc>
          <w:tcPr>
            <w:tcW w:w="5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00</w:t>
            </w: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361" w:hRule="exact"/>
        </w:trPr>
        <w:tc>
          <w:tcPr>
            <w:tcW w:w="121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w:t>
            </w:r>
          </w:p>
        </w:tc>
        <w:tc>
          <w:tcPr>
            <w:tcW w:w="49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
        </w:tc>
      </w:tr>
      <w:tr>
        <w:trPr>
          <w:trHeight w:val="306" w:hRule="exact"/>
        </w:trPr>
        <w:tc>
          <w:tcPr>
            <w:tcW w:w="12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增资本（或股</w:t>
            </w:r>
          </w:p>
        </w:tc>
        <w:tc>
          <w:tcPr>
            <w:tcW w:w="49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360" w:hRule="exact"/>
        </w:trPr>
        <w:tc>
          <w:tcPr>
            <w:tcW w:w="121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49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121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w:t>
            </w:r>
          </w:p>
        </w:tc>
        <w:tc>
          <w:tcPr>
            <w:tcW w:w="49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
        </w:tc>
      </w:tr>
      <w:tr>
        <w:trPr>
          <w:trHeight w:val="306" w:hRule="exact"/>
        </w:trPr>
        <w:tc>
          <w:tcPr>
            <w:tcW w:w="12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划变动额结转</w:t>
            </w:r>
          </w:p>
        </w:tc>
        <w:tc>
          <w:tcPr>
            <w:tcW w:w="49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360" w:hRule="exact"/>
        </w:trPr>
        <w:tc>
          <w:tcPr>
            <w:tcW w:w="121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49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360" w:hRule="exact"/>
        </w:trPr>
        <w:tc>
          <w:tcPr>
            <w:tcW w:w="121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w:t>
            </w:r>
          </w:p>
        </w:tc>
        <w:tc>
          <w:tcPr>
            <w:tcW w:w="49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
        </w:tc>
      </w:tr>
      <w:tr>
        <w:trPr>
          <w:trHeight w:val="307" w:hRule="exact"/>
        </w:trPr>
        <w:tc>
          <w:tcPr>
            <w:tcW w:w="12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益结转留存收</w:t>
            </w:r>
          </w:p>
        </w:tc>
        <w:tc>
          <w:tcPr>
            <w:tcW w:w="49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357" w:hRule="exact"/>
        </w:trPr>
        <w:tc>
          <w:tcPr>
            <w:tcW w:w="121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49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200,6</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64,19</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5.00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732,81</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6,268.</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10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-835,7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19.37</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36,019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,790.8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173,26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2,378.</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49</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1,141,</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926,91</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3.09</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1,141,9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26,913.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本期金额</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94"/>
        <w:gridCol w:w="629"/>
        <w:gridCol w:w="605"/>
        <w:gridCol w:w="603"/>
        <w:gridCol w:w="605"/>
        <w:gridCol w:w="727"/>
        <w:gridCol w:w="728"/>
        <w:gridCol w:w="725"/>
        <w:gridCol w:w="727"/>
        <w:gridCol w:w="727"/>
        <w:gridCol w:w="615"/>
        <w:gridCol w:w="710"/>
        <w:gridCol w:w="862"/>
      </w:tblGrid>
      <w:tr>
        <w:trPr>
          <w:trHeight w:val="401"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6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06" w:hRule="exact"/>
        </w:trPr>
        <w:tc>
          <w:tcPr>
            <w:tcW w:w="12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20"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55"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294" w:type="dxa"/>
            <w:vMerge/>
            <w:tcBorders>
              <w:left w:val="single" w:sz="4" w:space="0" w:color="000000"/>
              <w:bottom w:val="nil" w:sz="6" w:space="0" w:color="auto"/>
              <w:right w:val="single" w:sz="4" w:space="0" w:color="000000"/>
            </w:tcBorders>
            <w:shd w:val="clear" w:color="auto" w:fill="D2D2D2"/>
          </w:tcPr>
          <w:p>
            <w:pPr/>
          </w:p>
        </w:tc>
        <w:tc>
          <w:tcPr>
            <w:tcW w:w="6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tcBorders>
              <w:left w:val="single" w:sz="4" w:space="0" w:color="000000"/>
              <w:right w:val="single" w:sz="4" w:space="0" w:color="000000"/>
            </w:tcBorders>
            <w:shd w:val="clear" w:color="auto" w:fill="D2D2D2"/>
          </w:tcPr>
          <w:p>
            <w:pPr/>
          </w:p>
        </w:tc>
      </w:tr>
      <w:tr>
        <w:trPr>
          <w:trHeight w:val="199" w:hRule="exact"/>
        </w:trPr>
        <w:tc>
          <w:tcPr>
            <w:tcW w:w="1294" w:type="dxa"/>
            <w:vMerge w:val="restart"/>
            <w:tcBorders>
              <w:top w:val="nil" w:sz="6" w:space="0" w:color="auto"/>
              <w:left w:val="single" w:sz="4" w:space="0" w:color="000000"/>
              <w:right w:val="single" w:sz="4" w:space="0" w:color="000000"/>
            </w:tcBorders>
            <w:shd w:val="clear" w:color="auto" w:fill="D2D2D2"/>
          </w:tcPr>
          <w:p>
            <w:pPr/>
          </w:p>
        </w:tc>
        <w:tc>
          <w:tcPr>
            <w:tcW w:w="629" w:type="dxa"/>
            <w:vMerge/>
            <w:tcBorders>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r>
      <w:tr>
        <w:trPr>
          <w:trHeight w:val="184" w:hRule="exact"/>
        </w:trPr>
        <w:tc>
          <w:tcPr>
            <w:tcW w:w="1294" w:type="dxa"/>
            <w:vMerge/>
            <w:tcBorders>
              <w:left w:val="single" w:sz="4" w:space="0" w:color="000000"/>
              <w:bottom w:val="single" w:sz="4" w:space="0" w:color="000000"/>
              <w:right w:val="single" w:sz="4" w:space="0" w:color="000000"/>
            </w:tcBorders>
            <w:shd w:val="clear" w:color="auto" w:fill="D2D2D2"/>
          </w:tcPr>
          <w:p>
            <w:pPr/>
          </w:p>
        </w:tc>
        <w:tc>
          <w:tcPr>
            <w:tcW w:w="6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3"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184"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200,66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4,195.0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0.00</w:t>
            </w:r>
          </w:p>
        </w:tc>
        <w:tc>
          <w:tcPr>
            <w:tcW w:w="6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0.00</w:t>
            </w:r>
          </w:p>
        </w:tc>
        <w:tc>
          <w:tcPr>
            <w:tcW w:w="6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0.00</w:t>
            </w:r>
          </w:p>
        </w:tc>
        <w:tc>
          <w:tcPr>
            <w:tcW w:w="727" w:type="dxa"/>
            <w:vMerge w:val="restart"/>
            <w:tcBorders>
              <w:top w:val="single" w:sz="22" w:space="0" w:color="D2D2D2"/>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738,506,</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862.11</w:t>
            </w:r>
          </w:p>
        </w:tc>
        <w:tc>
          <w:tcPr>
            <w:tcW w:w="728" w:type="dxa"/>
            <w:vMerge w:val="restart"/>
            <w:tcBorders>
              <w:top w:val="single" w:sz="22" w:space="0" w:color="D2D2D2"/>
              <w:left w:val="single" w:sz="4" w:space="0" w:color="000000"/>
              <w:right w:val="single" w:sz="4" w:space="0" w:color="000000"/>
            </w:tcBorders>
          </w:tcPr>
          <w:p>
            <w:pPr/>
          </w:p>
        </w:tc>
        <w:tc>
          <w:tcPr>
            <w:tcW w:w="725" w:type="dxa"/>
            <w:vMerge w:val="restart"/>
            <w:tcBorders>
              <w:top w:val="single" w:sz="22" w:space="0" w:color="D2D2D2"/>
              <w:left w:val="single" w:sz="4" w:space="0" w:color="000000"/>
              <w:right w:val="single" w:sz="4" w:space="0" w:color="000000"/>
            </w:tcBorders>
          </w:tcPr>
          <w:p>
            <w:pPr/>
          </w:p>
        </w:tc>
        <w:tc>
          <w:tcPr>
            <w:tcW w:w="727" w:type="dxa"/>
            <w:vMerge w:val="restart"/>
            <w:tcBorders>
              <w:top w:val="single" w:sz="22" w:space="0" w:color="D2D2D2"/>
              <w:left w:val="single" w:sz="4" w:space="0" w:color="000000"/>
              <w:right w:val="single" w:sz="4" w:space="0" w:color="000000"/>
            </w:tcBorders>
          </w:tcPr>
          <w:p>
            <w:pPr/>
          </w:p>
        </w:tc>
        <w:tc>
          <w:tcPr>
            <w:tcW w:w="727" w:type="dxa"/>
            <w:vMerge w:val="restart"/>
            <w:tcBorders>
              <w:top w:val="single" w:sz="22" w:space="0" w:color="D2D2D2"/>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36,019,7</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90.87</w:t>
            </w:r>
          </w:p>
        </w:tc>
        <w:tc>
          <w:tcPr>
            <w:tcW w:w="615" w:type="dxa"/>
            <w:vMerge w:val="restart"/>
            <w:tcBorders>
              <w:top w:val="single" w:sz="22" w:space="0" w:color="D2D2D2"/>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218,83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7,715.6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22" w:space="0" w:color="D2D2D2"/>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1,194,028,</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563.66</w:t>
            </w:r>
          </w:p>
        </w:tc>
      </w:tr>
      <w:tr>
        <w:trPr>
          <w:trHeight w:val="706"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713"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-7,737,5</w:t>
            </w:r>
          </w:p>
          <w:p>
            <w:pPr>
              <w:pStyle w:val="TableParagraph"/>
              <w:spacing w:line="240" w:lineRule="auto" w:before="102"/>
              <w:ind w:left="267" w:right="0"/>
              <w:jc w:val="center"/>
              <w:rPr>
                <w:rFonts w:ascii="Times New Roman" w:hAnsi="Times New Roman" w:cs="Times New Roman" w:eastAsia="Times New Roman" w:hint="default"/>
                <w:sz w:val="18"/>
                <w:szCs w:val="18"/>
              </w:rPr>
            </w:pPr>
            <w:r>
              <w:rPr>
                <w:rFonts w:ascii="Times New Roman"/>
                <w:sz w:val="18"/>
              </w:rPr>
              <w:t>28.46</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582,672.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87</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5,244,0</w:t>
            </w:r>
          </w:p>
          <w:p>
            <w:pPr>
              <w:pStyle w:val="TableParagraph"/>
              <w:spacing w:line="240" w:lineRule="auto" w:before="102"/>
              <w:ind w:left="156" w:right="0"/>
              <w:jc w:val="center"/>
              <w:rPr>
                <w:rFonts w:ascii="Times New Roman" w:hAnsi="Times New Roman" w:cs="Times New Roman" w:eastAsia="Times New Roman" w:hint="default"/>
                <w:sz w:val="18"/>
                <w:szCs w:val="18"/>
              </w:rPr>
            </w:pPr>
            <w:r>
              <w:rPr>
                <w:rFonts w:ascii="Times New Roman"/>
                <w:sz w:val="18"/>
              </w:rPr>
              <w:t>55.82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-1,910,799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.77</w:t>
            </w:r>
          </w:p>
        </w:tc>
      </w:tr>
      <w:tr>
        <w:trPr>
          <w:trHeight w:val="716"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4,195.0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738,506,</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862.11</w:t>
            </w:r>
          </w:p>
        </w:tc>
        <w:tc>
          <w:tcPr>
            <w:tcW w:w="728"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-7,737,5</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28.46</w:t>
            </w: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36,602,4</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63.74</w:t>
            </w:r>
          </w:p>
        </w:tc>
        <w:tc>
          <w:tcPr>
            <w:tcW w:w="6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1,771.5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1,192,117,</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763.89</w:t>
            </w:r>
          </w:p>
        </w:tc>
      </w:tr>
      <w:tr>
        <w:trPr>
          <w:trHeight w:val="706"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1025"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1,427,8</w:t>
            </w:r>
          </w:p>
          <w:p>
            <w:pPr>
              <w:pStyle w:val="TableParagraph"/>
              <w:spacing w:line="240" w:lineRule="auto" w:before="102"/>
              <w:ind w:left="159" w:right="0"/>
              <w:jc w:val="center"/>
              <w:rPr>
                <w:rFonts w:ascii="Times New Roman" w:hAnsi="Times New Roman" w:cs="Times New Roman" w:eastAsia="Times New Roman" w:hint="default"/>
                <w:sz w:val="18"/>
                <w:szCs w:val="18"/>
              </w:rPr>
            </w:pPr>
            <w:r>
              <w:rPr>
                <w:rFonts w:ascii="Times New Roman"/>
                <w:sz w:val="18"/>
              </w:rPr>
              <w:t>98.00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28,708,9</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21.39</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12,624,2</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89.27</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2,264,33</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3.04</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14,342,</w:t>
            </w:r>
          </w:p>
          <w:p>
            <w:pPr>
              <w:pStyle w:val="TableParagraph"/>
              <w:spacing w:line="240" w:lineRule="auto" w:before="102"/>
              <w:ind w:left="88" w:right="0"/>
              <w:jc w:val="left"/>
              <w:rPr>
                <w:rFonts w:ascii="Times New Roman" w:hAnsi="Times New Roman" w:cs="Times New Roman" w:eastAsia="Times New Roman" w:hint="default"/>
                <w:sz w:val="18"/>
                <w:szCs w:val="18"/>
              </w:rPr>
            </w:pPr>
            <w:r>
              <w:rPr>
                <w:rFonts w:ascii="Times New Roman"/>
                <w:sz w:val="18"/>
              </w:rPr>
              <w:t>698.67</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59,368,14</w:t>
            </w:r>
          </w:p>
          <w:p>
            <w:pPr>
              <w:pStyle w:val="TableParagraph"/>
              <w:spacing w:line="240" w:lineRule="auto" w:before="102"/>
              <w:ind w:left="515" w:right="0"/>
              <w:jc w:val="left"/>
              <w:rPr>
                <w:rFonts w:ascii="Times New Roman" w:hAnsi="Times New Roman" w:cs="Times New Roman" w:eastAsia="Times New Roman" w:hint="default"/>
                <w:sz w:val="18"/>
                <w:szCs w:val="18"/>
              </w:rPr>
            </w:pPr>
            <w:r>
              <w:rPr>
                <w:rFonts w:ascii="Times New Roman"/>
                <w:sz w:val="18"/>
              </w:rPr>
              <w:t>0.37</w:t>
            </w:r>
          </w:p>
        </w:tc>
      </w:tr>
      <w:tr>
        <w:trPr>
          <w:trHeight w:val="716"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12,624,2</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89.27</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22,643,</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330.39</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35,267,61</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9.66</w:t>
            </w:r>
          </w:p>
        </w:tc>
      </w:tr>
      <w:tr>
        <w:trPr>
          <w:trHeight w:val="713"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1,427,8</w:t>
            </w:r>
          </w:p>
          <w:p>
            <w:pPr>
              <w:pStyle w:val="TableParagraph"/>
              <w:spacing w:line="240" w:lineRule="auto" w:before="102"/>
              <w:ind w:left="159" w:right="0"/>
              <w:jc w:val="center"/>
              <w:rPr>
                <w:rFonts w:ascii="Times New Roman" w:hAnsi="Times New Roman" w:cs="Times New Roman" w:eastAsia="Times New Roman" w:hint="default"/>
                <w:sz w:val="18"/>
                <w:szCs w:val="18"/>
              </w:rPr>
            </w:pPr>
            <w:r>
              <w:rPr>
                <w:rFonts w:ascii="Times New Roman"/>
                <w:sz w:val="18"/>
              </w:rPr>
              <w:t>98.00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28,708,9</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21.39</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30,136,81</w:t>
            </w:r>
          </w:p>
          <w:p>
            <w:pPr>
              <w:pStyle w:val="TableParagraph"/>
              <w:spacing w:line="240" w:lineRule="auto" w:before="102"/>
              <w:ind w:left="515" w:right="0"/>
              <w:jc w:val="left"/>
              <w:rPr>
                <w:rFonts w:ascii="Times New Roman" w:hAnsi="Times New Roman" w:cs="Times New Roman" w:eastAsia="Times New Roman" w:hint="default"/>
                <w:sz w:val="18"/>
                <w:szCs w:val="18"/>
              </w:rPr>
            </w:pPr>
            <w:r>
              <w:rPr>
                <w:rFonts w:ascii="Times New Roman"/>
                <w:sz w:val="18"/>
              </w:rPr>
              <w:t>9.39</w:t>
            </w:r>
          </w:p>
        </w:tc>
      </w:tr>
      <w:tr>
        <w:trPr>
          <w:trHeight w:val="715"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1,427,8</w:t>
            </w:r>
          </w:p>
          <w:p>
            <w:pPr>
              <w:pStyle w:val="TableParagraph"/>
              <w:spacing w:line="240" w:lineRule="auto" w:before="105"/>
              <w:ind w:left="159" w:right="0"/>
              <w:jc w:val="center"/>
              <w:rPr>
                <w:rFonts w:ascii="Times New Roman" w:hAnsi="Times New Roman" w:cs="Times New Roman" w:eastAsia="Times New Roman" w:hint="default"/>
                <w:sz w:val="18"/>
                <w:szCs w:val="18"/>
              </w:rPr>
            </w:pPr>
            <w:r>
              <w:rPr>
                <w:rFonts w:ascii="Times New Roman"/>
                <w:sz w:val="18"/>
              </w:rPr>
              <w:t>98.00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28,708,9</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21.39</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30,136,81</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9.39</w:t>
            </w:r>
          </w:p>
        </w:tc>
      </w:tr>
      <w:tr>
        <w:trPr>
          <w:trHeight w:val="401"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8"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2,264,33</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3.04</w:t>
            </w:r>
          </w:p>
        </w:tc>
        <w:tc>
          <w:tcPr>
            <w:tcW w:w="615"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-8,300,</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631.72</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-6,036,298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.68</w:t>
            </w:r>
          </w:p>
        </w:tc>
      </w:tr>
      <w:tr>
        <w:trPr>
          <w:trHeight w:val="394"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713"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2,264,33</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3.04</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-2,264,</w:t>
            </w:r>
          </w:p>
          <w:p>
            <w:pPr>
              <w:pStyle w:val="TableParagraph"/>
              <w:spacing w:line="240" w:lineRule="auto" w:before="102"/>
              <w:ind w:left="88" w:right="0"/>
              <w:jc w:val="left"/>
              <w:rPr>
                <w:rFonts w:ascii="Times New Roman" w:hAnsi="Times New Roman" w:cs="Times New Roman" w:eastAsia="Times New Roman" w:hint="default"/>
                <w:sz w:val="18"/>
                <w:szCs w:val="18"/>
              </w:rPr>
            </w:pPr>
            <w:r>
              <w:rPr>
                <w:rFonts w:ascii="Times New Roman"/>
                <w:sz w:val="18"/>
              </w:rPr>
              <w:t>333.04</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9"/>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-6,036,</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298.68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-6,036,298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.68</w:t>
            </w:r>
          </w:p>
        </w:tc>
      </w:tr>
      <w:tr>
        <w:trPr>
          <w:trHeight w:val="401"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130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w:t>
            </w:r>
          </w:p>
        </w:tc>
        <w:tc>
          <w:tcPr>
            <w:tcW w:w="629"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8"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615"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
        </w:tc>
      </w:tr>
      <w:tr>
        <w:trPr>
          <w:trHeight w:val="306" w:hRule="exact"/>
        </w:trPr>
        <w:tc>
          <w:tcPr>
            <w:tcW w:w="13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增资本（或股</w:t>
            </w:r>
          </w:p>
        </w:tc>
        <w:tc>
          <w:tcPr>
            <w:tcW w:w="629"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360" w:hRule="exact"/>
        </w:trPr>
        <w:tc>
          <w:tcPr>
            <w:tcW w:w="130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629"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360" w:hRule="exact"/>
        </w:trPr>
        <w:tc>
          <w:tcPr>
            <w:tcW w:w="130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w:t>
            </w:r>
          </w:p>
        </w:tc>
        <w:tc>
          <w:tcPr>
            <w:tcW w:w="629"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8"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615"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
        </w:tc>
      </w:tr>
      <w:tr>
        <w:trPr>
          <w:trHeight w:val="307" w:hRule="exact"/>
        </w:trPr>
        <w:tc>
          <w:tcPr>
            <w:tcW w:w="13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增资本（或股</w:t>
            </w:r>
          </w:p>
        </w:tc>
        <w:tc>
          <w:tcPr>
            <w:tcW w:w="629"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357" w:hRule="exact"/>
        </w:trPr>
        <w:tc>
          <w:tcPr>
            <w:tcW w:w="130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629"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716"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30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w:t>
            </w:r>
          </w:p>
        </w:tc>
        <w:tc>
          <w:tcPr>
            <w:tcW w:w="629"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8"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615"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
        </w:tc>
      </w:tr>
      <w:tr>
        <w:trPr>
          <w:trHeight w:val="307" w:hRule="exact"/>
        </w:trPr>
        <w:tc>
          <w:tcPr>
            <w:tcW w:w="13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划变动额结转</w:t>
            </w:r>
          </w:p>
        </w:tc>
        <w:tc>
          <w:tcPr>
            <w:tcW w:w="629"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357" w:hRule="exact"/>
        </w:trPr>
        <w:tc>
          <w:tcPr>
            <w:tcW w:w="130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629"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361" w:hRule="exact"/>
        </w:trPr>
        <w:tc>
          <w:tcPr>
            <w:tcW w:w="130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w:t>
            </w:r>
          </w:p>
        </w:tc>
        <w:tc>
          <w:tcPr>
            <w:tcW w:w="629"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8"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615"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
        </w:tc>
      </w:tr>
      <w:tr>
        <w:trPr>
          <w:trHeight w:val="306" w:hRule="exact"/>
        </w:trPr>
        <w:tc>
          <w:tcPr>
            <w:tcW w:w="13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益结转留存收</w:t>
            </w:r>
          </w:p>
        </w:tc>
        <w:tc>
          <w:tcPr>
            <w:tcW w:w="629"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360" w:hRule="exact"/>
        </w:trPr>
        <w:tc>
          <w:tcPr>
            <w:tcW w:w="130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629"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202,09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2,093.0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767,215,</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783.50</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4,886,76</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0.81</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38,866,7</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96.78</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238,42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4,470.1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1,251,485,</w:t>
            </w:r>
          </w:p>
          <w:p>
            <w:pPr>
              <w:pStyle w:val="TableParagraph"/>
              <w:spacing w:line="240" w:lineRule="auto" w:before="102"/>
              <w:ind w:left="335" w:right="0"/>
              <w:jc w:val="left"/>
              <w:rPr>
                <w:rFonts w:ascii="Times New Roman" w:hAnsi="Times New Roman" w:cs="Times New Roman" w:eastAsia="Times New Roman" w:hint="default"/>
                <w:sz w:val="18"/>
                <w:szCs w:val="18"/>
              </w:rPr>
            </w:pPr>
            <w:r>
              <w:rPr>
                <w:rFonts w:ascii="Times New Roman"/>
                <w:sz w:val="18"/>
              </w:rPr>
              <w:t>904.26</w:t>
            </w:r>
          </w:p>
        </w:tc>
      </w:tr>
    </w:tbl>
    <w:p>
      <w:pPr>
        <w:pStyle w:val="BodyText"/>
        <w:spacing w:line="240" w:lineRule="auto" w:before="49"/>
        <w:ind w:right="1133"/>
        <w:jc w:val="left"/>
      </w:pPr>
      <w:r>
        <w:rPr/>
        <w:t>上期金额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20"/>
        <w:gridCol w:w="593"/>
        <w:gridCol w:w="574"/>
        <w:gridCol w:w="572"/>
        <w:gridCol w:w="571"/>
        <w:gridCol w:w="686"/>
        <w:gridCol w:w="686"/>
        <w:gridCol w:w="684"/>
        <w:gridCol w:w="782"/>
        <w:gridCol w:w="665"/>
        <w:gridCol w:w="797"/>
        <w:gridCol w:w="797"/>
        <w:gridCol w:w="931"/>
      </w:tblGrid>
      <w:tr>
        <w:trPr>
          <w:trHeight w:val="398" w:hRule="exact"/>
        </w:trPr>
        <w:tc>
          <w:tcPr>
            <w:tcW w:w="1220" w:type="dxa"/>
            <w:vMerge w:val="restart"/>
            <w:tcBorders>
              <w:top w:val="single" w:sz="4" w:space="0" w:color="000000"/>
              <w:left w:val="single" w:sz="4" w:space="0" w:color="000000"/>
              <w:right w:val="single" w:sz="4" w:space="0" w:color="FFFFFF"/>
            </w:tcBorders>
            <w:shd w:val="clear" w:color="auto" w:fill="D2D2D2"/>
          </w:tcPr>
          <w:p>
            <w:pPr/>
          </w:p>
        </w:tc>
        <w:tc>
          <w:tcPr>
            <w:tcW w:w="8339" w:type="dxa"/>
            <w:gridSpan w:val="12"/>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189" w:hRule="exact"/>
        </w:trPr>
        <w:tc>
          <w:tcPr>
            <w:tcW w:w="1220" w:type="dxa"/>
            <w:vMerge/>
            <w:tcBorders>
              <w:left w:val="single" w:sz="4" w:space="0" w:color="000000"/>
              <w:bottom w:val="nil" w:sz="6" w:space="0" w:color="auto"/>
              <w:right w:val="single" w:sz="4" w:space="0" w:color="FFFFFF"/>
            </w:tcBorders>
            <w:shd w:val="clear" w:color="auto" w:fill="D2D2D2"/>
          </w:tcPr>
          <w:p>
            <w:pPr/>
          </w:p>
        </w:tc>
        <w:tc>
          <w:tcPr>
            <w:tcW w:w="593" w:type="dxa"/>
            <w:vMerge w:val="restart"/>
            <w:tcBorders>
              <w:top w:val="single" w:sz="4" w:space="0" w:color="000000"/>
              <w:left w:val="single" w:sz="4" w:space="0" w:color="FFFFFF"/>
              <w:right w:val="single" w:sz="4" w:space="0" w:color="000000"/>
            </w:tcBorders>
            <w:shd w:val="clear" w:color="auto" w:fill="D2D2D2"/>
          </w:tcPr>
          <w:p>
            <w:pPr/>
          </w:p>
        </w:tc>
        <w:tc>
          <w:tcPr>
            <w:tcW w:w="17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vMerge w:val="restart"/>
            <w:tcBorders>
              <w:top w:val="single" w:sz="4" w:space="0" w:color="000000"/>
              <w:left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220"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26"/>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93" w:type="dxa"/>
            <w:vMerge/>
            <w:tcBorders>
              <w:left w:val="single" w:sz="4" w:space="0" w:color="FFFFFF"/>
              <w:bottom w:val="nil" w:sz="6" w:space="0" w:color="auto"/>
              <w:right w:val="single" w:sz="4" w:space="0" w:color="000000"/>
            </w:tcBorders>
            <w:shd w:val="clear" w:color="auto" w:fill="D2D2D2"/>
          </w:tcPr>
          <w:p>
            <w:pPr/>
          </w:p>
        </w:tc>
        <w:tc>
          <w:tcPr>
            <w:tcW w:w="1717" w:type="dxa"/>
            <w:gridSpan w:val="3"/>
            <w:vMerge/>
            <w:tcBorders>
              <w:left w:val="single" w:sz="4" w:space="0" w:color="000000"/>
              <w:bottom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4"/>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4"/>
              <w:ind w:left="304" w:right="32"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4"/>
              <w:ind w:left="189" w:right="98"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6" w:hRule="exact"/>
        </w:trPr>
        <w:tc>
          <w:tcPr>
            <w:tcW w:w="1220" w:type="dxa"/>
            <w:vMerge/>
            <w:tcBorders>
              <w:left w:val="single" w:sz="4" w:space="0" w:color="000000"/>
              <w:bottom w:val="nil" w:sz="6" w:space="0" w:color="auto"/>
              <w:right w:val="single" w:sz="4" w:space="0" w:color="FFFFFF"/>
            </w:tcBorders>
            <w:shd w:val="clear" w:color="auto" w:fill="D2D2D2"/>
          </w:tcPr>
          <w:p>
            <w:pPr/>
          </w:p>
        </w:tc>
        <w:tc>
          <w:tcPr>
            <w:tcW w:w="593" w:type="dxa"/>
            <w:vMerge w:val="restart"/>
            <w:tcBorders>
              <w:top w:val="nil" w:sz="6" w:space="0" w:color="auto"/>
              <w:left w:val="single" w:sz="4" w:space="0" w:color="FFFFFF"/>
              <w:right w:val="single" w:sz="4" w:space="0" w:color="000000"/>
            </w:tcBorders>
            <w:shd w:val="clear" w:color="auto" w:fill="D2D2D2"/>
          </w:tcPr>
          <w:p>
            <w:pPr>
              <w:pStyle w:val="TableParagraph"/>
              <w:spacing w:line="240" w:lineRule="auto" w:before="32"/>
              <w:ind w:left="11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94"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92" w:right="9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tcBorders>
              <w:left w:val="single" w:sz="4" w:space="0" w:color="000000"/>
              <w:right w:val="single" w:sz="4" w:space="0" w:color="000000"/>
            </w:tcBorders>
            <w:shd w:val="clear" w:color="auto" w:fill="D2D2D2"/>
          </w:tcPr>
          <w:p>
            <w:pPr/>
          </w:p>
        </w:tc>
      </w:tr>
      <w:tr>
        <w:trPr>
          <w:trHeight w:val="197" w:hRule="exact"/>
        </w:trPr>
        <w:tc>
          <w:tcPr>
            <w:tcW w:w="1220" w:type="dxa"/>
            <w:vMerge w:val="restart"/>
            <w:tcBorders>
              <w:top w:val="nil" w:sz="6" w:space="0" w:color="auto"/>
              <w:left w:val="single" w:sz="4" w:space="0" w:color="000000"/>
              <w:right w:val="single" w:sz="4" w:space="0" w:color="FFFFFF"/>
            </w:tcBorders>
            <w:shd w:val="clear" w:color="auto" w:fill="D2D2D2"/>
          </w:tcPr>
          <w:p>
            <w:pPr/>
          </w:p>
        </w:tc>
        <w:tc>
          <w:tcPr>
            <w:tcW w:w="593" w:type="dxa"/>
            <w:vMerge/>
            <w:tcBorders>
              <w:left w:val="single" w:sz="4" w:space="0" w:color="FFFFFF"/>
              <w:bottom w:val="nil" w:sz="6" w:space="0" w:color="auto"/>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right w:val="single" w:sz="4" w:space="0" w:color="000000"/>
            </w:tcBorders>
            <w:shd w:val="clear" w:color="auto" w:fill="D2D2D2"/>
          </w:tcPr>
          <w:p>
            <w:pPr/>
          </w:p>
        </w:tc>
      </w:tr>
      <w:tr>
        <w:trPr>
          <w:trHeight w:val="156" w:hRule="exact"/>
        </w:trPr>
        <w:tc>
          <w:tcPr>
            <w:tcW w:w="1220" w:type="dxa"/>
            <w:vMerge/>
            <w:tcBorders>
              <w:left w:val="single" w:sz="4" w:space="0" w:color="000000"/>
              <w:right w:val="single" w:sz="4" w:space="0" w:color="FFFFFF"/>
            </w:tcBorders>
            <w:shd w:val="clear" w:color="auto" w:fill="D2D2D2"/>
          </w:tcPr>
          <w:p>
            <w:pPr/>
          </w:p>
        </w:tc>
        <w:tc>
          <w:tcPr>
            <w:tcW w:w="593" w:type="dxa"/>
            <w:vMerge w:val="restart"/>
            <w:tcBorders>
              <w:top w:val="nil" w:sz="6" w:space="0" w:color="auto"/>
              <w:left w:val="single" w:sz="4" w:space="0" w:color="FFFFFF"/>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220" w:type="dxa"/>
            <w:vMerge/>
            <w:tcBorders>
              <w:left w:val="single" w:sz="4" w:space="0" w:color="000000"/>
              <w:bottom w:val="single" w:sz="4" w:space="0" w:color="000000"/>
              <w:right w:val="single" w:sz="4" w:space="0" w:color="FFFFFF"/>
            </w:tcBorders>
            <w:shd w:val="clear" w:color="auto" w:fill="D2D2D2"/>
          </w:tcPr>
          <w:p>
            <w:pPr/>
          </w:p>
        </w:tc>
        <w:tc>
          <w:tcPr>
            <w:tcW w:w="593" w:type="dxa"/>
            <w:vMerge/>
            <w:tcBorders>
              <w:left w:val="single" w:sz="4" w:space="0" w:color="FFFFFF"/>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20" w:type="dxa"/>
            <w:tcBorders>
              <w:top w:val="single" w:sz="4" w:space="0" w:color="000000"/>
              <w:left w:val="single" w:sz="4" w:space="0" w:color="000000"/>
              <w:bottom w:val="nil" w:sz="6" w:space="0" w:color="auto"/>
              <w:right w:val="single" w:sz="4" w:space="0" w:color="FFFFFF"/>
            </w:tcBorders>
            <w:shd w:val="clear" w:color="auto" w:fill="D2D2D2"/>
          </w:tcPr>
          <w:p>
            <w:pPr/>
          </w:p>
        </w:tc>
        <w:tc>
          <w:tcPr>
            <w:tcW w:w="593" w:type="dxa"/>
            <w:vMerge w:val="restart"/>
            <w:tcBorders>
              <w:top w:val="single" w:sz="4" w:space="0" w:color="000000"/>
              <w:left w:val="single" w:sz="4" w:space="0" w:color="FFFFFF"/>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167,04</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6,173.</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765,229</w:t>
            </w:r>
          </w:p>
          <w:p>
            <w:pPr>
              <w:pStyle w:val="TableParagraph"/>
              <w:spacing w:line="240" w:lineRule="auto" w:before="102"/>
              <w:ind w:left="115" w:right="0"/>
              <w:jc w:val="left"/>
              <w:rPr>
                <w:rFonts w:ascii="Times New Roman" w:hAnsi="Times New Roman" w:cs="Times New Roman" w:eastAsia="Times New Roman" w:hint="default"/>
                <w:sz w:val="18"/>
                <w:szCs w:val="18"/>
              </w:rPr>
            </w:pPr>
            <w:r>
              <w:rPr>
                <w:rFonts w:ascii="Times New Roman"/>
                <w:sz w:val="18"/>
              </w:rPr>
              <w:t>,169.29</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33,491,</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703.38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199,426,1</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28.26</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1,165,193,1</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73.93</w:t>
            </w:r>
          </w:p>
        </w:tc>
      </w:tr>
      <w:tr>
        <w:trPr>
          <w:trHeight w:val="703" w:hRule="exact"/>
        </w:trPr>
        <w:tc>
          <w:tcPr>
            <w:tcW w:w="1220" w:type="dxa"/>
            <w:tcBorders>
              <w:top w:val="nil" w:sz="6" w:space="0" w:color="auto"/>
              <w:left w:val="single" w:sz="4" w:space="0" w:color="000000"/>
              <w:bottom w:val="nil" w:sz="6" w:space="0" w:color="auto"/>
              <w:right w:val="single" w:sz="4" w:space="0" w:color="FFFFFF"/>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vMerge/>
            <w:tcBorders>
              <w:left w:val="single" w:sz="4" w:space="0" w:color="FFFFFF"/>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20" w:type="dxa"/>
            <w:tcBorders>
              <w:top w:val="nil" w:sz="6" w:space="0" w:color="auto"/>
              <w:left w:val="single" w:sz="4" w:space="0" w:color="000000"/>
              <w:bottom w:val="single" w:sz="4" w:space="0" w:color="000000"/>
              <w:right w:val="single" w:sz="4" w:space="0" w:color="FFFFFF"/>
            </w:tcBorders>
            <w:shd w:val="clear" w:color="auto" w:fill="D2D2D2"/>
          </w:tcPr>
          <w:p>
            <w:pPr/>
          </w:p>
        </w:tc>
        <w:tc>
          <w:tcPr>
            <w:tcW w:w="593" w:type="dxa"/>
            <w:vMerge/>
            <w:tcBorders>
              <w:left w:val="single" w:sz="4" w:space="0" w:color="FFFFFF"/>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715" w:hRule="exact"/>
        </w:trPr>
        <w:tc>
          <w:tcPr>
            <w:tcW w:w="1220"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316"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593" w:type="dxa"/>
            <w:tcBorders>
              <w:top w:val="single" w:sz="4" w:space="0" w:color="000000"/>
              <w:left w:val="single" w:sz="4" w:space="0" w:color="FFFFFF"/>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20"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93" w:type="dxa"/>
            <w:tcBorders>
              <w:top w:val="single" w:sz="4" w:space="0" w:color="000000"/>
              <w:left w:val="single" w:sz="4" w:space="0" w:color="FFFFFF"/>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0"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93" w:type="dxa"/>
            <w:tcBorders>
              <w:top w:val="single" w:sz="4" w:space="0" w:color="000000"/>
              <w:left w:val="single" w:sz="4" w:space="0" w:color="FFFFFF"/>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60.313999pt;margin-top:405.175598pt;width:471.3pt;height:50.7pt;mso-position-horizontal-relative:page;mso-position-vertical-relative:page;z-index:27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54"/>
                    <w:gridCol w:w="3256"/>
                    <w:gridCol w:w="1172"/>
                    <w:gridCol w:w="1243"/>
                  </w:tblGrid>
                  <w:tr>
                    <w:trPr>
                      <w:trHeight w:val="351" w:hRule="exact"/>
                    </w:trPr>
                    <w:tc>
                      <w:tcPr>
                        <w:tcW w:w="375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pacing w:val="-11"/>
                            <w:sz w:val="18"/>
                            <w:szCs w:val="18"/>
                          </w:rPr>
                          <w:t>（三）利润分</w:t>
                        </w:r>
                      </w:p>
                    </w:tc>
                    <w:tc>
                      <w:tcPr>
                        <w:tcW w:w="325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43"/>
                          <w:jc w:val="right"/>
                          <w:rPr>
                            <w:rFonts w:ascii="Times New Roman" w:hAnsi="Times New Roman" w:cs="Times New Roman" w:eastAsia="Times New Roman" w:hint="default"/>
                            <w:sz w:val="18"/>
                            <w:szCs w:val="18"/>
                          </w:rPr>
                        </w:pPr>
                        <w:r>
                          <w:rPr>
                            <w:rFonts w:ascii="Times New Roman"/>
                            <w:sz w:val="18"/>
                          </w:rPr>
                          <w:t>2,528</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43" w:right="0"/>
                          <w:jc w:val="left"/>
                          <w:rPr>
                            <w:rFonts w:ascii="Times New Roman" w:hAnsi="Times New Roman" w:cs="Times New Roman" w:eastAsia="Times New Roman" w:hint="default"/>
                            <w:sz w:val="18"/>
                            <w:szCs w:val="18"/>
                          </w:rPr>
                        </w:pPr>
                        <w:r>
                          <w:rPr>
                            <w:rFonts w:ascii="Times New Roman"/>
                            <w:sz w:val="18"/>
                          </w:rPr>
                          <w:t>-5,869,</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pacing w:val="-1"/>
                            <w:sz w:val="18"/>
                          </w:rPr>
                          <w:t>-3,341,19</w:t>
                        </w:r>
                      </w:p>
                    </w:tc>
                  </w:tr>
                  <w:tr>
                    <w:trPr>
                      <w:trHeight w:val="317" w:hRule="exact"/>
                    </w:trPr>
                    <w:tc>
                      <w:tcPr>
                        <w:tcW w:w="3754"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配</w:t>
                        </w:r>
                      </w:p>
                    </w:tc>
                    <w:tc>
                      <w:tcPr>
                        <w:tcW w:w="325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43"/>
                          <w:jc w:val="right"/>
                          <w:rPr>
                            <w:rFonts w:ascii="Times New Roman" w:hAnsi="Times New Roman" w:cs="Times New Roman" w:eastAsia="Times New Roman" w:hint="default"/>
                            <w:sz w:val="18"/>
                            <w:szCs w:val="18"/>
                          </w:rPr>
                        </w:pPr>
                        <w:r>
                          <w:rPr>
                            <w:rFonts w:ascii="Times New Roman"/>
                            <w:sz w:val="18"/>
                          </w:rPr>
                          <w:t>,087.</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58" w:right="0"/>
                          <w:jc w:val="left"/>
                          <w:rPr>
                            <w:rFonts w:ascii="Times New Roman" w:hAnsi="Times New Roman" w:cs="Times New Roman" w:eastAsia="Times New Roman" w:hint="default"/>
                            <w:sz w:val="18"/>
                            <w:szCs w:val="18"/>
                          </w:rPr>
                        </w:pPr>
                        <w:r>
                          <w:rPr>
                            <w:rFonts w:ascii="Times New Roman"/>
                            <w:sz w:val="18"/>
                          </w:rPr>
                          <w:t>287.44</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Times New Roman" w:hAnsi="Times New Roman" w:cs="Times New Roman" w:eastAsia="Times New Roman" w:hint="default"/>
                            <w:sz w:val="18"/>
                            <w:szCs w:val="18"/>
                          </w:rPr>
                        </w:pPr>
                        <w:r>
                          <w:rPr>
                            <w:rFonts w:ascii="Times New Roman"/>
                            <w:spacing w:val="-1"/>
                            <w:sz w:val="18"/>
                          </w:rPr>
                          <w:t>9.95</w:t>
                        </w:r>
                      </w:p>
                    </w:tc>
                  </w:tr>
                  <w:tr>
                    <w:trPr>
                      <w:trHeight w:val="346" w:hRule="exact"/>
                    </w:trPr>
                    <w:tc>
                      <w:tcPr>
                        <w:tcW w:w="3754" w:type="dxa"/>
                        <w:tcBorders>
                          <w:top w:val="nil" w:sz="6" w:space="0" w:color="auto"/>
                          <w:left w:val="nil" w:sz="6" w:space="0" w:color="auto"/>
                          <w:bottom w:val="nil" w:sz="6" w:space="0" w:color="auto"/>
                          <w:right w:val="nil" w:sz="6" w:space="0" w:color="auto"/>
                        </w:tcBorders>
                      </w:tcPr>
                      <w:p>
                        <w:pPr/>
                      </w:p>
                    </w:tc>
                    <w:tc>
                      <w:tcPr>
                        <w:tcW w:w="325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43"/>
                          <w:jc w:val="right"/>
                          <w:rPr>
                            <w:rFonts w:ascii="Times New Roman" w:hAnsi="Times New Roman" w:cs="Times New Roman" w:eastAsia="Times New Roman" w:hint="default"/>
                            <w:sz w:val="18"/>
                            <w:szCs w:val="18"/>
                          </w:rPr>
                        </w:pPr>
                        <w:r>
                          <w:rPr>
                            <w:rFonts w:ascii="Times New Roman"/>
                            <w:sz w:val="18"/>
                          </w:rPr>
                          <w:t>49</w:t>
                        </w:r>
                      </w:p>
                    </w:tc>
                    <w:tc>
                      <w:tcPr>
                        <w:tcW w:w="1172"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167,04</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6,173.</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765,229</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,169.29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33,491,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703.38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199,426,1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28.26</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1,165,193,1</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73.93</w:t>
            </w: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33,618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,022.0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-26,722,</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307.18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2,528,0</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87.49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19,411,58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7.42</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28,835,389.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73</w:t>
            </w:r>
          </w:p>
        </w:tc>
      </w:tr>
      <w:tr>
        <w:trPr>
          <w:trHeight w:val="360"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85"/>
                <w:sz w:val="18"/>
                <w:szCs w:val="18"/>
              </w:rPr>
              <w:t>）</w:t>
            </w:r>
            <w:r>
              <w:rPr>
                <w:rFonts w:ascii="宋体" w:hAnsi="宋体" w:cs="宋体" w:eastAsia="宋体" w:hint="default"/>
                <w:sz w:val="18"/>
                <w:szCs w:val="18"/>
              </w:rPr>
              <w:t>综合收益</w:t>
            </w:r>
          </w:p>
        </w:tc>
        <w:tc>
          <w:tcPr>
            <w:tcW w:w="593" w:type="dxa"/>
            <w:vMerge w:val="restart"/>
            <w:tcBorders>
              <w:top w:val="single" w:sz="4" w:space="0" w:color="000000"/>
              <w:left w:val="single" w:sz="4" w:space="0" w:color="000000"/>
              <w:right w:val="single" w:sz="4" w:space="0" w:color="000000"/>
            </w:tcBorders>
          </w:tcPr>
          <w:p>
            <w:pP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25,280,87</w:t>
            </w:r>
          </w:p>
        </w:tc>
        <w:tc>
          <w:tcPr>
            <w:tcW w:w="797" w:type="dxa"/>
            <w:vMerge w:val="restart"/>
            <w:tcBorders>
              <w:top w:val="single" w:sz="4" w:space="0" w:color="000000"/>
              <w:left w:val="single" w:sz="4" w:space="0" w:color="000000"/>
              <w:right w:val="single" w:sz="4" w:space="0" w:color="000000"/>
            </w:tcBorders>
          </w:tcPr>
          <w:p>
            <w:pPr/>
          </w:p>
        </w:tc>
        <w:tc>
          <w:tcPr>
            <w:tcW w:w="93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25,280,874.</w:t>
            </w:r>
          </w:p>
        </w:tc>
      </w:tr>
      <w:tr>
        <w:trPr>
          <w:trHeight w:val="353"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593" w:type="dxa"/>
            <w:vMerge/>
            <w:tcBorders>
              <w:left w:val="single" w:sz="4" w:space="0" w:color="000000"/>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4.86</w:t>
            </w:r>
          </w:p>
        </w:tc>
        <w:tc>
          <w:tcPr>
            <w:tcW w:w="797" w:type="dxa"/>
            <w:vMerge/>
            <w:tcBorders>
              <w:left w:val="single" w:sz="4" w:space="0" w:color="000000"/>
              <w:bottom w:val="single" w:sz="4" w:space="0" w:color="000000"/>
              <w:right w:val="single" w:sz="4" w:space="0" w:color="000000"/>
            </w:tcBorders>
          </w:tcPr>
          <w:p>
            <w:pPr/>
          </w:p>
        </w:tc>
        <w:tc>
          <w:tcPr>
            <w:tcW w:w="93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86</w:t>
            </w:r>
          </w:p>
        </w:tc>
      </w:tr>
      <w:tr>
        <w:trPr>
          <w:trHeight w:val="361"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5"/>
                <w:sz w:val="18"/>
                <w:szCs w:val="18"/>
              </w:rPr>
              <w:t>）</w:t>
            </w:r>
            <w:r>
              <w:rPr>
                <w:rFonts w:ascii="宋体" w:hAnsi="宋体" w:cs="宋体" w:eastAsia="宋体" w:hint="default"/>
                <w:sz w:val="18"/>
                <w:szCs w:val="18"/>
              </w:rPr>
              <w:t>所有者投</w:t>
            </w:r>
          </w:p>
        </w:tc>
        <w:tc>
          <w:tcPr>
            <w:tcW w:w="5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204,62</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6,691,0</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93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6,895,714.8</w:t>
            </w:r>
          </w:p>
        </w:tc>
      </w:tr>
      <w:tr>
        <w:trPr>
          <w:trHeight w:val="354"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入和减少资本</w:t>
            </w:r>
          </w:p>
        </w:tc>
        <w:tc>
          <w:tcPr>
            <w:tcW w:w="5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pacing w:val="-1"/>
                <w:sz w:val="18"/>
              </w:rPr>
              <w:t>2.00</w:t>
            </w: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z w:val="18"/>
              </w:rPr>
              <w:t>92.82</w:t>
            </w: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2</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w:t>
            </w:r>
          </w:p>
        </w:tc>
        <w:tc>
          <w:tcPr>
            <w:tcW w:w="593" w:type="dxa"/>
            <w:vMerge w:val="restart"/>
            <w:tcBorders>
              <w:top w:val="single" w:sz="4" w:space="0" w:color="000000"/>
              <w:left w:val="single" w:sz="4" w:space="0" w:color="000000"/>
              <w:right w:val="single" w:sz="4" w:space="0" w:color="000000"/>
            </w:tcBorders>
          </w:tcPr>
          <w:p>
            <w:pP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
        </w:tc>
      </w:tr>
      <w:tr>
        <w:trPr>
          <w:trHeight w:val="306" w:hRule="exact"/>
        </w:trPr>
        <w:tc>
          <w:tcPr>
            <w:tcW w:w="1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具持有者投入</w:t>
            </w:r>
          </w:p>
        </w:tc>
        <w:tc>
          <w:tcPr>
            <w:tcW w:w="593"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360"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593" w:type="dxa"/>
            <w:vMerge/>
            <w:tcBorders>
              <w:left w:val="single" w:sz="4" w:space="0" w:color="000000"/>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204,62</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2.00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6,691,0</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92.82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6,895,714.8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404"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361" w:hRule="exact"/>
        </w:trPr>
        <w:tc>
          <w:tcPr>
            <w:tcW w:w="1230"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w:t>
            </w:r>
          </w:p>
        </w:tc>
        <w:tc>
          <w:tcPr>
            <w:tcW w:w="593" w:type="dxa"/>
            <w:vMerge w:val="restart"/>
            <w:tcBorders>
              <w:top w:val="single" w:sz="4" w:space="0" w:color="000000"/>
              <w:left w:val="single" w:sz="4" w:space="0" w:color="000000"/>
              <w:right w:val="single" w:sz="4" w:space="0" w:color="000000"/>
            </w:tcBorders>
          </w:tcPr>
          <w:p>
            <w:pP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2,528</w:t>
            </w: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-2,528,</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
        </w:tc>
      </w:tr>
      <w:tr>
        <w:trPr>
          <w:trHeight w:val="316" w:hRule="exact"/>
        </w:trPr>
        <w:tc>
          <w:tcPr>
            <w:tcW w:w="123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公积</w:t>
            </w:r>
          </w:p>
        </w:tc>
        <w:tc>
          <w:tcPr>
            <w:tcW w:w="593"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,087.</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spacing w:val="-1"/>
                <w:sz w:val="18"/>
              </w:rPr>
              <w:t>087.49</w:t>
            </w: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350" w:hRule="exact"/>
        </w:trPr>
        <w:tc>
          <w:tcPr>
            <w:tcW w:w="1230" w:type="dxa"/>
            <w:tcBorders>
              <w:top w:val="nil" w:sz="6" w:space="0" w:color="auto"/>
              <w:left w:val="single" w:sz="4" w:space="0" w:color="000000"/>
              <w:bottom w:val="single" w:sz="4" w:space="0" w:color="000000"/>
              <w:right w:val="single" w:sz="4" w:space="0" w:color="000000"/>
            </w:tcBorders>
            <w:shd w:val="clear" w:color="auto" w:fill="D9D9D9"/>
          </w:tcPr>
          <w:p>
            <w:pPr/>
          </w:p>
        </w:tc>
        <w:tc>
          <w:tcPr>
            <w:tcW w:w="593" w:type="dxa"/>
            <w:vMerge/>
            <w:tcBorders>
              <w:left w:val="single" w:sz="4" w:space="0" w:color="000000"/>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360" w:hRule="exact"/>
        </w:trPr>
        <w:tc>
          <w:tcPr>
            <w:tcW w:w="1230"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w:t>
            </w:r>
          </w:p>
        </w:tc>
        <w:tc>
          <w:tcPr>
            <w:tcW w:w="593" w:type="dxa"/>
            <w:vMerge w:val="restart"/>
            <w:tcBorders>
              <w:top w:val="single" w:sz="4" w:space="0" w:color="000000"/>
              <w:left w:val="single" w:sz="4" w:space="0" w:color="000000"/>
              <w:right w:val="single" w:sz="4" w:space="0" w:color="000000"/>
            </w:tcBorders>
          </w:tcPr>
          <w:p>
            <w:pP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-3,341,</w:t>
            </w:r>
          </w:p>
        </w:tc>
        <w:tc>
          <w:tcPr>
            <w:tcW w:w="797" w:type="dxa"/>
            <w:vMerge w:val="restart"/>
            <w:tcBorders>
              <w:top w:val="single" w:sz="4" w:space="0" w:color="000000"/>
              <w:left w:val="single" w:sz="4" w:space="0" w:color="000000"/>
              <w:right w:val="single" w:sz="4" w:space="0" w:color="000000"/>
            </w:tcBorders>
          </w:tcPr>
          <w:p>
            <w:pPr/>
          </w:p>
        </w:tc>
        <w:tc>
          <w:tcPr>
            <w:tcW w:w="93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-3,341,19</w:t>
            </w:r>
          </w:p>
        </w:tc>
      </w:tr>
      <w:tr>
        <w:trPr>
          <w:trHeight w:val="312" w:hRule="exact"/>
        </w:trPr>
        <w:tc>
          <w:tcPr>
            <w:tcW w:w="123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pacing w:val="-11"/>
                <w:sz w:val="18"/>
                <w:szCs w:val="18"/>
              </w:rPr>
              <w:t>（或股东）的</w:t>
            </w:r>
          </w:p>
        </w:tc>
        <w:tc>
          <w:tcPr>
            <w:tcW w:w="593"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199.95</w:t>
            </w:r>
          </w:p>
        </w:tc>
        <w:tc>
          <w:tcPr>
            <w:tcW w:w="797" w:type="dxa"/>
            <w:vMerge/>
            <w:tcBorders>
              <w:left w:val="single" w:sz="4" w:space="0" w:color="000000"/>
              <w:right w:val="single" w:sz="4" w:space="0" w:color="000000"/>
            </w:tcBorders>
          </w:tcPr>
          <w:p>
            <w:pPr/>
          </w:p>
        </w:tc>
        <w:tc>
          <w:tcPr>
            <w:tcW w:w="93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pacing w:val="-1"/>
                <w:sz w:val="18"/>
              </w:rPr>
              <w:t>9.95</w:t>
            </w:r>
          </w:p>
        </w:tc>
      </w:tr>
      <w:tr>
        <w:trPr>
          <w:trHeight w:val="353" w:hRule="exact"/>
        </w:trPr>
        <w:tc>
          <w:tcPr>
            <w:tcW w:w="1230"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593" w:type="dxa"/>
            <w:vMerge/>
            <w:tcBorders>
              <w:left w:val="single" w:sz="4" w:space="0" w:color="000000"/>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tcBorders>
              <w:top w:val="nil" w:sz="6" w:space="0" w:color="auto"/>
              <w:left w:val="single" w:sz="4" w:space="0" w:color="000000"/>
              <w:bottom w:val="single" w:sz="4" w:space="0" w:color="000000"/>
              <w:right w:val="single" w:sz="4" w:space="0" w:color="000000"/>
            </w:tcBorders>
          </w:tcPr>
          <w:p>
            <w:pPr/>
          </w:p>
        </w:tc>
      </w:tr>
      <w:tr>
        <w:trPr>
          <w:trHeight w:val="404" w:hRule="exact"/>
        </w:trPr>
        <w:tc>
          <w:tcPr>
            <w:tcW w:w="1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230"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pacing w:val="-11"/>
                <w:sz w:val="18"/>
                <w:szCs w:val="18"/>
              </w:rPr>
              <w:t>（四）所有者</w:t>
            </w:r>
          </w:p>
        </w:tc>
        <w:tc>
          <w:tcPr>
            <w:tcW w:w="5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33,4</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-33,41</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
        </w:tc>
      </w:tr>
      <w:tr>
        <w:trPr>
          <w:trHeight w:val="312" w:hRule="exact"/>
        </w:trPr>
        <w:tc>
          <w:tcPr>
            <w:tcW w:w="123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权益内部结</w:t>
            </w:r>
          </w:p>
        </w:tc>
        <w:tc>
          <w:tcPr>
            <w:tcW w:w="59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13,4</w:t>
            </w: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3,400.</w:t>
            </w: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317" w:hRule="exact"/>
        </w:trPr>
        <w:tc>
          <w:tcPr>
            <w:tcW w:w="123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转</w:t>
            </w:r>
          </w:p>
        </w:tc>
        <w:tc>
          <w:tcPr>
            <w:tcW w:w="59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00.0</w:t>
            </w: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z w:val="18"/>
              </w:rPr>
              <w:t>00</w:t>
            </w: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348" w:hRule="exact"/>
        </w:trPr>
        <w:tc>
          <w:tcPr>
            <w:tcW w:w="1230" w:type="dxa"/>
            <w:tcBorders>
              <w:top w:val="nil" w:sz="6" w:space="0" w:color="auto"/>
              <w:left w:val="single" w:sz="4" w:space="0" w:color="000000"/>
              <w:bottom w:val="single" w:sz="4" w:space="0" w:color="000000"/>
              <w:right w:val="single" w:sz="4" w:space="0" w:color="000000"/>
            </w:tcBorders>
            <w:shd w:val="clear" w:color="auto" w:fill="D9D9D9"/>
          </w:tcPr>
          <w:p>
            <w:pPr/>
          </w:p>
        </w:tc>
        <w:tc>
          <w:tcPr>
            <w:tcW w:w="5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z w:val="18"/>
              </w:rPr>
              <w:t>0</w:t>
            </w: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361" w:hRule="exact"/>
        </w:trPr>
        <w:tc>
          <w:tcPr>
            <w:tcW w:w="1230"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w:t>
            </w:r>
          </w:p>
        </w:tc>
        <w:tc>
          <w:tcPr>
            <w:tcW w:w="5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33,4</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-33,41</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
        </w:tc>
      </w:tr>
      <w:tr>
        <w:trPr>
          <w:trHeight w:val="311" w:hRule="exact"/>
        </w:trPr>
        <w:tc>
          <w:tcPr>
            <w:tcW w:w="123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pacing w:val="-11"/>
                <w:sz w:val="18"/>
                <w:szCs w:val="18"/>
              </w:rPr>
              <w:t>转增资本（或</w:t>
            </w:r>
          </w:p>
        </w:tc>
        <w:tc>
          <w:tcPr>
            <w:tcW w:w="59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13,4</w:t>
            </w: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3,400.</w:t>
            </w: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317" w:hRule="exact"/>
        </w:trPr>
        <w:tc>
          <w:tcPr>
            <w:tcW w:w="123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9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00.0</w:t>
            </w: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z w:val="18"/>
              </w:rPr>
              <w:t>00</w:t>
            </w: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350" w:hRule="exact"/>
        </w:trPr>
        <w:tc>
          <w:tcPr>
            <w:tcW w:w="1230" w:type="dxa"/>
            <w:tcBorders>
              <w:top w:val="nil" w:sz="6" w:space="0" w:color="auto"/>
              <w:left w:val="single" w:sz="4" w:space="0" w:color="000000"/>
              <w:bottom w:val="single" w:sz="4" w:space="0" w:color="000000"/>
              <w:right w:val="single" w:sz="4" w:space="0" w:color="000000"/>
            </w:tcBorders>
            <w:shd w:val="clear" w:color="auto" w:fill="D9D9D9"/>
          </w:tcPr>
          <w:p>
            <w:pPr/>
          </w:p>
        </w:tc>
        <w:tc>
          <w:tcPr>
            <w:tcW w:w="5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z w:val="18"/>
              </w:rPr>
              <w:t>0</w:t>
            </w: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360" w:hRule="exact"/>
        </w:trPr>
        <w:tc>
          <w:tcPr>
            <w:tcW w:w="1230"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w:t>
            </w:r>
          </w:p>
        </w:tc>
        <w:tc>
          <w:tcPr>
            <w:tcW w:w="593" w:type="dxa"/>
            <w:vMerge w:val="restart"/>
            <w:tcBorders>
              <w:top w:val="single" w:sz="4" w:space="0" w:color="000000"/>
              <w:left w:val="single" w:sz="4" w:space="0" w:color="000000"/>
              <w:right w:val="single" w:sz="4" w:space="0" w:color="000000"/>
            </w:tcBorders>
          </w:tcPr>
          <w:p>
            <w:pP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
        </w:tc>
      </w:tr>
      <w:tr>
        <w:trPr>
          <w:trHeight w:val="307" w:hRule="exact"/>
        </w:trPr>
        <w:tc>
          <w:tcPr>
            <w:tcW w:w="123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增资本（或股</w:t>
            </w:r>
          </w:p>
        </w:tc>
        <w:tc>
          <w:tcPr>
            <w:tcW w:w="593"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360" w:hRule="exact"/>
        </w:trPr>
        <w:tc>
          <w:tcPr>
            <w:tcW w:w="1230"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593" w:type="dxa"/>
            <w:vMerge/>
            <w:tcBorders>
              <w:left w:val="single" w:sz="4" w:space="0" w:color="000000"/>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200,66</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4,195.</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738,506</w:t>
            </w:r>
          </w:p>
          <w:p>
            <w:pPr>
              <w:pStyle w:val="TableParagraph"/>
              <w:spacing w:line="240" w:lineRule="auto" w:before="105"/>
              <w:ind w:left="122" w:right="0"/>
              <w:jc w:val="left"/>
              <w:rPr>
                <w:rFonts w:ascii="Times New Roman" w:hAnsi="Times New Roman" w:cs="Times New Roman" w:eastAsia="Times New Roman" w:hint="default"/>
                <w:sz w:val="18"/>
                <w:szCs w:val="18"/>
              </w:rPr>
            </w:pPr>
            <w:r>
              <w:rPr>
                <w:rFonts w:ascii="Times New Roman"/>
                <w:spacing w:val="-3"/>
                <w:sz w:val="18"/>
              </w:rPr>
              <w:t>,862.11</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36,019,</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790.87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218,837,7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15.68</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1,194,028,5</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63.66</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1133"/>
        <w:jc w:val="left"/>
        <w:rPr>
          <w:b w:val="0"/>
          <w:bCs w:val="0"/>
        </w:rPr>
      </w:pPr>
      <w:r>
        <w:rPr/>
        <w:t>三、公司基本情况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1133"/>
        <w:jc w:val="left"/>
      </w:pPr>
      <w:r>
        <w:rPr/>
        <w:t>北京君正集成电路股份有限公司系由北京君正集成电路有限公司整体变更设立的股份有限公司。 公司经</w:t>
      </w:r>
      <w:r>
        <w:rPr>
          <w:rFonts w:ascii="Times New Roman" w:hAnsi="Times New Roman" w:cs="Times New Roman" w:eastAsia="Times New Roman" w:hint="default"/>
        </w:rPr>
        <w:t>2010</w:t>
      </w:r>
      <w:r>
        <w:rPr/>
        <w:t>年度股东大会决议，并经中国证券监督管理委员会证监许可</w:t>
      </w:r>
      <w:r>
        <w:rPr>
          <w:rFonts w:ascii="Times New Roman" w:hAnsi="Times New Roman" w:cs="Times New Roman" w:eastAsia="Times New Roman" w:hint="default"/>
        </w:rPr>
        <w:t>[2011]691</w:t>
      </w:r>
      <w:r>
        <w:rPr/>
        <w:t>号文《关于核准北京君正集成电路股</w:t>
      </w:r>
    </w:p>
    <w:p>
      <w:pPr>
        <w:pStyle w:val="BodyText"/>
        <w:spacing w:line="300" w:lineRule="auto"/>
        <w:ind w:left="513" w:right="1135" w:hanging="361"/>
        <w:jc w:val="left"/>
      </w:pPr>
      <w:r>
        <w:rPr/>
        <w:t>份有限公司首次公开发行股票并在创业板上市的批复》核准，公司于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日在深圳创业板上市交易。 公司营业执照统一社会信用代码为</w:t>
      </w:r>
      <w:r>
        <w:rPr>
          <w:rFonts w:ascii="Times New Roman" w:hAnsi="Times New Roman" w:cs="Times New Roman" w:eastAsia="Times New Roman" w:hint="default"/>
        </w:rPr>
        <w:t>911100007776681570 </w:t>
      </w:r>
      <w:r>
        <w:rPr/>
        <w:t>公司注册地址为北京市海淀区西北旺东路</w:t>
      </w:r>
      <w:r>
        <w:rPr>
          <w:rFonts w:ascii="Times New Roman" w:hAnsi="Times New Roman" w:cs="Times New Roman" w:eastAsia="Times New Roman" w:hint="default"/>
        </w:rPr>
        <w:t>10</w:t>
      </w:r>
      <w:r>
        <w:rPr/>
        <w:t>号院东区</w:t>
      </w:r>
      <w:r>
        <w:rPr>
          <w:rFonts w:ascii="Times New Roman" w:hAnsi="Times New Roman" w:cs="Times New Roman" w:eastAsia="Times New Roman" w:hint="default"/>
        </w:rPr>
        <w:t>14</w:t>
      </w:r>
      <w:r>
        <w:rPr/>
        <w:t>号楼一层</w:t>
      </w:r>
      <w:r>
        <w:rPr>
          <w:rFonts w:ascii="Times New Roman" w:hAnsi="Times New Roman" w:cs="Times New Roman" w:eastAsia="Times New Roman" w:hint="default"/>
        </w:rPr>
        <w:t>A101-A113 </w:t>
      </w:r>
      <w:r>
        <w:rPr>
          <w:spacing w:val="-2"/>
        </w:rPr>
        <w:t>公司经营范围：研发、设计、委托加工、销售半导体集成电路芯片；计算机软硬件及计算机网络软硬件产品的设计、开</w:t>
      </w:r>
    </w:p>
    <w:p>
      <w:pPr>
        <w:pStyle w:val="BodyText"/>
        <w:spacing w:line="316" w:lineRule="auto" w:before="31"/>
        <w:ind w:right="1034"/>
        <w:jc w:val="left"/>
      </w:pPr>
      <w:r>
        <w:rPr/>
        <w:t>发；销售计算机软、硬件及其辅助设备、电子元器件、通讯设备；技术开发、技术转让、技术咨询、技术服务、技术培训； 技术检测；货物进出口、技术进出口、代理进出口；出租办公用房、商业用房。</w:t>
      </w:r>
    </w:p>
    <w:p>
      <w:pPr>
        <w:pStyle w:val="BodyText"/>
        <w:spacing w:line="300" w:lineRule="auto" w:before="19"/>
        <w:ind w:left="513" w:right="1433"/>
        <w:jc w:val="left"/>
      </w:pPr>
      <w:r>
        <w:rPr/>
        <w:t>本财务报告的批准报出日为</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 本期纳入合并范围的子公司包括三家，具体见</w:t>
      </w:r>
      <w:r>
        <w:rPr>
          <w:rFonts w:ascii="Times New Roman" w:hAnsi="Times New Roman" w:cs="Times New Roman" w:eastAsia="Times New Roman" w:hint="default"/>
        </w:rPr>
        <w:t>“</w:t>
      </w:r>
      <w:r>
        <w:rPr/>
        <w:t>本附注八、合并范围的变更</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本附注九、在其他主体中的权益</w:t>
      </w:r>
      <w:r>
        <w:rPr>
          <w:rFonts w:ascii="Times New Roman" w:hAnsi="Times New Roman" w:cs="Times New Roman" w:eastAsia="Times New Roman" w:hint="default"/>
        </w:rPr>
        <w:t>”</w:t>
      </w:r>
      <w:r>
        <w:rPr/>
        <w:t>。</w:t>
      </w:r>
    </w:p>
    <w:p>
      <w:pPr>
        <w:spacing w:line="240" w:lineRule="auto" w:before="6"/>
        <w:rPr>
          <w:rFonts w:ascii="宋体" w:hAnsi="宋体" w:cs="宋体" w:eastAsia="宋体" w:hint="default"/>
          <w:sz w:val="20"/>
          <w:szCs w:val="20"/>
        </w:rPr>
      </w:pPr>
    </w:p>
    <w:p>
      <w:pPr>
        <w:pStyle w:val="Heading2"/>
        <w:spacing w:line="240" w:lineRule="auto"/>
        <w:ind w:right="1133"/>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986"/>
        <w:jc w:val="left"/>
      </w:pPr>
      <w:r>
        <w:rPr>
          <w:spacing w:val="-4"/>
        </w:rPr>
        <w:t>公司以持续经营为基础，根据实际发生的交易和事项，按照财政部发布的《企业会计准则</w:t>
      </w:r>
      <w:r>
        <w:rPr>
          <w:rFonts w:ascii="Times New Roman" w:hAnsi="Times New Roman" w:cs="Times New Roman" w:eastAsia="Times New Roman" w:hint="default"/>
          <w:spacing w:val="-4"/>
        </w:rPr>
        <w:t>—</w:t>
      </w:r>
      <w:r>
        <w:rPr>
          <w:spacing w:val="-4"/>
        </w:rPr>
        <w:t>基本准则》及</w:t>
      </w:r>
      <w:r>
        <w:rPr>
          <w:rFonts w:ascii="Times New Roman" w:hAnsi="Times New Roman" w:cs="Times New Roman" w:eastAsia="Times New Roman" w:hint="default"/>
          <w:spacing w:val="-4"/>
        </w:rPr>
        <w:t>42</w:t>
      </w:r>
      <w:r>
        <w:rPr>
          <w:spacing w:val="-4"/>
        </w:rPr>
        <w:t>项具体会计准则、</w:t>
      </w:r>
      <w:r>
        <w:rPr>
          <w:spacing w:val="-42"/>
        </w:rPr>
        <w:t> </w:t>
      </w:r>
      <w:r>
        <w:rPr>
          <w:spacing w:val="-42"/>
        </w:rPr>
      </w:r>
      <w:r>
        <w:rPr>
          <w:spacing w:val="-5"/>
        </w:rPr>
        <w:t>企业会计准则应用指南、企业会计准则解释及其他相关规定（以下简称</w:t>
      </w:r>
      <w:r>
        <w:rPr>
          <w:rFonts w:ascii="Times New Roman" w:hAnsi="Times New Roman" w:cs="Times New Roman" w:eastAsia="Times New Roman" w:hint="default"/>
          <w:spacing w:val="-5"/>
        </w:rPr>
        <w:t>“</w:t>
      </w:r>
      <w:r>
        <w:rPr>
          <w:spacing w:val="-5"/>
        </w:rPr>
        <w:t>企业会计准则</w:t>
      </w:r>
      <w:r>
        <w:rPr>
          <w:rFonts w:ascii="Times New Roman" w:hAnsi="Times New Roman" w:cs="Times New Roman" w:eastAsia="Times New Roman" w:hint="default"/>
          <w:spacing w:val="-5"/>
        </w:rPr>
        <w:t>”</w:t>
      </w:r>
      <w:r>
        <w:rPr>
          <w:spacing w:val="-5"/>
        </w:rPr>
        <w:t>），以及中国证券监督管理委员会《公</w:t>
      </w:r>
      <w:r>
        <w:rPr>
          <w:spacing w:val="-56"/>
        </w:rPr>
        <w:t> </w:t>
      </w:r>
      <w:r>
        <w:rPr>
          <w:spacing w:val="-56"/>
        </w:rPr>
      </w:r>
      <w:r>
        <w:rPr/>
        <w:t>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年修订）的披露规定编制财务报表。</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公司自本报告期末起</w:t>
      </w:r>
      <w:r>
        <w:rPr>
          <w:rFonts w:ascii="Times New Roman" w:hAnsi="Times New Roman" w:cs="Times New Roman" w:eastAsia="Times New Roman" w:hint="default"/>
        </w:rPr>
        <w:t>12</w:t>
      </w:r>
      <w:r>
        <w:rPr/>
        <w:t>个月具备持续经营能力，无影响持续经营能力的重大事项。</w:t>
      </w:r>
    </w:p>
    <w:p>
      <w:pPr>
        <w:spacing w:after="0" w:line="240" w:lineRule="auto"/>
        <w:jc w:val="left"/>
        <w:sectPr>
          <w:pgSz w:w="11910" w:h="16840"/>
          <w:pgMar w:header="877" w:footer="979" w:top="1100" w:bottom="1160" w:left="980" w:right="0"/>
        </w:sectPr>
      </w:pPr>
    </w:p>
    <w:p>
      <w:pPr>
        <w:spacing w:line="240" w:lineRule="auto" w:before="10"/>
        <w:rPr>
          <w:rFonts w:ascii="宋体" w:hAnsi="宋体" w:cs="宋体" w:eastAsia="宋体" w:hint="default"/>
          <w:sz w:val="19"/>
          <w:szCs w:val="19"/>
        </w:rPr>
      </w:pPr>
    </w:p>
    <w:p>
      <w:pPr>
        <w:pStyle w:val="Heading2"/>
        <w:spacing w:line="240" w:lineRule="auto" w:before="26"/>
        <w:ind w:right="1133"/>
        <w:jc w:val="left"/>
        <w:rPr>
          <w:b w:val="0"/>
          <w:bCs w:val="0"/>
        </w:rPr>
      </w:pPr>
      <w:r>
        <w:rPr/>
        <w:t>五、重要会计政策及会计估计</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1754"/>
        <w:jc w:val="left"/>
      </w:pPr>
      <w:r>
        <w:rPr/>
        <w:t>具体会计政策和会计估计提示： 本公司下列重要会计政策、会计估计根据企业会计准则制定。未提及的业务按企业会计准则中相关会计政策执行。</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spacing w:val="-4"/>
        </w:rPr>
        <w:t>本公司所编制的财务报表符合企业会计准则的要求，真实、完整地反映了企业的财务状况、经营成果和现金流量等有关信息。</w:t>
      </w:r>
    </w:p>
    <w:p>
      <w:pPr>
        <w:spacing w:line="240" w:lineRule="auto" w:before="0"/>
        <w:rPr>
          <w:rFonts w:ascii="宋体" w:hAnsi="宋体" w:cs="宋体" w:eastAsia="宋体" w:hint="default"/>
          <w:sz w:val="18"/>
          <w:szCs w:val="18"/>
        </w:rPr>
      </w:pPr>
    </w:p>
    <w:p>
      <w:pPr>
        <w:spacing w:line="547" w:lineRule="auto" w:before="118"/>
        <w:ind w:left="152" w:right="67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z w:val="18"/>
          <w:szCs w:val="18"/>
        </w:rPr>
        <w:t>本公司以公历</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日为一个会计年度。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240" w:lineRule="auto" w:before="46"/>
        <w:ind w:right="1133"/>
        <w:jc w:val="left"/>
      </w:pPr>
      <w:r>
        <w:rPr/>
        <w:t>本公司以</w:t>
      </w:r>
      <w:r>
        <w:rPr>
          <w:rFonts w:ascii="Times New Roman" w:hAnsi="Times New Roman" w:cs="Times New Roman" w:eastAsia="Times New Roman" w:hint="default"/>
        </w:rPr>
        <w:t>12</w:t>
      </w:r>
      <w:r>
        <w:rPr/>
        <w:t>个月为一个正常的营业周期，并以营业周期作为资产和负债的流动性划分标准。</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本公司以人民币为记账本位币，本公司控股子公司北京君正集成电路（香港）集团有限公司以美元为记账本位币。</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513" w:right="1118"/>
        <w:jc w:val="left"/>
      </w:pPr>
      <w:r>
        <w:rPr>
          <w:rFonts w:ascii="Times New Roman" w:hAnsi="Times New Roman" w:cs="Times New Roman" w:eastAsia="Times New Roman" w:hint="default"/>
        </w:rPr>
        <w:t>1</w:t>
      </w:r>
      <w:r>
        <w:rPr/>
        <w:t>、同一控制下企业合并 </w:t>
      </w:r>
      <w:r>
        <w:rPr>
          <w:spacing w:val="-2"/>
        </w:rPr>
        <w:t>参与合并的企业在合并前后均受同一方或相同的多方最终控制且该控制并非暂时性的，为同一控制下的企业合并。合并</w:t>
      </w:r>
    </w:p>
    <w:p>
      <w:pPr>
        <w:pStyle w:val="BodyText"/>
        <w:spacing w:line="357" w:lineRule="auto" w:before="1"/>
        <w:ind w:left="513" w:right="1118" w:hanging="361"/>
        <w:jc w:val="left"/>
      </w:pPr>
      <w:r>
        <w:rPr/>
        <w:t>日为合并方实际取得对被合并方控制权的日期。 </w:t>
      </w:r>
      <w:r>
        <w:rPr>
          <w:spacing w:val="-2"/>
        </w:rPr>
        <w:t>在企业合并中取得的资产和负债，按照合并日被合并方在最终控制方合并财务报表中的账面价值计量。被合并各方采用</w:t>
      </w:r>
    </w:p>
    <w:p>
      <w:pPr>
        <w:pStyle w:val="BodyText"/>
        <w:spacing w:line="224" w:lineRule="exact"/>
        <w:ind w:right="1133"/>
        <w:jc w:val="left"/>
      </w:pPr>
      <w:r>
        <w:rPr/>
        <w:t>的会计政策与本公司不一致的，在合并日按照本公司会计政策进行调整，在此基础上按照调整后的账面价值确认。</w:t>
      </w:r>
    </w:p>
    <w:p>
      <w:pPr>
        <w:pStyle w:val="BodyText"/>
        <w:spacing w:line="316" w:lineRule="auto" w:before="117"/>
        <w:ind w:right="1131" w:firstLine="360"/>
        <w:jc w:val="both"/>
      </w:pPr>
      <w:r>
        <w:rPr>
          <w:spacing w:val="-2"/>
        </w:rPr>
        <w:t>在合并中取得的净资产账面价值与支付的合并对价账面价值（或发行股份面值总额）的差额，调整资本公积中的股本溢</w:t>
      </w:r>
      <w:r>
        <w:rPr/>
        <w:t> 价，资本公积中的股本溢价不足冲减的，调整留存收益。</w:t>
      </w:r>
    </w:p>
    <w:p>
      <w:pPr>
        <w:pStyle w:val="BodyText"/>
        <w:spacing w:line="319" w:lineRule="auto" w:before="59"/>
        <w:ind w:right="1133" w:firstLine="360"/>
        <w:jc w:val="both"/>
      </w:pPr>
      <w:r>
        <w:rPr>
          <w:spacing w:val="-2"/>
        </w:rPr>
        <w:t>为进行企业合并而发生的各项直接相关费用，包括为进行合并而支付的审计费用、评估费用、法律服务费等，于发生时</w:t>
      </w:r>
      <w:r>
        <w:rPr/>
        <w:t> 计入当期损益。</w:t>
      </w:r>
    </w:p>
    <w:p>
      <w:pPr>
        <w:pStyle w:val="BodyText"/>
        <w:spacing w:line="360" w:lineRule="auto" w:before="55"/>
        <w:ind w:left="513" w:right="1033"/>
        <w:jc w:val="left"/>
      </w:pPr>
      <w:r>
        <w:rPr/>
        <w:t>企业合并中发行权益性证券发生的手续费、佣金等，抵减权益性证券溢价收入，溢价收入不足冲减的，冲减留存收益。 </w:t>
      </w:r>
      <w:r>
        <w:rPr>
          <w:spacing w:val="-2"/>
        </w:rPr>
        <w:t>通过多次交易分步实现的同一控制下企业合并，属于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的，本公司将各项交易作为一项取得控制权的交易进</w:t>
      </w:r>
    </w:p>
    <w:p>
      <w:pPr>
        <w:pStyle w:val="BodyText"/>
        <w:spacing w:line="212" w:lineRule="exact"/>
        <w:ind w:right="1133"/>
        <w:jc w:val="left"/>
      </w:pPr>
      <w:r>
        <w:rPr/>
        <w:t>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的，取得控制权日，按照下列步骤进行会计处理：</w:t>
      </w:r>
    </w:p>
    <w:p>
      <w:pPr>
        <w:pStyle w:val="BodyText"/>
        <w:spacing w:line="300" w:lineRule="auto" w:before="103"/>
        <w:ind w:right="1133" w:firstLine="360"/>
        <w:jc w:val="both"/>
      </w:pPr>
      <w:r>
        <w:rPr/>
        <w:t>（</w:t>
      </w:r>
      <w:r>
        <w:rPr>
          <w:rFonts w:ascii="Times New Roman" w:hAnsi="Times New Roman" w:cs="Times New Roman" w:eastAsia="Times New Roman" w:hint="default"/>
        </w:rPr>
        <w:t>1</w:t>
      </w:r>
      <w:r>
        <w:rPr/>
        <w:t>）确定同一控制下企业合并形成的长期股权投资的初始投资成本。在合并日，根据合并后应享有被合并方净资产在 最终控制方合并财务报表中的账面价值的份额，确定长期股权投资的初始投资成本。</w:t>
      </w:r>
    </w:p>
    <w:p>
      <w:pPr>
        <w:pStyle w:val="BodyText"/>
        <w:spacing w:line="309" w:lineRule="auto" w:before="70"/>
        <w:ind w:right="1133" w:firstLine="360"/>
        <w:jc w:val="both"/>
      </w:pPr>
      <w:r>
        <w:rPr/>
        <w:t>（</w:t>
      </w:r>
      <w:r>
        <w:rPr>
          <w:rFonts w:ascii="Times New Roman" w:hAnsi="Times New Roman" w:cs="Times New Roman" w:eastAsia="Times New Roman" w:hint="default"/>
        </w:rPr>
        <w:t>2</w:t>
      </w:r>
      <w:r>
        <w:rPr/>
        <w:t>）长期股权投资初始投资成本与合并对价账面价值之间的差额的处理。合并日长期股权投资的初始投资成本，与达 </w:t>
      </w:r>
      <w:r>
        <w:rPr>
          <w:spacing w:val="-2"/>
        </w:rPr>
        <w:t>到合并前的长期股权投资账面价值加上合并日进一步取得股份新支付对价的账面价值之和的差额，调整资本公积（资本溢价</w:t>
      </w:r>
      <w:r>
        <w:rPr>
          <w:spacing w:val="-64"/>
        </w:rPr>
        <w:t> </w:t>
      </w:r>
      <w:r>
        <w:rPr>
          <w:spacing w:val="-64"/>
        </w:rPr>
      </w:r>
      <w:r>
        <w:rPr/>
        <w:t>或股本溢价），资本公积（资本溢价或股本溢价）不足冲减的，冲减留存收益。</w:t>
      </w:r>
    </w:p>
    <w:p>
      <w:pPr>
        <w:pStyle w:val="BodyText"/>
        <w:spacing w:line="309" w:lineRule="auto" w:before="65"/>
        <w:ind w:right="1132" w:firstLine="360"/>
        <w:jc w:val="both"/>
      </w:pPr>
      <w:r>
        <w:rPr/>
        <w:t>（</w:t>
      </w:r>
      <w:r>
        <w:rPr>
          <w:rFonts w:ascii="Times New Roman" w:hAnsi="Times New Roman" w:cs="Times New Roman" w:eastAsia="Times New Roman" w:hint="default"/>
        </w:rPr>
        <w:t>3</w:t>
      </w:r>
      <w:r>
        <w:rPr/>
        <w:t>）合并日之前持有的股权投资，因采用权益法核算或金融工具确认和计量准则核算而确认的其他综合收益，暂不进 </w:t>
      </w:r>
      <w:r>
        <w:rPr>
          <w:spacing w:val="-2"/>
        </w:rPr>
        <w:t>行会计处理，直至处置该项投资时采用与被投资单位直接处置相关资产或负债相同的基础进行会计处理；因采用权益法核算</w:t>
      </w:r>
      <w:r>
        <w:rPr>
          <w:spacing w:val="-64"/>
        </w:rPr>
        <w:t> </w:t>
      </w:r>
      <w:r>
        <w:rPr>
          <w:spacing w:val="-64"/>
        </w:rPr>
      </w:r>
      <w:r>
        <w:rPr>
          <w:spacing w:val="-2"/>
        </w:rPr>
        <w:t>而确认的被投资单位净资产中除净损益、其他综合收益和利润分配以外的所有者权益其他变动，暂不进行会计处理，直至处</w:t>
      </w:r>
    </w:p>
    <w:p>
      <w:pPr>
        <w:spacing w:after="0" w:line="309" w:lineRule="auto"/>
        <w:jc w:val="both"/>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4"/>
        <w:ind w:right="1118"/>
        <w:jc w:val="left"/>
      </w:pPr>
      <w:r>
        <w:rPr>
          <w:spacing w:val="-2"/>
        </w:rPr>
        <w:t>置该项投资时转入当期损益。其中，处置后的剩余股权采用成本法或权益法核算的，其他综合收益和其他所有者权益应按比</w:t>
      </w:r>
      <w:r>
        <w:rPr>
          <w:spacing w:val="-63"/>
        </w:rPr>
        <w:t> </w:t>
      </w:r>
      <w:r>
        <w:rPr>
          <w:spacing w:val="-63"/>
        </w:rPr>
      </w:r>
      <w:r>
        <w:rPr/>
        <w:t>例结转，处置后的剩余股权改按金融工具确认和计量准则进行会计处理的，其他综合收益和其他所有者权益应全部结转。</w:t>
      </w:r>
    </w:p>
    <w:p>
      <w:pPr>
        <w:pStyle w:val="BodyText"/>
        <w:spacing w:line="338" w:lineRule="auto" w:before="59"/>
        <w:ind w:left="513" w:right="2833"/>
        <w:jc w:val="left"/>
      </w:pPr>
      <w:r>
        <w:rPr/>
        <w:t>（</w:t>
      </w:r>
      <w:r>
        <w:rPr>
          <w:rFonts w:ascii="Times New Roman" w:hAnsi="Times New Roman" w:cs="Times New Roman" w:eastAsia="Times New Roman" w:hint="default"/>
        </w:rPr>
        <w:t>4</w:t>
      </w:r>
      <w:r>
        <w:rPr/>
        <w:t>）在合并财务报表中的会计处理见</w:t>
      </w:r>
      <w:r>
        <w:rPr>
          <w:rFonts w:ascii="Times New Roman" w:hAnsi="Times New Roman" w:cs="Times New Roman" w:eastAsia="Times New Roman" w:hint="default"/>
        </w:rPr>
        <w:t>“6</w:t>
      </w:r>
      <w:r>
        <w:rPr/>
        <w:t>、合并财务报表的编制方法</w:t>
      </w:r>
      <w:r>
        <w:rPr>
          <w:rFonts w:ascii="Times New Roman" w:hAnsi="Times New Roman" w:cs="Times New Roman" w:eastAsia="Times New Roman" w:hint="default"/>
        </w:rPr>
        <w:t>”</w:t>
      </w:r>
      <w:r>
        <w:rPr/>
        <w:t>。 </w:t>
      </w:r>
      <w:r>
        <w:rPr>
          <w:rFonts w:ascii="Times New Roman" w:hAnsi="Times New Roman" w:cs="Times New Roman" w:eastAsia="Times New Roman" w:hint="default"/>
        </w:rPr>
        <w:t>2</w:t>
      </w:r>
      <w:r>
        <w:rPr/>
        <w:t>、非同一控制下企业合并 参与合并的各方在合并前后不受同一方或相同的多方最终控制的，为非同一控制下的企业合并。</w:t>
      </w:r>
    </w:p>
    <w:p>
      <w:pPr>
        <w:pStyle w:val="BodyText"/>
        <w:spacing w:line="316" w:lineRule="auto" w:before="43"/>
        <w:ind w:right="986" w:firstLine="360"/>
        <w:jc w:val="left"/>
      </w:pPr>
      <w:r>
        <w:rPr>
          <w:spacing w:val="-4"/>
        </w:rPr>
        <w:t>购买方在购买日对作为企业合并对价付出的资产、发生或承担的负债按照公允价值计量。公允价值与其账面价值的差额，</w:t>
      </w:r>
      <w:r>
        <w:rPr/>
        <w:t> 计入当期损益。</w:t>
      </w:r>
    </w:p>
    <w:p>
      <w:pPr>
        <w:pStyle w:val="BodyText"/>
        <w:spacing w:line="360" w:lineRule="auto" w:before="57"/>
        <w:ind w:left="513" w:right="1118"/>
        <w:jc w:val="left"/>
      </w:pPr>
      <w:r>
        <w:rPr/>
        <w:t>购买方在购买日对合并成本进行分配，确认所取得的被购买方各项可辨认资产、负债及或有负债的公允价值。 </w:t>
      </w:r>
      <w:r>
        <w:rPr>
          <w:spacing w:val="-2"/>
        </w:rPr>
        <w:t>购买方对合并成本大于合并中取得的被购买方可辨认净资产公允价值份额的差额，确认为商誉；合并成本小于合并中取</w:t>
      </w:r>
    </w:p>
    <w:p>
      <w:pPr>
        <w:pStyle w:val="BodyText"/>
        <w:spacing w:line="222" w:lineRule="exact"/>
        <w:ind w:right="1133"/>
        <w:jc w:val="left"/>
      </w:pPr>
      <w:r>
        <w:rPr/>
        <w:t>得的被购买方可辨认净资产公允价值份额的差额，经复核后，计入当期损益。</w:t>
      </w:r>
    </w:p>
    <w:p>
      <w:pPr>
        <w:pStyle w:val="BodyText"/>
        <w:spacing w:line="316" w:lineRule="auto" w:before="118"/>
        <w:ind w:right="1118" w:firstLine="360"/>
        <w:jc w:val="left"/>
      </w:pPr>
      <w:r>
        <w:rPr>
          <w:spacing w:val="-2"/>
        </w:rPr>
        <w:t>购买方为企业合并发生的审计、法律服务、评估咨询等中介费用以及其他相关管理费用，于发生时计入当期损益；购买</w:t>
      </w:r>
      <w:r>
        <w:rPr/>
        <w:t> 方作为合并对价发行的权益性证券或债务性证券的交易费用，计入权益性证券或债务性证券的初始确认金额。</w:t>
      </w:r>
    </w:p>
    <w:p>
      <w:pPr>
        <w:pStyle w:val="BodyText"/>
        <w:spacing w:line="300" w:lineRule="auto" w:before="57"/>
        <w:ind w:right="1133" w:firstLine="360"/>
        <w:jc w:val="left"/>
      </w:pPr>
      <w:r>
        <w:rPr>
          <w:spacing w:val="-2"/>
        </w:rPr>
        <w:t>购买方通过多次交易分步实现非同一控制下企业合并的，属于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的，本公司将各项交易作为一项取得控制权</w:t>
      </w:r>
      <w:r>
        <w:rPr/>
        <w:t> 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的，区别个别财务报表和合并财务报表进行相关会计处理；</w:t>
      </w:r>
    </w:p>
    <w:p>
      <w:pPr>
        <w:pStyle w:val="BodyText"/>
        <w:spacing w:line="316" w:lineRule="auto" w:before="53"/>
        <w:ind w:right="1034" w:firstLine="360"/>
        <w:jc w:val="left"/>
      </w:pPr>
      <w:r>
        <w:rPr>
          <w:spacing w:val="-2"/>
        </w:rPr>
        <w:t>在个别财务报表中，以购买日之前所持被购买方的股权投资的账面价值与购买日新增投资成本之和，作为改按成本法核</w:t>
      </w:r>
      <w:r>
        <w:rPr/>
        <w:t> </w:t>
      </w:r>
      <w:r>
        <w:rPr>
          <w:spacing w:val="-2"/>
        </w:rPr>
        <w:t>算的初始投资成本；购买日之前持有的被购买方的股权投资因采用权益法核算而确认的其他综合收益，在处置该项投资时采</w:t>
      </w:r>
      <w:r>
        <w:rPr>
          <w:spacing w:val="-64"/>
        </w:rPr>
        <w:t> </w:t>
      </w:r>
      <w:r>
        <w:rPr>
          <w:spacing w:val="-64"/>
        </w:rPr>
      </w:r>
      <w:r>
        <w:rPr>
          <w:spacing w:val="-2"/>
        </w:rPr>
        <w:t>用与被投资单位直接处置相关资产或负债相同的基础进行会计处理，因被投资方除净损益、其他综合收益和利润分配以外的</w:t>
      </w:r>
      <w:r>
        <w:rPr>
          <w:spacing w:val="-64"/>
        </w:rPr>
        <w:t> </w:t>
      </w:r>
      <w:r>
        <w:rPr>
          <w:spacing w:val="-64"/>
        </w:rPr>
      </w:r>
      <w:r>
        <w:rPr>
          <w:spacing w:val="-2"/>
        </w:rPr>
        <w:t>其他所有者权益变动而确认的所有者权益，在处置该项投资时转入处置期间的当期损益。其中，处置后的剩余股权根据长期</w:t>
      </w:r>
      <w:r>
        <w:rPr>
          <w:spacing w:val="-63"/>
        </w:rPr>
        <w:t> </w:t>
      </w:r>
      <w:r>
        <w:rPr>
          <w:spacing w:val="-63"/>
        </w:rPr>
      </w:r>
      <w:r>
        <w:rPr>
          <w:spacing w:val="-2"/>
        </w:rPr>
        <w:t>股权投资准则采用成本法或权益法核算的，其他综合收益和其他所有者权益应按比例结转，处置后的剩余股权改按金融工具</w:t>
      </w:r>
      <w:r>
        <w:rPr>
          <w:spacing w:val="-64"/>
        </w:rPr>
        <w:t> </w:t>
      </w:r>
      <w:r>
        <w:rPr>
          <w:spacing w:val="-64"/>
        </w:rPr>
      </w:r>
      <w:r>
        <w:rPr>
          <w:spacing w:val="-2"/>
        </w:rPr>
        <w:t>确认和计量准则进行会计处理的，其他综合收益和其他所有者权益应全部结转。购买日之前持有的股权投资，采用金融工具</w:t>
      </w:r>
      <w:r>
        <w:rPr>
          <w:spacing w:val="-62"/>
        </w:rPr>
        <w:t> </w:t>
      </w:r>
      <w:r>
        <w:rPr>
          <w:spacing w:val="-62"/>
        </w:rPr>
      </w:r>
      <w:r>
        <w:rPr/>
        <w:t>确认和计量准则进行会计处理的，将该股权投资的公允价值加上新增投资成本之和，作为改按成本法核算的初始投资成本， 原持有股权的公允价值与账面价值的差额与原计入其他综合收益的累计公允价值变动全部转入改按成本法核算的当期投资</w:t>
      </w:r>
      <w:r>
        <w:rPr>
          <w:spacing w:val="-11"/>
        </w:rPr>
        <w:t> </w:t>
      </w:r>
      <w:r>
        <w:rPr>
          <w:spacing w:val="-11"/>
        </w:rPr>
      </w:r>
      <w:r>
        <w:rPr/>
        <w:t>损益。</w:t>
      </w:r>
    </w:p>
    <w:p>
      <w:pPr>
        <w:pStyle w:val="BodyText"/>
        <w:spacing w:line="338" w:lineRule="auto" w:before="59"/>
        <w:ind w:left="513" w:right="5283"/>
        <w:jc w:val="left"/>
      </w:pPr>
      <w:r>
        <w:rPr/>
        <w:t>在合并财务报表中的会计处理见</w:t>
      </w:r>
      <w:r>
        <w:rPr>
          <w:rFonts w:ascii="Times New Roman" w:hAnsi="Times New Roman" w:cs="Times New Roman" w:eastAsia="Times New Roman" w:hint="default"/>
        </w:rPr>
        <w:t>“6</w:t>
      </w:r>
      <w:r>
        <w:rPr/>
        <w:t>、合并财务报表的编制方法</w:t>
      </w:r>
      <w:r>
        <w:rPr>
          <w:rFonts w:ascii="Times New Roman" w:hAnsi="Times New Roman" w:cs="Times New Roman" w:eastAsia="Times New Roman" w:hint="default"/>
        </w:rPr>
        <w:t>”</w:t>
      </w:r>
      <w:r>
        <w:rPr/>
        <w:t>。 </w:t>
      </w:r>
      <w:r>
        <w:rPr>
          <w:rFonts w:ascii="Times New Roman" w:hAnsi="Times New Roman" w:cs="Times New Roman" w:eastAsia="Times New Roman" w:hint="default"/>
        </w:rPr>
        <w:t>3</w:t>
      </w:r>
      <w:r>
        <w:rPr/>
        <w:t>、将多次交易事项判断为一揽子交易的判断标准 本公司将多次交易事项判断为一揽子交易的判断标准如下：</w:t>
      </w:r>
    </w:p>
    <w:p>
      <w:pPr>
        <w:pStyle w:val="BodyText"/>
        <w:spacing w:line="240" w:lineRule="auto" w:before="43"/>
        <w:ind w:left="513" w:right="1133"/>
        <w:jc w:val="left"/>
      </w:pPr>
      <w:r>
        <w:rPr/>
        <w:t>（</w:t>
      </w: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101"/>
        <w:ind w:left="513" w:right="1133"/>
        <w:jc w:val="left"/>
      </w:pPr>
      <w:r>
        <w:rPr/>
        <w:t>（</w:t>
      </w:r>
      <w:r>
        <w:rPr>
          <w:rFonts w:ascii="Times New Roman" w:hAnsi="Times New Roman" w:cs="Times New Roman" w:eastAsia="Times New Roman" w:hint="default"/>
        </w:rPr>
        <w:t>2</w:t>
      </w:r>
      <w:r>
        <w:rPr/>
        <w:t>）这些交易整体才能达成一项完整的商业结果；</w:t>
      </w:r>
    </w:p>
    <w:p>
      <w:pPr>
        <w:pStyle w:val="BodyText"/>
        <w:spacing w:line="240" w:lineRule="auto" w:before="103"/>
        <w:ind w:left="513" w:right="1133"/>
        <w:jc w:val="left"/>
      </w:pPr>
      <w:r>
        <w:rPr/>
        <w:t>（</w:t>
      </w:r>
      <w:r>
        <w:rPr>
          <w:rFonts w:ascii="Times New Roman" w:hAnsi="Times New Roman" w:cs="Times New Roman" w:eastAsia="Times New Roman" w:hint="default"/>
        </w:rPr>
        <w:t>3</w:t>
      </w:r>
      <w:r>
        <w:rPr/>
        <w:t>）一项交易的发生取决于其他至少一项交易的发生；</w:t>
      </w:r>
    </w:p>
    <w:p>
      <w:pPr>
        <w:pStyle w:val="BodyText"/>
        <w:spacing w:line="240" w:lineRule="auto" w:before="104"/>
        <w:ind w:left="441" w:right="1133"/>
        <w:jc w:val="left"/>
      </w:pPr>
      <w:r>
        <w:rPr/>
        <w:t>（</w:t>
      </w:r>
      <w:r>
        <w:rPr>
          <w:rFonts w:ascii="Times New Roman" w:hAnsi="Times New Roman" w:cs="Times New Roman" w:eastAsia="Times New Roman" w:hint="default"/>
        </w:rPr>
        <w:t>4</w:t>
      </w:r>
      <w:r>
        <w:rPr/>
        <w:t>）一项交易单独考虑时是不经济的，但是和其他交易一并考虑时是经济的。</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2" w:firstLine="360"/>
        <w:jc w:val="both"/>
      </w:pPr>
      <w:r>
        <w:rPr>
          <w:spacing w:val="-2"/>
        </w:rPr>
        <w:t>本公司合并财务报表的合并范围以控制为基础确定，控制是指投资方拥有被投资方的权力，通过参与被投资方的相关活</w:t>
      </w:r>
      <w:r>
        <w:rPr/>
        <w:t> </w:t>
      </w:r>
      <w:r>
        <w:rPr>
          <w:spacing w:val="-2"/>
        </w:rPr>
        <w:t>动而享有可变回报，并且有能力运用对被投资方的权力影响其回报金额。相关活动，是指对被投资方的回报产生重大影响的</w:t>
      </w:r>
      <w:r>
        <w:rPr>
          <w:spacing w:val="-66"/>
        </w:rPr>
        <w:t> </w:t>
      </w:r>
      <w:r>
        <w:rPr>
          <w:spacing w:val="-66"/>
        </w:rPr>
      </w:r>
      <w:r>
        <w:rPr/>
        <w:t>活动。</w:t>
      </w:r>
    </w:p>
    <w:p>
      <w:pPr>
        <w:pStyle w:val="BodyText"/>
        <w:spacing w:line="319" w:lineRule="auto" w:before="59"/>
        <w:ind w:right="1130" w:firstLine="360"/>
        <w:jc w:val="both"/>
      </w:pPr>
      <w:r>
        <w:rPr>
          <w:spacing w:val="-2"/>
        </w:rPr>
        <w:t>本公司以自身和子公司的财务报表为基础，根据其他有关资料将整个企业集团视为一个会计主体，依据相关企业会计准</w:t>
      </w:r>
      <w:r>
        <w:rPr/>
        <w:t> </w:t>
      </w:r>
      <w:r>
        <w:rPr>
          <w:spacing w:val="-2"/>
        </w:rPr>
        <w:t>则的确认、计量和列报要求，已按照统一的会计政策及会计期间，反映企业集团整体财务状况、经营成果和现金流量。合并</w:t>
      </w:r>
      <w:r>
        <w:rPr>
          <w:spacing w:val="-67"/>
        </w:rPr>
        <w:t> </w:t>
      </w:r>
      <w:r>
        <w:rPr>
          <w:spacing w:val="-67"/>
        </w:rPr>
      </w:r>
      <w:r>
        <w:rPr>
          <w:spacing w:val="-2"/>
        </w:rPr>
        <w:t>程序具体包括：合并母公司与子公司的资产、负债、所有者权益、收入、费用和现金流等项目；抵消母公司对子公司的长期</w:t>
      </w:r>
      <w:r>
        <w:rPr>
          <w:spacing w:val="-68"/>
        </w:rPr>
        <w:t> </w:t>
      </w:r>
      <w:r>
        <w:rPr>
          <w:spacing w:val="-68"/>
        </w:rPr>
      </w:r>
      <w:r>
        <w:rPr>
          <w:spacing w:val="-2"/>
        </w:rPr>
        <w:t>股权投资与母公司在子公司所有者权益中所享有的份额；抵消母公司与子公司、子公司相互之间发生的内部交易的影响，内</w:t>
      </w:r>
      <w:r>
        <w:rPr>
          <w:spacing w:val="-63"/>
        </w:rPr>
        <w:t> </w:t>
      </w:r>
      <w:r>
        <w:rPr>
          <w:spacing w:val="-63"/>
        </w:rPr>
      </w:r>
      <w:r>
        <w:rPr/>
        <w:t>部交易表明相关资产发生减值损失的，全额确认该部分损失；站在企业集团角度对特殊交易事项予以调整。</w:t>
      </w:r>
    </w:p>
    <w:p>
      <w:pPr>
        <w:pStyle w:val="BodyText"/>
        <w:spacing w:line="240" w:lineRule="auto" w:before="55"/>
        <w:ind w:left="513" w:right="986"/>
        <w:jc w:val="left"/>
      </w:pPr>
      <w:r>
        <w:rPr/>
        <w:t>子公司所有者权益中不属于母公司的份额，作为少数股东权益，在合并资产负债表中所有者权益项目下以</w:t>
      </w:r>
      <w:r>
        <w:rPr>
          <w:rFonts w:ascii="Times New Roman" w:hAnsi="Times New Roman" w:cs="Times New Roman" w:eastAsia="Times New Roman" w:hint="default"/>
        </w:rPr>
        <w:t>“</w:t>
      </w:r>
      <w:r>
        <w:rPr/>
        <w:t>少数股东权</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1133"/>
        <w:jc w:val="left"/>
      </w:pPr>
      <w:r>
        <w:rPr/>
        <w:t>益</w:t>
      </w:r>
      <w:r>
        <w:rPr>
          <w:rFonts w:ascii="Times New Roman" w:hAnsi="Times New Roman" w:cs="Times New Roman" w:eastAsia="Times New Roman" w:hint="default"/>
        </w:rPr>
        <w:t>”</w:t>
      </w:r>
      <w:r>
        <w:rPr/>
        <w:t>项目列示。</w:t>
      </w:r>
    </w:p>
    <w:p>
      <w:pPr>
        <w:pStyle w:val="BodyText"/>
        <w:spacing w:line="300" w:lineRule="auto" w:before="103"/>
        <w:ind w:right="1071" w:firstLine="360"/>
        <w:jc w:val="both"/>
      </w:pPr>
      <w:r>
        <w:rPr>
          <w:spacing w:val="-2"/>
        </w:rPr>
        <w:t>子公司当期净损益中属于少数股东权益的份额，在合并利润表中净利润项目下以</w:t>
      </w:r>
      <w:r>
        <w:rPr>
          <w:rFonts w:ascii="Times New Roman" w:hAnsi="Times New Roman" w:cs="Times New Roman" w:eastAsia="Times New Roman" w:hint="default"/>
          <w:spacing w:val="-2"/>
        </w:rPr>
        <w:t>“</w:t>
      </w:r>
      <w:r>
        <w:rPr>
          <w:spacing w:val="-2"/>
        </w:rPr>
        <w:t>少数股东损益</w:t>
      </w:r>
      <w:r>
        <w:rPr>
          <w:rFonts w:ascii="Times New Roman" w:hAnsi="Times New Roman" w:cs="Times New Roman" w:eastAsia="Times New Roman" w:hint="default"/>
          <w:spacing w:val="-2"/>
        </w:rPr>
        <w:t>”</w:t>
      </w:r>
      <w:r>
        <w:rPr>
          <w:spacing w:val="-2"/>
        </w:rPr>
        <w:t>项目列示。子公司当期</w:t>
      </w:r>
      <w:r>
        <w:rPr/>
        <w:t> 综合收益中属于少数股东权益的份额，在合并利润表中综合收益总额项目下以</w:t>
      </w:r>
      <w:r>
        <w:rPr>
          <w:rFonts w:ascii="Times New Roman" w:hAnsi="Times New Roman" w:cs="Times New Roman" w:eastAsia="Times New Roman" w:hint="default"/>
        </w:rPr>
        <w:t>“</w:t>
      </w:r>
      <w:r>
        <w:rPr/>
        <w:t>归属于少数股东的综合收益总额</w:t>
      </w:r>
      <w:r>
        <w:rPr>
          <w:rFonts w:ascii="Times New Roman" w:hAnsi="Times New Roman" w:cs="Times New Roman" w:eastAsia="Times New Roman" w:hint="default"/>
        </w:rPr>
        <w:t>”</w:t>
      </w:r>
      <w:r>
        <w:rPr/>
        <w:t>项目列示。</w:t>
      </w:r>
    </w:p>
    <w:p>
      <w:pPr>
        <w:pStyle w:val="BodyText"/>
        <w:spacing w:line="316" w:lineRule="auto" w:before="51"/>
        <w:ind w:right="1132" w:firstLine="360"/>
        <w:jc w:val="both"/>
      </w:pPr>
      <w:r>
        <w:rPr>
          <w:spacing w:val="-2"/>
        </w:rPr>
        <w:t>子公司少数股东分担的当期亏损超过了少数股东在该子公司期初所有者权益中所享有的份额的，其余额仍冲减少数股东</w:t>
      </w:r>
      <w:r>
        <w:rPr/>
        <w:t> 权益。</w:t>
      </w:r>
    </w:p>
    <w:p>
      <w:pPr>
        <w:pStyle w:val="BodyText"/>
        <w:spacing w:line="300" w:lineRule="auto" w:before="59"/>
        <w:ind w:right="1128" w:firstLine="360"/>
        <w:jc w:val="both"/>
      </w:pPr>
      <w:r>
        <w:rPr>
          <w:spacing w:val="-2"/>
        </w:rPr>
        <w:t>向子公司出售资产所发生的未实现内部交易损益，全额抵消</w:t>
      </w:r>
      <w:r>
        <w:rPr>
          <w:rFonts w:ascii="Times New Roman" w:hAnsi="Times New Roman" w:cs="Times New Roman" w:eastAsia="Times New Roman" w:hint="default"/>
          <w:spacing w:val="-2"/>
        </w:rPr>
        <w:t>“</w:t>
      </w:r>
      <w:r>
        <w:rPr>
          <w:spacing w:val="-2"/>
        </w:rPr>
        <w:t>归属于母公司所有者的净利润</w:t>
      </w:r>
      <w:r>
        <w:rPr>
          <w:rFonts w:ascii="Times New Roman" w:hAnsi="Times New Roman" w:cs="Times New Roman" w:eastAsia="Times New Roman" w:hint="default"/>
          <w:spacing w:val="-2"/>
        </w:rPr>
        <w:t>”</w:t>
      </w:r>
      <w:r>
        <w:rPr>
          <w:spacing w:val="-2"/>
        </w:rPr>
        <w:t>。子公司向母公司出售资产</w:t>
      </w:r>
      <w:r>
        <w:rPr/>
        <w:t> </w:t>
      </w:r>
      <w:r>
        <w:rPr>
          <w:spacing w:val="-1"/>
        </w:rPr>
        <w:t>所发生的未实现内部交易损益，按照母公司对该子公司的分配比例在</w:t>
      </w:r>
      <w:r>
        <w:rPr>
          <w:rFonts w:ascii="Times New Roman" w:hAnsi="Times New Roman" w:cs="Times New Roman" w:eastAsia="Times New Roman" w:hint="default"/>
          <w:spacing w:val="-1"/>
        </w:rPr>
        <w:t>“</w:t>
      </w:r>
      <w:r>
        <w:rPr>
          <w:spacing w:val="-1"/>
        </w:rPr>
        <w:t>归属于母公司所有者的净利润</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少数股东损益</w:t>
      </w:r>
      <w:r>
        <w:rPr>
          <w:rFonts w:ascii="Times New Roman" w:hAnsi="Times New Roman" w:cs="Times New Roman" w:eastAsia="Times New Roman" w:hint="default"/>
          <w:spacing w:val="-1"/>
        </w:rPr>
        <w:t>”</w:t>
      </w:r>
      <w:r>
        <w:rPr>
          <w:spacing w:val="-1"/>
        </w:rPr>
        <w:t>之间</w:t>
      </w:r>
      <w:r>
        <w:rPr>
          <w:spacing w:val="-74"/>
        </w:rPr>
        <w:t> </w:t>
      </w:r>
      <w:r>
        <w:rPr/>
        <w:t>分配抵消。子公司之间出售资产所发生的未实现内部交易损益，按照母公司对出售方子公司的分配比例在</w:t>
      </w:r>
      <w:r>
        <w:rPr>
          <w:rFonts w:ascii="Times New Roman" w:hAnsi="Times New Roman" w:cs="Times New Roman" w:eastAsia="Times New Roman" w:hint="default"/>
        </w:rPr>
        <w:t>“</w:t>
      </w:r>
      <w:r>
        <w:rPr/>
        <w:t>归属于母公司所</w:t>
      </w:r>
      <w:r>
        <w:rPr>
          <w:spacing w:val="-73"/>
        </w:rPr>
        <w:t> </w:t>
      </w:r>
      <w:r>
        <w:rPr>
          <w:spacing w:val="-73"/>
        </w:rPr>
      </w:r>
      <w:r>
        <w:rPr/>
        <w:t>有者的净利润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之间分配抵消。</w:t>
      </w:r>
    </w:p>
    <w:p>
      <w:pPr>
        <w:pStyle w:val="BodyText"/>
        <w:spacing w:line="319" w:lineRule="auto" w:before="53"/>
        <w:ind w:right="1131" w:firstLine="360"/>
        <w:jc w:val="both"/>
      </w:pPr>
      <w:r>
        <w:rPr>
          <w:spacing w:val="-2"/>
        </w:rPr>
        <w:t>本公司在报告期内因同一控制下企业合并增加的子公司以及业务，编制合并报表时，调整合并资产负债表的期初数，将</w:t>
      </w:r>
      <w:r>
        <w:rPr/>
        <w:t> </w:t>
      </w:r>
      <w:r>
        <w:rPr>
          <w:spacing w:val="-2"/>
        </w:rPr>
        <w:t>该子公司以及业务合并当期期初至报告期末的收入、费用、利润纳入合并利润表，现金流量纳入合并现金流量表，同时对比</w:t>
      </w:r>
      <w:r>
        <w:rPr>
          <w:spacing w:val="-64"/>
        </w:rPr>
        <w:t> </w:t>
      </w:r>
      <w:r>
        <w:rPr>
          <w:spacing w:val="-64"/>
        </w:rPr>
      </w:r>
      <w:r>
        <w:rPr/>
        <w:t>较报表的相关项目进行调整，视同合并后的报告主体自最终控制方开始控制时点起一直存在。</w:t>
      </w:r>
    </w:p>
    <w:p>
      <w:pPr>
        <w:pStyle w:val="BodyText"/>
        <w:spacing w:line="316" w:lineRule="auto" w:before="55"/>
        <w:ind w:right="1132" w:firstLine="360"/>
        <w:jc w:val="both"/>
      </w:pPr>
      <w:r>
        <w:rPr>
          <w:spacing w:val="-2"/>
        </w:rPr>
        <w:t>本公司在报告期内因非同一控制下企业合并或其他方式增加的子公司以及业务，编制合并资产负债表时，不调整合并资</w:t>
      </w:r>
      <w:r>
        <w:rPr/>
        <w:t> </w:t>
      </w:r>
      <w:r>
        <w:rPr>
          <w:spacing w:val="-2"/>
        </w:rPr>
        <w:t>产负债表的期初数，将该子公司以及业务购买日至报告期末的收入、费用、利润、现金流量纳入合并利润表和合并现金流量</w:t>
      </w:r>
      <w:r>
        <w:rPr>
          <w:spacing w:val="-66"/>
        </w:rPr>
        <w:t> </w:t>
      </w:r>
      <w:r>
        <w:rPr>
          <w:spacing w:val="-66"/>
        </w:rPr>
      </w:r>
      <w:r>
        <w:rPr/>
        <w:t>表。</w:t>
      </w:r>
    </w:p>
    <w:p>
      <w:pPr>
        <w:pStyle w:val="BodyText"/>
        <w:spacing w:line="316" w:lineRule="auto" w:before="59"/>
        <w:ind w:right="1130" w:firstLine="360"/>
        <w:jc w:val="both"/>
      </w:pPr>
      <w:r>
        <w:rPr>
          <w:spacing w:val="-2"/>
        </w:rPr>
        <w:t>本公司在报告期内处置子公司以及业务，编制合并资产负债表时，不调整合并资产负债表的期初数，该子公司以及业务</w:t>
      </w:r>
      <w:r>
        <w:rPr/>
        <w:t> 期初至处置日的收入、费用、利润纳入合并利润表，现金流量纳入合并现金流量表。</w:t>
      </w:r>
    </w:p>
    <w:p>
      <w:pPr>
        <w:pStyle w:val="BodyText"/>
        <w:spacing w:line="316" w:lineRule="auto" w:before="59"/>
        <w:ind w:right="1131" w:firstLine="360"/>
        <w:jc w:val="both"/>
      </w:pPr>
      <w:r>
        <w:rPr>
          <w:spacing w:val="-2"/>
        </w:rPr>
        <w:t>母公司购买子公司少数股东拥有的子公司股权，在合并财务报表中，因购买少数股权新取得的长期股权投资与按照新增</w:t>
      </w:r>
      <w:r>
        <w:rPr/>
        <w:t> 持股比例计算应享有子公司自购买日或合并日开始持续计算的净资产份额之间的差额，调整资本公积（资本溢价或股本溢</w:t>
      </w:r>
      <w:r>
        <w:rPr>
          <w:spacing w:val="-11"/>
        </w:rPr>
        <w:t> </w:t>
      </w:r>
      <w:r>
        <w:rPr>
          <w:spacing w:val="-11"/>
        </w:rPr>
      </w:r>
      <w:r>
        <w:rPr/>
        <w:t>价），资本公积不足冲减的，调整留存收益。</w:t>
      </w:r>
    </w:p>
    <w:p>
      <w:pPr>
        <w:pStyle w:val="BodyText"/>
        <w:spacing w:line="309" w:lineRule="auto" w:before="57"/>
        <w:ind w:right="1132" w:firstLine="360"/>
        <w:jc w:val="both"/>
      </w:pPr>
      <w:r>
        <w:rPr>
          <w:spacing w:val="-2"/>
        </w:rPr>
        <w:t>通过多次交易分步实现的同一控制下企业合并，不属于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的，取得控制权日，合并方在达到合并之前持有的</w:t>
      </w:r>
      <w:r>
        <w:rPr/>
        <w:t> </w:t>
      </w:r>
      <w:r>
        <w:rPr>
          <w:spacing w:val="-2"/>
        </w:rPr>
        <w:t>长期股权投资，在取得日与合并方与被合并方同处于同一方最终控制之日熟晚日与合并日之间已确认的有关损益、其他综合</w:t>
      </w:r>
      <w:r>
        <w:rPr>
          <w:spacing w:val="-64"/>
        </w:rPr>
        <w:t> </w:t>
      </w:r>
      <w:r>
        <w:rPr>
          <w:spacing w:val="-64"/>
        </w:rPr>
      </w:r>
      <w:r>
        <w:rPr/>
        <w:t>收益和其他所有者权益变动，分别冲减比较报表期间的期初留存收益或当期损益。</w:t>
      </w:r>
    </w:p>
    <w:p>
      <w:pPr>
        <w:pStyle w:val="BodyText"/>
        <w:spacing w:line="312" w:lineRule="auto" w:before="65"/>
        <w:ind w:right="1130" w:firstLine="360"/>
        <w:jc w:val="both"/>
      </w:pPr>
      <w:r>
        <w:rPr>
          <w:spacing w:val="-2"/>
        </w:rPr>
        <w:t>通过多次交易分步实现非同一控制下企业合并，不属于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的，在合并财务报表中，对于购买日之前持有的被</w:t>
      </w:r>
      <w:r>
        <w:rPr/>
        <w:t> </w:t>
      </w:r>
      <w:r>
        <w:rPr>
          <w:spacing w:val="-2"/>
        </w:rPr>
        <w:t>购买方的股权，按照该股权在购买日的公允价值进行重新计量，公允价值与其账面价值的差额计入当期投资收益；购买日之</w:t>
      </w:r>
      <w:r>
        <w:rPr>
          <w:spacing w:val="-63"/>
        </w:rPr>
        <w:t> </w:t>
      </w:r>
      <w:r>
        <w:rPr>
          <w:spacing w:val="-63"/>
        </w:rPr>
      </w:r>
      <w:r>
        <w:rPr>
          <w:spacing w:val="-2"/>
        </w:rPr>
        <w:t>前持有的被购买方的股权涉及权益法核算下的其他综合收益等的，与其相关的其他综合收益等转为购买日所属当期收益。由</w:t>
      </w:r>
      <w:r>
        <w:rPr>
          <w:spacing w:val="-64"/>
        </w:rPr>
        <w:t> </w:t>
      </w:r>
      <w:r>
        <w:rPr>
          <w:spacing w:val="-64"/>
        </w:rPr>
      </w:r>
      <w:r>
        <w:rPr/>
        <w:t>于被投资方重新计量设定收益计划净负债或资产变动而产生的其他综合收益除外。</w:t>
      </w:r>
    </w:p>
    <w:p>
      <w:pPr>
        <w:pStyle w:val="BodyText"/>
        <w:spacing w:line="316" w:lineRule="auto" w:before="63"/>
        <w:ind w:right="1131" w:firstLine="360"/>
        <w:jc w:val="both"/>
      </w:pPr>
      <w:r>
        <w:rPr>
          <w:spacing w:val="-2"/>
        </w:rPr>
        <w:t>母公司在不丧失控制权的情况下部分处置对子公司的长期股权投资，在合并财务报表中，处置价款与处置长期股权投资</w:t>
      </w:r>
      <w:r>
        <w:rPr/>
        <w:t> </w:t>
      </w:r>
      <w:r>
        <w:rPr>
          <w:spacing w:val="-2"/>
        </w:rPr>
        <w:t>相对应享有子公司自购买日或合并日开始持续计算的净资产份额之间的差额，调整资本公积（资本溢价或股本溢价），资本</w:t>
      </w:r>
      <w:r>
        <w:rPr>
          <w:spacing w:val="-64"/>
        </w:rPr>
        <w:t> </w:t>
      </w:r>
      <w:r>
        <w:rPr>
          <w:spacing w:val="-64"/>
        </w:rPr>
      </w:r>
      <w:r>
        <w:rPr/>
        <w:t>公积不足冲减的，调整留存收益。</w:t>
      </w:r>
    </w:p>
    <w:p>
      <w:pPr>
        <w:pStyle w:val="BodyText"/>
        <w:spacing w:line="316" w:lineRule="auto" w:before="58"/>
        <w:ind w:right="1130" w:firstLine="360"/>
        <w:jc w:val="both"/>
      </w:pPr>
      <w:r>
        <w:rPr>
          <w:spacing w:val="-2"/>
        </w:rPr>
        <w:t>因处置部分股权投资等原因丧失了对被投资方的控制权的，在编制合并财务报表时，对于剩余股权，按照其在丧失控制</w:t>
      </w:r>
      <w:r>
        <w:rPr/>
        <w:t> </w:t>
      </w:r>
      <w:r>
        <w:rPr>
          <w:spacing w:val="-2"/>
        </w:rPr>
        <w:t>权日的公允价值进行重新计量。处置股权取得的对价与剩余股权公允价值之和，减去按原持股比例计算应享有原有子公司自</w:t>
      </w:r>
      <w:r>
        <w:rPr>
          <w:spacing w:val="-64"/>
        </w:rPr>
        <w:t> </w:t>
      </w:r>
      <w:r>
        <w:rPr>
          <w:spacing w:val="-64"/>
        </w:rPr>
      </w:r>
      <w:r>
        <w:rPr>
          <w:spacing w:val="-2"/>
        </w:rPr>
        <w:t>购买日或合并日开始持续计算的净资产的份额之间的差额，计入丧失控制权当期的投资收益，同时冲减商誉。与原有子公司</w:t>
      </w:r>
      <w:r>
        <w:rPr>
          <w:spacing w:val="-66"/>
        </w:rPr>
        <w:t> </w:t>
      </w:r>
      <w:r>
        <w:rPr>
          <w:spacing w:val="-66"/>
        </w:rPr>
      </w:r>
      <w:r>
        <w:rPr/>
        <w:t>股权投资相关的其他综合收益等，在丧失控制权时转为当期投资收益。</w:t>
      </w:r>
    </w:p>
    <w:p>
      <w:pPr>
        <w:pStyle w:val="BodyText"/>
        <w:spacing w:line="316" w:lineRule="auto" w:before="59"/>
        <w:ind w:right="1130" w:firstLine="360"/>
        <w:jc w:val="both"/>
      </w:pPr>
      <w:r>
        <w:rPr>
          <w:spacing w:val="-2"/>
        </w:rPr>
        <w:t>通过多次交易分步处置对子公司股权投资直至丧失控制权的，如果处置对子公司股权投资直至丧失控制权的各项交易属</w:t>
      </w:r>
      <w:r>
        <w:rPr/>
        <w:t> </w:t>
      </w:r>
      <w:r>
        <w:rPr>
          <w:spacing w:val="-2"/>
        </w:rPr>
        <w:t>于一揽子交易的，将各项交易作为一项处置子公司并丧失控制权的交易进行会计处理；但是，在丧失控制权之前每一次处置</w:t>
      </w:r>
      <w:r>
        <w:rPr>
          <w:spacing w:val="-63"/>
        </w:rPr>
        <w:t> </w:t>
      </w:r>
      <w:r>
        <w:rPr>
          <w:spacing w:val="-63"/>
        </w:rPr>
      </w:r>
      <w:r>
        <w:rPr>
          <w:spacing w:val="-2"/>
        </w:rPr>
        <w:t>价款与处置投资对应的享有该子公司净资产份额的差额，在合并财务报表中确认为其他综合收益，在丧失控制权时一并转入</w:t>
      </w:r>
      <w:r>
        <w:rPr>
          <w:spacing w:val="-64"/>
        </w:rPr>
        <w:t> </w:t>
      </w:r>
      <w:r>
        <w:rPr>
          <w:spacing w:val="-64"/>
        </w:rPr>
      </w:r>
      <w:r>
        <w:rPr/>
        <w:t>丧失控制权当期的损益。</w:t>
      </w:r>
    </w:p>
    <w:p>
      <w:pPr>
        <w:pStyle w:val="BodyText"/>
        <w:spacing w:line="240" w:lineRule="auto" w:before="59"/>
        <w:ind w:left="513" w:right="1133"/>
        <w:jc w:val="left"/>
      </w:pPr>
      <w:r>
        <w:rPr/>
        <w:t>合并所有者权益变动表根据合并资产负债表和合并利润表编制。</w:t>
      </w:r>
    </w:p>
    <w:p>
      <w:pPr>
        <w:pStyle w:val="BodyText"/>
        <w:spacing w:line="340" w:lineRule="auto" w:before="115"/>
        <w:ind w:left="513" w:right="1573"/>
        <w:jc w:val="left"/>
      </w:pPr>
      <w:r>
        <w:rPr>
          <w:rFonts w:ascii="Times New Roman" w:hAnsi="Times New Roman" w:cs="Times New Roman" w:eastAsia="Times New Roman" w:hint="default"/>
        </w:rPr>
        <w:t>1</w:t>
      </w:r>
      <w:r>
        <w:rPr/>
        <w:t>、合并财务报表的合并范围 本公司将下列被投资单位认定为子公司，纳入合并范围。但是，有证据表明本公司不能控制被投资单位的除外：</w:t>
      </w:r>
    </w:p>
    <w:p>
      <w:pPr>
        <w:pStyle w:val="BodyText"/>
        <w:spacing w:line="240" w:lineRule="auto" w:before="41"/>
        <w:ind w:left="513" w:right="1133"/>
        <w:jc w:val="left"/>
      </w:pPr>
      <w:r>
        <w:rPr/>
        <w:t>（</w:t>
      </w:r>
      <w:r>
        <w:rPr>
          <w:rFonts w:ascii="Times New Roman" w:hAnsi="Times New Roman" w:cs="Times New Roman" w:eastAsia="Times New Roman" w:hint="default"/>
        </w:rPr>
        <w:t>1</w:t>
      </w:r>
      <w:r>
        <w:rPr/>
        <w:t>）公司直接或通过子公司间接拥有被投资单位半数以上的表决权；</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left="513" w:right="1133"/>
        <w:jc w:val="left"/>
      </w:pPr>
      <w:r>
        <w:rPr/>
        <w:t>（</w:t>
      </w:r>
      <w:r>
        <w:rPr>
          <w:rFonts w:ascii="Times New Roman" w:hAnsi="Times New Roman" w:cs="Times New Roman" w:eastAsia="Times New Roman" w:hint="default"/>
        </w:rPr>
        <w:t>2</w:t>
      </w:r>
      <w:r>
        <w:rPr/>
        <w:t>）公司拥有被投资单位半数或以下的表决权，且满足下列条件之一的：</w:t>
      </w:r>
    </w:p>
    <w:p>
      <w:pPr>
        <w:pStyle w:val="BodyText"/>
        <w:spacing w:line="240" w:lineRule="auto" w:before="103"/>
        <w:ind w:left="513" w:right="1133"/>
        <w:jc w:val="left"/>
      </w:pPr>
      <w:r>
        <w:rPr/>
        <w:t>①通过与被投资单位其他投资者之间的协议拥有被投资单位半数以上表决权；</w:t>
      </w:r>
    </w:p>
    <w:p>
      <w:pPr>
        <w:pStyle w:val="BodyText"/>
        <w:spacing w:line="240" w:lineRule="auto" w:before="115"/>
        <w:ind w:left="513" w:right="1133"/>
        <w:jc w:val="left"/>
      </w:pPr>
      <w:r>
        <w:rPr/>
        <w:t>②根据公司章程或协议，有权决定被投资单位的财务和经营政策；</w:t>
      </w:r>
    </w:p>
    <w:p>
      <w:pPr>
        <w:pStyle w:val="BodyText"/>
        <w:spacing w:line="240" w:lineRule="auto" w:before="117"/>
        <w:ind w:left="513" w:right="1133"/>
        <w:jc w:val="left"/>
      </w:pPr>
      <w:r>
        <w:rPr/>
        <w:t>③有权任免被投资单位的董事会或类似机构的多数成员；</w:t>
      </w:r>
    </w:p>
    <w:p>
      <w:pPr>
        <w:pStyle w:val="BodyText"/>
        <w:spacing w:line="240" w:lineRule="auto" w:before="117"/>
        <w:ind w:left="513" w:right="1133"/>
        <w:jc w:val="left"/>
      </w:pPr>
      <w:r>
        <w:rPr/>
        <w:t>④在被投资单位的董事会或类似机构占多数表决权。</w:t>
      </w:r>
    </w:p>
    <w:p>
      <w:pPr>
        <w:pStyle w:val="BodyText"/>
        <w:spacing w:line="240" w:lineRule="auto" w:before="115"/>
        <w:ind w:left="513" w:right="1133"/>
        <w:jc w:val="left"/>
      </w:pPr>
      <w:r>
        <w:rPr>
          <w:rFonts w:ascii="Times New Roman" w:hAnsi="Times New Roman" w:cs="Times New Roman" w:eastAsia="Times New Roman" w:hint="default"/>
        </w:rPr>
        <w:t>2</w:t>
      </w:r>
      <w:r>
        <w:rPr/>
        <w:t>、合并财务报表的编制方法</w:t>
      </w:r>
    </w:p>
    <w:p>
      <w:pPr>
        <w:pStyle w:val="BodyText"/>
        <w:spacing w:line="300" w:lineRule="auto" w:before="103"/>
        <w:ind w:right="1122" w:firstLine="360"/>
        <w:jc w:val="left"/>
      </w:pPr>
      <w:r>
        <w:rPr>
          <w:spacing w:val="-1"/>
        </w:rPr>
        <w:t>合并财务报表按照</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2</w:t>
      </w:r>
      <w:r>
        <w:rPr>
          <w:spacing w:val="-1"/>
        </w:rPr>
        <w:t>月颁布的《企业会计准则第</w:t>
      </w:r>
      <w:r>
        <w:rPr>
          <w:rFonts w:ascii="Times New Roman" w:hAnsi="Times New Roman" w:cs="Times New Roman" w:eastAsia="Times New Roman" w:hint="default"/>
          <w:spacing w:val="-1"/>
        </w:rPr>
        <w:t>33</w:t>
      </w:r>
      <w:r>
        <w:rPr>
          <w:rFonts w:ascii="Times New Roman" w:hAnsi="Times New Roman" w:cs="Times New Roman" w:eastAsia="Times New Roman" w:hint="default"/>
          <w:spacing w:val="39"/>
        </w:rPr>
        <w:t> </w:t>
      </w:r>
      <w:r>
        <w:rPr>
          <w:spacing w:val="-2"/>
        </w:rPr>
        <w:t>号</w:t>
      </w:r>
      <w:r>
        <w:rPr>
          <w:rFonts w:ascii="Times New Roman" w:hAnsi="Times New Roman" w:cs="Times New Roman" w:eastAsia="Times New Roman" w:hint="default"/>
          <w:spacing w:val="-2"/>
        </w:rPr>
        <w:t>—</w:t>
      </w:r>
      <w:r>
        <w:rPr>
          <w:spacing w:val="-2"/>
        </w:rPr>
        <w:t>合并财务报表》执行。即以母公司和纳入合并范围的子公</w:t>
      </w:r>
      <w:r>
        <w:rPr/>
        <w:t> 司的个别财务报表为基础，根据其他有关资料为依据，按照权益法调整对子公司的长期股权投资后，由母公司编制。</w:t>
      </w:r>
    </w:p>
    <w:p>
      <w:pPr>
        <w:pStyle w:val="BodyText"/>
        <w:spacing w:line="316" w:lineRule="auto" w:before="72"/>
        <w:ind w:right="1118" w:firstLine="360"/>
        <w:jc w:val="left"/>
      </w:pPr>
      <w:r>
        <w:rPr>
          <w:spacing w:val="-2"/>
        </w:rPr>
        <w:t>集团内部所有重大往来余额、交易及未实现利润在合并财务报表编制时予以抵消。子公司的股东权益中不属于母公司所</w:t>
      </w:r>
      <w:r>
        <w:rPr/>
        <w:t> 拥有的部分作为少数股东权益在合并财务报表中股东权益项下单独列示。</w:t>
      </w:r>
    </w:p>
    <w:p>
      <w:pPr>
        <w:pStyle w:val="BodyText"/>
        <w:spacing w:line="316" w:lineRule="auto" w:before="58"/>
        <w:ind w:right="1118" w:firstLine="360"/>
        <w:jc w:val="left"/>
      </w:pPr>
      <w:r>
        <w:rPr>
          <w:spacing w:val="-2"/>
        </w:rPr>
        <w:t>子公司与母公司采用的会计政策或会计期间不一致的，在编制合并财务报表时，按照母公司的会计政策或会计期间对子</w:t>
      </w:r>
      <w:r>
        <w:rPr/>
        <w:t> 公司财务报表进行必要的调整。</w:t>
      </w:r>
    </w:p>
    <w:p>
      <w:pPr>
        <w:pStyle w:val="BodyText"/>
        <w:spacing w:line="316" w:lineRule="auto" w:before="59"/>
        <w:ind w:right="1131" w:firstLine="360"/>
        <w:jc w:val="both"/>
      </w:pPr>
      <w:r>
        <w:rPr>
          <w:spacing w:val="-2"/>
        </w:rPr>
        <w:t>对于因非同一控制下企业合并取得的子公司，在编制合并财务报表时，以购买日可辨认净资产公允价值为基础对其个别</w:t>
      </w:r>
      <w:r>
        <w:rPr/>
        <w:t> </w:t>
      </w:r>
      <w:r>
        <w:rPr>
          <w:spacing w:val="-2"/>
        </w:rPr>
        <w:t>财务报表进行调整；对于因同一控制下企业合并取得的子公司，在编制合并财务报表时，视同该企业合并于报告期最早期间</w:t>
      </w:r>
      <w:r>
        <w:rPr>
          <w:spacing w:val="-64"/>
        </w:rPr>
        <w:t> </w:t>
      </w:r>
      <w:r>
        <w:rPr>
          <w:spacing w:val="-64"/>
        </w:rPr>
      </w:r>
      <w:r>
        <w:rPr>
          <w:spacing w:val="-2"/>
        </w:rPr>
        <w:t>的期初已经发生，从报告期最早期间的期初起将其资产、负债、经营成果和现金流量纳入合并财务报表，且其合并日前实现</w:t>
      </w:r>
      <w:r>
        <w:rPr>
          <w:spacing w:val="-65"/>
        </w:rPr>
        <w:t> </w:t>
      </w:r>
      <w:r>
        <w:rPr>
          <w:spacing w:val="-65"/>
        </w:rPr>
      </w:r>
      <w:r>
        <w:rPr/>
        <w:t>的净利润在合并利润表中单列项目反映。</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034" w:firstLine="360"/>
        <w:jc w:val="left"/>
      </w:pPr>
      <w:r>
        <w:rPr/>
        <w:t>合营安排指一项由两个或两个以上的参与方共同控制的安排。共同控制，是指按照相关约定对某项安排所共有的控制， 并且该安排的相关活动必须经过分享控制权的参与方一致同意后才能决策。</w:t>
      </w:r>
    </w:p>
    <w:p>
      <w:pPr>
        <w:pStyle w:val="BodyText"/>
        <w:spacing w:line="360" w:lineRule="auto" w:before="55"/>
        <w:ind w:left="513" w:right="1118"/>
        <w:jc w:val="left"/>
      </w:pPr>
      <w:r>
        <w:rPr/>
        <w:t>本公司根据在合营安排中享有的权利和承担的义务将合营安排分为共同经营和合营企业。 </w:t>
      </w:r>
      <w:r>
        <w:rPr>
          <w:spacing w:val="-2"/>
        </w:rPr>
        <w:t>共同经营，是指合营方享有该安排相关资产且承担该安排相关负债的合营安排。本公司作为共同经营中的合营方按照相</w:t>
      </w:r>
    </w:p>
    <w:p>
      <w:pPr>
        <w:pStyle w:val="BodyText"/>
        <w:spacing w:line="222" w:lineRule="exact"/>
        <w:ind w:right="986"/>
        <w:jc w:val="left"/>
      </w:pPr>
      <w:r>
        <w:rPr/>
        <w:t>关企业会计准则的规定确认单独持有的资产和承担的负债，以及按份额确认持有的资产和承担的负债，根据相关约定单独或</w:t>
      </w:r>
    </w:p>
    <w:p>
      <w:pPr>
        <w:pStyle w:val="BodyText"/>
        <w:spacing w:line="316" w:lineRule="auto" w:before="76"/>
        <w:ind w:right="1118"/>
        <w:jc w:val="left"/>
      </w:pPr>
      <w:r>
        <w:rPr>
          <w:spacing w:val="-2"/>
        </w:rPr>
        <w:t>按份额确认相关的收入和费用。与共同经营发生购买、销售不构成业务的资产交易的，仅确认因该交易产生的损益中归属于</w:t>
      </w:r>
      <w:r>
        <w:rPr>
          <w:spacing w:val="-66"/>
        </w:rPr>
        <w:t> </w:t>
      </w:r>
      <w:r>
        <w:rPr>
          <w:spacing w:val="-66"/>
        </w:rPr>
      </w:r>
      <w:r>
        <w:rPr/>
        <w:t>共同经营其他参与方的部分。</w:t>
      </w:r>
    </w:p>
    <w:p>
      <w:pPr>
        <w:pStyle w:val="BodyText"/>
        <w:spacing w:line="300" w:lineRule="auto" w:before="59"/>
        <w:ind w:right="1124" w:firstLine="360"/>
        <w:jc w:val="left"/>
      </w:pPr>
      <w:r>
        <w:rPr/>
        <w:t>合营企业是指合营方仅对该安排的净资产享有权利的合营安排。本公司作为合营企业的合营方按照《企业会计准则第</w:t>
      </w:r>
      <w:r>
        <w:rPr>
          <w:rFonts w:ascii="Times New Roman" w:hAnsi="Times New Roman" w:cs="Times New Roman" w:eastAsia="Times New Roman" w:hint="default"/>
        </w:rPr>
        <w:t>2 </w:t>
      </w:r>
      <w:r>
        <w:rPr/>
        <w:t>号</w:t>
      </w:r>
      <w:r>
        <w:rPr>
          <w:rFonts w:ascii="Times New Roman" w:hAnsi="Times New Roman" w:cs="Times New Roman" w:eastAsia="Times New Roman" w:hint="default"/>
        </w:rPr>
        <w:t>—</w:t>
      </w:r>
      <w:r>
        <w:rPr/>
        <w:t>长期股权投资》的规定对合营企业的投资进行会计处理。</w:t>
      </w:r>
    </w:p>
    <w:p>
      <w:pPr>
        <w:spacing w:line="240" w:lineRule="auto" w:before="2"/>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18" w:firstLine="360"/>
        <w:jc w:val="left"/>
      </w:pPr>
      <w:r>
        <w:rPr>
          <w:spacing w:val="-2"/>
        </w:rPr>
        <w:t>在编制现金流量表时，将库存现金以及可以随时用于支付的存款确认为现金。现金等价物是指持有的期限短（一般是指</w:t>
      </w:r>
      <w:r>
        <w:rPr/>
        <w:t> 从购买日起三个月内到期）、流动性强、易于转换为已知金额现金及价值变动风险很小的投资。</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513" w:right="3913"/>
        <w:jc w:val="left"/>
      </w:pPr>
      <w:r>
        <w:rPr>
          <w:rFonts w:ascii="Times New Roman" w:hAnsi="Times New Roman" w:cs="Times New Roman" w:eastAsia="Times New Roman" w:hint="default"/>
        </w:rPr>
        <w:t>1</w:t>
      </w:r>
      <w:r>
        <w:rPr/>
        <w:t>、外币业务折算 外币业务采用交易发生日的即期汇率作为折算汇率将外币金额折合成人民币记账。</w:t>
      </w:r>
    </w:p>
    <w:p>
      <w:pPr>
        <w:pStyle w:val="BodyText"/>
        <w:spacing w:line="319" w:lineRule="auto" w:before="43"/>
        <w:ind w:right="1034" w:firstLine="360"/>
        <w:jc w:val="left"/>
      </w:pPr>
      <w:r>
        <w:rPr>
          <w:spacing w:val="-2"/>
        </w:rPr>
        <w:t>外币货币性项目余额按资产负债表日即期汇率折算，由此产生的汇兑差额，除属于与购建符合资本化条件的资产相关的</w:t>
      </w:r>
      <w:r>
        <w:rPr/>
        <w:t> 外币专门借款产生的汇兑差额按照借款费用资本化的原则处理外，均计入当期损益。以历史成本计量的外币非货币性项目， </w:t>
      </w:r>
      <w:r>
        <w:rPr>
          <w:spacing w:val="-2"/>
        </w:rPr>
        <w:t>仍采用交易发生日的即期汇率折算，不改变其记账本位币金额。以公允价值计量的外币非货币性项目，采用公允价值确定日</w:t>
      </w:r>
      <w:r>
        <w:rPr>
          <w:spacing w:val="-63"/>
        </w:rPr>
        <w:t> </w:t>
      </w:r>
      <w:r>
        <w:rPr>
          <w:spacing w:val="-63"/>
        </w:rPr>
      </w:r>
      <w:r>
        <w:rPr/>
        <w:t>的即期汇率折算，由此产生的汇兑差额计入当期损益或其他综合收益。</w:t>
      </w:r>
    </w:p>
    <w:p>
      <w:pPr>
        <w:pStyle w:val="BodyText"/>
        <w:spacing w:line="240" w:lineRule="auto" w:before="58"/>
        <w:ind w:left="513" w:right="1133"/>
        <w:jc w:val="left"/>
      </w:pPr>
      <w:r>
        <w:rPr>
          <w:rFonts w:ascii="Times New Roman" w:hAnsi="Times New Roman" w:cs="Times New Roman" w:eastAsia="Times New Roman" w:hint="default"/>
        </w:rPr>
        <w:t>2</w:t>
      </w:r>
      <w:r>
        <w:rPr/>
        <w:t>、外币报表的折算方法</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09" w:lineRule="auto" w:before="44"/>
        <w:ind w:right="1130" w:firstLine="360"/>
        <w:jc w:val="both"/>
      </w:pP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w:t>
      </w:r>
      <w:r>
        <w:rPr/>
        <w:t> </w:t>
      </w:r>
      <w:r>
        <w:rPr>
          <w:spacing w:val="-2"/>
        </w:rPr>
        <w:t>目采用发生时的即期汇率折算。利润表中的收入和费用项目，采用交易发生日的即期汇率折算。按照上述折算产生的外币财</w:t>
      </w:r>
      <w:r>
        <w:rPr>
          <w:spacing w:val="-63"/>
        </w:rPr>
        <w:t> </w:t>
      </w:r>
      <w:r>
        <w:rPr>
          <w:spacing w:val="-63"/>
        </w:rPr>
      </w:r>
      <w:r>
        <w:rPr/>
        <w:t>务报表折算差额，在其他综合收益项目下单独列示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项目。</w:t>
      </w:r>
    </w:p>
    <w:p>
      <w:pPr>
        <w:pStyle w:val="BodyText"/>
        <w:spacing w:line="316" w:lineRule="auto" w:before="46"/>
        <w:ind w:right="1130" w:firstLine="360"/>
        <w:jc w:val="both"/>
      </w:pPr>
      <w:r>
        <w:rPr>
          <w:spacing w:val="-2"/>
        </w:rPr>
        <w:t>处置境外经营时，将资产负债表中其他综合收益项目下列示的、与该境外经营相关的外币财务报表折算差额，自其他综</w:t>
      </w:r>
      <w:r>
        <w:rPr/>
        <w:t> </w:t>
      </w:r>
      <w:r>
        <w:rPr>
          <w:spacing w:val="-2"/>
        </w:rPr>
        <w:t>合收益项目转入处置当期损益；部分处置境外经营的，按处置的比例计算处置部分的外币财务报表折算差额，转入处置当期</w:t>
      </w:r>
      <w:r>
        <w:rPr>
          <w:spacing w:val="-66"/>
        </w:rPr>
        <w:t> </w:t>
      </w:r>
      <w:r>
        <w:rPr>
          <w:spacing w:val="-66"/>
        </w:rPr>
      </w:r>
      <w:r>
        <w:rPr/>
        <w:t>损益。</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360"/>
        <w:jc w:val="both"/>
      </w:pPr>
      <w:r>
        <w:rPr>
          <w:spacing w:val="-2"/>
        </w:rPr>
        <w:t>金融工具，是指形成一个企业的金融资产，并形成其他单位的金融负债或权益工具的合同。当本公司成为金融工具合同</w:t>
      </w:r>
      <w:r>
        <w:rPr/>
        <w:t> 的一方时，确认相关的金融资产或金融负债。</w:t>
      </w:r>
    </w:p>
    <w:p>
      <w:pPr>
        <w:pStyle w:val="BodyText"/>
        <w:spacing w:line="240" w:lineRule="auto" w:before="60"/>
        <w:ind w:left="513" w:right="1133"/>
        <w:jc w:val="left"/>
      </w:pPr>
      <w:r>
        <w:rPr/>
        <w:t>（</w:t>
      </w:r>
      <w:r>
        <w:rPr>
          <w:rFonts w:ascii="Times New Roman" w:hAnsi="Times New Roman" w:cs="Times New Roman" w:eastAsia="Times New Roman" w:hint="default"/>
        </w:rPr>
        <w:t>1</w:t>
      </w:r>
      <w:r>
        <w:rPr/>
        <w:t>）金融资产</w:t>
      </w:r>
    </w:p>
    <w:p>
      <w:pPr>
        <w:pStyle w:val="BodyText"/>
        <w:spacing w:line="338" w:lineRule="auto" w:before="103"/>
        <w:ind w:left="513" w:right="1118"/>
        <w:jc w:val="left"/>
      </w:pPr>
      <w:r>
        <w:rPr>
          <w:rFonts w:ascii="Times New Roman" w:hAnsi="Times New Roman" w:cs="Times New Roman" w:eastAsia="Times New Roman" w:hint="default"/>
        </w:rPr>
        <w:t>1.1</w:t>
      </w:r>
      <w:r>
        <w:rPr/>
        <w:t>金融资产分类、确认依据和计量方法 </w:t>
      </w:r>
      <w:r>
        <w:rPr>
          <w:spacing w:val="-2"/>
        </w:rPr>
        <w:t>本公司根据管理金融资产的业务模式和金融资产的合同现金流特征，将金融资产分类为以摊余成本计量的金融资产、以</w:t>
      </w:r>
    </w:p>
    <w:p>
      <w:pPr>
        <w:pStyle w:val="BodyText"/>
        <w:spacing w:line="360" w:lineRule="auto" w:before="2"/>
        <w:ind w:left="513" w:right="1118" w:hanging="361"/>
        <w:jc w:val="left"/>
      </w:pPr>
      <w:r>
        <w:rPr/>
        <w:t>公允价值计量且其变动计入其他综合收益的金融资产、以公允价值计量且其变动计入当期损益的金融资产。 </w:t>
      </w:r>
      <w:r>
        <w:rPr>
          <w:spacing w:val="-2"/>
        </w:rPr>
        <w:t>本公司将同时符合下列条件的金融资产分类为以摊余成本计量的金融资产：①管理该金融资产的业务模式是以收取合同</w:t>
      </w:r>
    </w:p>
    <w:p>
      <w:pPr>
        <w:pStyle w:val="BodyText"/>
        <w:spacing w:line="222" w:lineRule="exact"/>
        <w:ind w:right="0"/>
        <w:jc w:val="both"/>
      </w:pPr>
      <w:r>
        <w:rPr/>
        <w:t>现金流量为目标。②该金融资产的合同条款规定，在特定日期产生的现金流量，仅为对本金和以未偿付本金金额为基础的利</w:t>
      </w:r>
    </w:p>
    <w:p>
      <w:pPr>
        <w:pStyle w:val="BodyText"/>
        <w:spacing w:line="316" w:lineRule="auto" w:before="76"/>
        <w:ind w:right="1129"/>
        <w:jc w:val="both"/>
      </w:pPr>
      <w:r>
        <w:rPr>
          <w:spacing w:val="-2"/>
        </w:rPr>
        <w:t>息的支付。此类金融资产按照公允价值进行初始计量，相关交易费用计入初始确认金额；以摊余成本进行后续计量。除被指</w:t>
      </w:r>
      <w:r>
        <w:rPr>
          <w:spacing w:val="-65"/>
        </w:rPr>
        <w:t> </w:t>
      </w:r>
      <w:r>
        <w:rPr>
          <w:spacing w:val="-65"/>
        </w:rPr>
      </w:r>
      <w:r>
        <w:rPr>
          <w:spacing w:val="-2"/>
        </w:rPr>
        <w:t>定为被套期项目的，按照实际利率法摊销初始金额与到期金额之间的差额，其摊销、减值、汇兑损益以及终止确认时产生的</w:t>
      </w:r>
      <w:r>
        <w:rPr>
          <w:spacing w:val="-62"/>
        </w:rPr>
        <w:t> </w:t>
      </w:r>
      <w:r>
        <w:rPr>
          <w:spacing w:val="-62"/>
        </w:rPr>
      </w:r>
      <w:r>
        <w:rPr/>
        <w:t>利得或损失，计入当期损益。此类金融资产主要包含货币资金、应收账款、应收账款保理、其他应收款和长期应收款等。</w:t>
      </w:r>
    </w:p>
    <w:p>
      <w:pPr>
        <w:pStyle w:val="BodyText"/>
        <w:spacing w:line="316" w:lineRule="auto" w:before="60"/>
        <w:ind w:right="1129" w:firstLine="360"/>
        <w:jc w:val="both"/>
      </w:pPr>
      <w:r>
        <w:rPr>
          <w:spacing w:val="-2"/>
        </w:rPr>
        <w:t>本公司将同时符合下列条件的金融资产分类为以公允价值计量且其变动计入其他综合收益的金融资产：①管理该金融资</w:t>
      </w:r>
      <w:r>
        <w:rPr/>
        <w:t> </w:t>
      </w:r>
      <w:r>
        <w:rPr>
          <w:spacing w:val="-2"/>
        </w:rPr>
        <w:t>产的业务模式既以收取合同现金流量为目标又以出售该金融资产为目标。②该金融资产的合同条款规定，在特定日期产生的</w:t>
      </w:r>
      <w:r>
        <w:rPr>
          <w:spacing w:val="-64"/>
        </w:rPr>
        <w:t> </w:t>
      </w:r>
      <w:r>
        <w:rPr>
          <w:spacing w:val="-64"/>
        </w:rPr>
      </w:r>
      <w:r>
        <w:rPr>
          <w:spacing w:val="-2"/>
        </w:rPr>
        <w:t>现金流量，仅为对本金和以未偿付本金金额为基础的利息的支付。此类金融资产按照公允价值进行初始计量，相关交易费用</w:t>
      </w:r>
      <w:r>
        <w:rPr>
          <w:spacing w:val="-63"/>
        </w:rPr>
        <w:t> </w:t>
      </w:r>
      <w:r>
        <w:rPr>
          <w:spacing w:val="-63"/>
        </w:rPr>
      </w:r>
      <w:r>
        <w:rPr>
          <w:spacing w:val="-2"/>
        </w:rPr>
        <w:t>计入初始确认金额。除被指定为被套期项目的，此类金融资产，除信用减值损失或利得、汇兑损益和按照实际利率法计算的</w:t>
      </w:r>
      <w:r>
        <w:rPr>
          <w:spacing w:val="-63"/>
        </w:rPr>
        <w:t> </w:t>
      </w:r>
      <w:r>
        <w:rPr>
          <w:spacing w:val="-63"/>
        </w:rPr>
      </w:r>
      <w:r>
        <w:rPr>
          <w:spacing w:val="-2"/>
        </w:rPr>
        <w:t>该金融资产利息之外，所产生的其他利得或损失，均计入其他综合收益；金融资产终止确认时，之前计入其他综合收益的累</w:t>
      </w:r>
      <w:r>
        <w:rPr>
          <w:spacing w:val="-65"/>
        </w:rPr>
        <w:t> </w:t>
      </w:r>
      <w:r>
        <w:rPr>
          <w:spacing w:val="-65"/>
        </w:rPr>
      </w:r>
      <w:r>
        <w:rPr/>
        <w:t>计利得或损失应当从其他综合收益中转出，计入当期损益。</w:t>
      </w:r>
    </w:p>
    <w:p>
      <w:pPr>
        <w:pStyle w:val="BodyText"/>
        <w:spacing w:line="316" w:lineRule="auto" w:before="57"/>
        <w:ind w:right="1129" w:firstLine="360"/>
        <w:jc w:val="both"/>
      </w:pPr>
      <w:r>
        <w:rPr>
          <w:spacing w:val="-2"/>
        </w:rPr>
        <w:t>本公司按照实际利率法确认利息收入。利息收入根据金融资产账面余额乘以实际利率计算确定，但下列情况除外：①对</w:t>
      </w:r>
      <w:r>
        <w:rPr/>
        <w:t> </w:t>
      </w:r>
      <w:r>
        <w:rPr>
          <w:spacing w:val="-2"/>
        </w:rPr>
        <w:t>于购入或源生的已发生信用减值的金融资产，自初始确认起，按照该金融资产的摊余成本和经信用调整的实际利率计算确定</w:t>
      </w:r>
      <w:r>
        <w:rPr>
          <w:spacing w:val="-64"/>
        </w:rPr>
        <w:t> </w:t>
      </w:r>
      <w:r>
        <w:rPr>
          <w:spacing w:val="-64"/>
        </w:rPr>
      </w:r>
      <w:r>
        <w:rPr>
          <w:spacing w:val="-2"/>
        </w:rPr>
        <w:t>其利息收入。②对于购入或源生的未发生信用减值、但在后续期间成为已发生信用减值的金融资产，在后续期间，按照该金</w:t>
      </w:r>
      <w:r>
        <w:rPr>
          <w:spacing w:val="-62"/>
        </w:rPr>
        <w:t> </w:t>
      </w:r>
      <w:r>
        <w:rPr>
          <w:spacing w:val="-62"/>
        </w:rPr>
      </w:r>
      <w:r>
        <w:rPr/>
        <w:t>融资产的摊余成本和实际利率计算确定其利息收入。</w:t>
      </w:r>
    </w:p>
    <w:p>
      <w:pPr>
        <w:pStyle w:val="BodyText"/>
        <w:spacing w:line="319" w:lineRule="auto" w:before="59"/>
        <w:ind w:right="986" w:firstLine="360"/>
        <w:jc w:val="left"/>
      </w:pPr>
      <w:r>
        <w:rPr>
          <w:spacing w:val="-2"/>
        </w:rPr>
        <w:t>本公司将非交易性权益工具投资指定为以公允价值计量且其变动计入其他综合收益的金融资产。列示为其他权益工具投</w:t>
      </w:r>
      <w:r>
        <w:rPr/>
        <w:t> </w:t>
      </w:r>
      <w:r>
        <w:rPr>
          <w:spacing w:val="-2"/>
        </w:rPr>
        <w:t>资。该指定一经做出，不得撤销。本公司指定的以公允价值计量且其变动计入其他综合收益的非交易性权益工具投资，按照</w:t>
      </w:r>
      <w:r>
        <w:rPr>
          <w:spacing w:val="-64"/>
        </w:rPr>
        <w:t> </w:t>
      </w:r>
      <w:r>
        <w:rPr>
          <w:spacing w:val="-64"/>
        </w:rPr>
      </w:r>
      <w:r>
        <w:rPr>
          <w:spacing w:val="-4"/>
        </w:rPr>
        <w:t>公允价值进行初始计量，相关交易费用计入初始确认金额；除了获得股利（属于投资成本收回部分的除外）计入当期损益外，</w:t>
      </w:r>
      <w:r>
        <w:rPr>
          <w:spacing w:val="-46"/>
        </w:rPr>
        <w:t> </w:t>
      </w:r>
      <w:r>
        <w:rPr>
          <w:spacing w:val="-46"/>
        </w:rPr>
      </w:r>
      <w:r>
        <w:rPr>
          <w:spacing w:val="-2"/>
        </w:rPr>
        <w:t>其他相关的利得和损失（包括汇兑损益）均计入其他综合收益，且后续不得转入当期损益。当其终止确认时，之前计入其他</w:t>
      </w:r>
      <w:r>
        <w:rPr>
          <w:spacing w:val="-67"/>
        </w:rPr>
        <w:t> </w:t>
      </w:r>
      <w:r>
        <w:rPr>
          <w:spacing w:val="-67"/>
        </w:rPr>
      </w:r>
      <w:r>
        <w:rPr/>
        <w:t>综合收益的累计利得或损失从其他综合收益中转出，计入留存收益。</w:t>
      </w:r>
    </w:p>
    <w:p>
      <w:pPr>
        <w:pStyle w:val="BodyText"/>
        <w:spacing w:line="316" w:lineRule="auto" w:before="58"/>
        <w:ind w:right="1131" w:firstLine="360"/>
        <w:jc w:val="both"/>
      </w:pPr>
      <w:r>
        <w:rPr>
          <w:spacing w:val="-2"/>
        </w:rPr>
        <w:t>本公司将持有的未划分为以摊余成本计量和以公允价值计量且其变动计入其他综合收益的债务工具，以公允价值计量且</w:t>
      </w:r>
      <w:r>
        <w:rPr/>
        <w:t> </w:t>
      </w:r>
      <w:r>
        <w:rPr>
          <w:spacing w:val="-2"/>
        </w:rPr>
        <w:t>其变动计入当期损益，列示为交易性金融资产。在初始确认时，本公司为了消除或显著减少会计错配，将部分金融资产指定</w:t>
      </w:r>
      <w:r>
        <w:rPr>
          <w:spacing w:val="-65"/>
        </w:rPr>
        <w:t> </w:t>
      </w:r>
      <w:r>
        <w:rPr>
          <w:spacing w:val="-65"/>
        </w:rPr>
      </w:r>
      <w:r>
        <w:rPr>
          <w:spacing w:val="-2"/>
        </w:rPr>
        <w:t>为以公允价值计量且其变动计入当期损益的金融资产。自资产负债表日起超过一年到期且预期持有超过一年的，列示为其他</w:t>
      </w:r>
      <w:r>
        <w:rPr>
          <w:spacing w:val="-64"/>
        </w:rPr>
        <w:t> </w:t>
      </w:r>
      <w:r>
        <w:rPr>
          <w:spacing w:val="-64"/>
        </w:rPr>
      </w:r>
      <w:r>
        <w:rPr/>
        <w:t>非流动金融资产。</w:t>
      </w:r>
    </w:p>
    <w:p>
      <w:pPr>
        <w:pStyle w:val="BodyText"/>
        <w:spacing w:line="316" w:lineRule="auto" w:before="59"/>
        <w:ind w:right="1132" w:firstLine="360"/>
        <w:jc w:val="both"/>
      </w:pPr>
      <w:r>
        <w:rPr>
          <w:spacing w:val="-2"/>
        </w:rPr>
        <w:t>本公司在非同一控制下的企业合并中确认的或有对价构成金融资产的，该金融资产分类为以公允价值计量且其变动计入</w:t>
      </w:r>
      <w:r>
        <w:rPr/>
        <w:t> 当期损益的金融资产。</w:t>
      </w:r>
    </w:p>
    <w:p>
      <w:pPr>
        <w:pStyle w:val="BodyText"/>
        <w:spacing w:line="357" w:lineRule="auto" w:before="60"/>
        <w:ind w:left="513" w:right="1118"/>
        <w:jc w:val="left"/>
      </w:pPr>
      <w:r>
        <w:rPr/>
        <w:t>金融资产转移的确认依据和计量方法 </w:t>
      </w:r>
      <w:r>
        <w:rPr>
          <w:spacing w:val="-2"/>
        </w:rPr>
        <w:t>本公司将满足下列条件之一的金融资产予以终止确认：①收取该金融资产现金流量的合同权利终止；②金融资产发生转</w:t>
      </w:r>
    </w:p>
    <w:p>
      <w:pPr>
        <w:spacing w:after="0" w:line="357"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4"/>
        <w:ind w:right="1130"/>
        <w:jc w:val="both"/>
      </w:pPr>
      <w:r>
        <w:rPr>
          <w:spacing w:val="-2"/>
        </w:rPr>
        <w:t>移，本公司转移了金融资产所有权上几乎所有风险和报酬；③金融资产发生转移，本公司既没有转移也没有保留金融资产所</w:t>
      </w:r>
      <w:r>
        <w:rPr>
          <w:spacing w:val="-63"/>
        </w:rPr>
        <w:t> </w:t>
      </w:r>
      <w:r>
        <w:rPr>
          <w:spacing w:val="-63"/>
        </w:rPr>
      </w:r>
      <w:r>
        <w:rPr/>
        <w:t>有权上几乎所有风险和报酬，且未保留对该金融资产控制的。</w:t>
      </w:r>
    </w:p>
    <w:p>
      <w:pPr>
        <w:pStyle w:val="BodyText"/>
        <w:spacing w:line="316" w:lineRule="auto" w:before="59"/>
        <w:ind w:right="986" w:firstLine="360"/>
        <w:jc w:val="left"/>
      </w:pPr>
      <w:r>
        <w:rPr>
          <w:spacing w:val="-2"/>
        </w:rPr>
        <w:t>金融资产整体转移满足终止确认条件的，将所转移金融资产的账面价值，与因转移而收到的对价及原直接计入其他综合</w:t>
      </w:r>
      <w:r>
        <w:rPr/>
        <w:t> </w:t>
      </w:r>
      <w:r>
        <w:rPr>
          <w:spacing w:val="-4"/>
        </w:rPr>
        <w:t>收益的公允价值变动累计额中对应终止确认部分的金额（涉及转移的金融资产的合同条款规定，在特定日期产生的现金流量，</w:t>
      </w:r>
      <w:r>
        <w:rPr>
          <w:spacing w:val="-44"/>
        </w:rPr>
        <w:t> </w:t>
      </w:r>
      <w:r>
        <w:rPr>
          <w:spacing w:val="-44"/>
        </w:rPr>
      </w:r>
      <w:r>
        <w:rPr/>
        <w:t>仅为对本金和以未偿付本金金额为基础的利息的支付）之和的差额计入当期损益。</w:t>
      </w:r>
    </w:p>
    <w:p>
      <w:pPr>
        <w:pStyle w:val="BodyText"/>
        <w:spacing w:line="316" w:lineRule="auto" w:before="57"/>
        <w:ind w:right="1034" w:firstLine="360"/>
        <w:jc w:val="left"/>
      </w:pPr>
      <w:r>
        <w:rPr/>
        <w:t>金融资产部分转移满足终止确认条件的，将所转移金融资产整体的账面价值，在终止确认部分和未终止确认部分之间， </w:t>
      </w:r>
      <w:r>
        <w:rPr>
          <w:spacing w:val="-2"/>
        </w:rPr>
        <w:t>按照各自的相对公允价值进行分摊，并将因转移而收到的对价及应分摊至终止确认部分的原计入其他综合收益的公允价值变</w:t>
      </w:r>
      <w:r>
        <w:rPr>
          <w:spacing w:val="-64"/>
        </w:rPr>
        <w:t> </w:t>
      </w:r>
      <w:r>
        <w:rPr>
          <w:spacing w:val="-64"/>
        </w:rPr>
      </w:r>
      <w:r>
        <w:rPr>
          <w:spacing w:val="-2"/>
        </w:rPr>
        <w:t>动累计额中对应终止确认部分的金额（涉及转移的金融资产的合同条款规定，在特定日期产生的现金流量，仅为对本金和以</w:t>
      </w:r>
      <w:r>
        <w:rPr>
          <w:spacing w:val="-63"/>
        </w:rPr>
        <w:t> </w:t>
      </w:r>
      <w:r>
        <w:rPr>
          <w:spacing w:val="-63"/>
        </w:rPr>
      </w:r>
      <w:r>
        <w:rPr/>
        <w:t>未偿付本金金额为基础的利息的支付）之和，与分摊的前述金融资产整体账面价值的差额计入当期损益。</w:t>
      </w:r>
    </w:p>
    <w:p>
      <w:pPr>
        <w:pStyle w:val="BodyText"/>
        <w:spacing w:line="360" w:lineRule="auto" w:before="59"/>
        <w:ind w:left="513" w:right="7513"/>
        <w:jc w:val="left"/>
      </w:pPr>
      <w:r>
        <w:rPr/>
        <w:t>金融负债 金融负债分类、确认依据和计量方法</w:t>
      </w:r>
    </w:p>
    <w:p>
      <w:pPr>
        <w:pStyle w:val="BodyText"/>
        <w:spacing w:line="360" w:lineRule="auto" w:before="25"/>
        <w:ind w:left="513" w:right="1118"/>
        <w:jc w:val="left"/>
      </w:pPr>
      <w:r>
        <w:rPr/>
        <w:t>本公司的金融负债于初始确认时分类为以公允价值计量且其变动计入当期损益的金融负债和其他金融负债。 </w:t>
      </w:r>
      <w:r>
        <w:rPr>
          <w:spacing w:val="-2"/>
        </w:rPr>
        <w:t>以公允价值计量且其变动计入当期损益的金融负债，包括交易性金融负债和初始确认时指定为以公允价值计量且其变动</w:t>
      </w:r>
    </w:p>
    <w:p>
      <w:pPr>
        <w:pStyle w:val="BodyText"/>
        <w:spacing w:line="222" w:lineRule="exact"/>
        <w:ind w:right="0"/>
        <w:jc w:val="both"/>
      </w:pPr>
      <w:r>
        <w:rPr/>
        <w:t>计入当期损益的金融负债，（相关分类依据参照金融资产分类依据进行披露）。按照公允价值进行后续计量，公允价值变动</w:t>
      </w:r>
    </w:p>
    <w:p>
      <w:pPr>
        <w:pStyle w:val="BodyText"/>
        <w:spacing w:line="360" w:lineRule="auto" w:before="76"/>
        <w:ind w:left="513" w:right="1133" w:hanging="361"/>
        <w:jc w:val="left"/>
      </w:pPr>
      <w:r>
        <w:rPr/>
        <w:t>形成的利得或损失以及与该金融负债相关的股利和利息支出计入当期损益。 其他金融负债</w:t>
      </w:r>
      <w:r>
        <w:rPr>
          <w:rFonts w:ascii="Times New Roman" w:hAnsi="Times New Roman" w:cs="Times New Roman" w:eastAsia="Times New Roman" w:hint="default"/>
        </w:rPr>
        <w:t>,</w:t>
      </w:r>
      <w:r>
        <w:rPr/>
        <w:t>采用实际利率法，按照摊余成本进行后续计量。除下列各项外，本公司将金融负债分类为以摊余成本计</w:t>
      </w:r>
    </w:p>
    <w:p>
      <w:pPr>
        <w:pStyle w:val="BodyText"/>
        <w:spacing w:line="199" w:lineRule="exact"/>
        <w:ind w:right="0"/>
        <w:jc w:val="both"/>
      </w:pPr>
      <w:r>
        <w:rPr/>
        <w:t>量的金融负债：①以公允价值计量且其变动计入当期损益的金融负债，包括交易性金融负债（含属于金融负债的衍生工具）</w:t>
      </w:r>
    </w:p>
    <w:p>
      <w:pPr>
        <w:pStyle w:val="BodyText"/>
        <w:spacing w:line="316" w:lineRule="auto" w:before="76"/>
        <w:ind w:right="1133"/>
        <w:jc w:val="both"/>
      </w:pPr>
      <w:r>
        <w:rPr>
          <w:spacing w:val="-2"/>
        </w:rPr>
        <w:t>和指定为以公允价值计量且其变动计入当期损益的金融负债。②不符合终止确认条件的金融资产转移或继续涉入被转移金融</w:t>
      </w:r>
      <w:r>
        <w:rPr>
          <w:spacing w:val="-64"/>
        </w:rPr>
        <w:t> </w:t>
      </w:r>
      <w:r>
        <w:rPr>
          <w:spacing w:val="-64"/>
        </w:rPr>
      </w:r>
      <w:r>
        <w:rPr>
          <w:spacing w:val="-2"/>
        </w:rPr>
        <w:t>资产所形成的金融负债。③不属于以上①或②情形的财务担保合同，以及不属于以上①情形的以低于市场利率贷款的贷款承</w:t>
      </w:r>
      <w:r>
        <w:rPr>
          <w:spacing w:val="-64"/>
        </w:rPr>
        <w:t> </w:t>
      </w:r>
      <w:r>
        <w:rPr>
          <w:spacing w:val="-64"/>
        </w:rPr>
      </w:r>
      <w:r>
        <w:rPr/>
        <w:t>诺。</w:t>
      </w:r>
    </w:p>
    <w:p>
      <w:pPr>
        <w:pStyle w:val="BodyText"/>
        <w:spacing w:line="316" w:lineRule="auto" w:before="57"/>
        <w:ind w:right="1132" w:firstLine="360"/>
        <w:jc w:val="both"/>
      </w:pPr>
      <w:r>
        <w:rPr>
          <w:spacing w:val="-2"/>
        </w:rPr>
        <w:t>本公司将在非同一控制下的企业合并中作为购买方确认的或有对价形成金融负债的，按照以公允价值计量且其变动计入</w:t>
      </w:r>
      <w:r>
        <w:rPr/>
        <w:t> 当期损益进行会计处理。</w:t>
      </w:r>
    </w:p>
    <w:p>
      <w:pPr>
        <w:pStyle w:val="BodyText"/>
        <w:spacing w:line="360" w:lineRule="auto" w:before="59"/>
        <w:ind w:left="513" w:right="1118"/>
        <w:jc w:val="left"/>
      </w:pPr>
      <w:r>
        <w:rPr/>
        <w:t>金融负债终止确认条件 </w:t>
      </w:r>
      <w:r>
        <w:rPr>
          <w:spacing w:val="-2"/>
        </w:rPr>
        <w:t>当金融负债的现时义务全部或部分已经解除时，终止确认该金融负债或义务已解除的部分。本公司与债权人之间签订协</w:t>
      </w:r>
    </w:p>
    <w:p>
      <w:pPr>
        <w:pStyle w:val="BodyText"/>
        <w:spacing w:line="222" w:lineRule="exact"/>
        <w:ind w:right="0"/>
        <w:jc w:val="both"/>
      </w:pPr>
      <w:r>
        <w:rPr/>
        <w:t>议，以承担新金融负债方式替换现存金融负债，且新金融负债与现存金融负债的合同条款实质上不同的，终止确认现存金融</w:t>
      </w:r>
    </w:p>
    <w:p>
      <w:pPr>
        <w:pStyle w:val="BodyText"/>
        <w:spacing w:line="316" w:lineRule="auto" w:before="76"/>
        <w:ind w:right="1130"/>
        <w:jc w:val="both"/>
      </w:pPr>
      <w:r>
        <w:rPr>
          <w:spacing w:val="-2"/>
        </w:rPr>
        <w:t>负债，并同时确认新金融负债。本公司对现存金融负债全部或部分的合同条款作出实质性修改的，终止确认现存金融负债或</w:t>
      </w:r>
      <w:r>
        <w:rPr>
          <w:spacing w:val="-63"/>
        </w:rPr>
        <w:t> </w:t>
      </w:r>
      <w:r>
        <w:rPr>
          <w:spacing w:val="-63"/>
        </w:rPr>
      </w:r>
      <w:r>
        <w:rPr>
          <w:spacing w:val="-2"/>
        </w:rPr>
        <w:t>其一部分，同时将修改条款后的金融负债确认为一项新金融负债。终止确认部分的账面价值与支付的对价之间的差额，计入</w:t>
      </w:r>
      <w:r>
        <w:rPr>
          <w:spacing w:val="-63"/>
        </w:rPr>
        <w:t> </w:t>
      </w:r>
      <w:r>
        <w:rPr>
          <w:spacing w:val="-63"/>
        </w:rPr>
      </w:r>
      <w:r>
        <w:rPr/>
        <w:t>当期损益。</w:t>
      </w:r>
    </w:p>
    <w:p>
      <w:pPr>
        <w:pStyle w:val="BodyText"/>
        <w:spacing w:line="333" w:lineRule="auto" w:before="57"/>
        <w:ind w:left="513" w:right="1118"/>
        <w:jc w:val="left"/>
      </w:pPr>
      <w:r>
        <w:rPr/>
        <w:t>金融工具减值 </w:t>
      </w:r>
      <w:r>
        <w:rPr>
          <w:spacing w:val="-2"/>
        </w:rPr>
        <w:t>公司考虑所有合理且有依据的信息，包括前瞻性信息，以单项或组合的方式对以摊余成本计量的金融资产和以公允价值</w:t>
      </w:r>
    </w:p>
    <w:p>
      <w:pPr>
        <w:pStyle w:val="BodyText"/>
        <w:spacing w:line="170" w:lineRule="exact"/>
        <w:ind w:right="0"/>
        <w:jc w:val="both"/>
      </w:pPr>
      <w:r>
        <w:rPr/>
        <w:t>计量且其变动计入其他综合收益的金融资产（债务工具）的预期信用损失进行估计。预期信用损失的计量取决于金融资产自</w:t>
      </w:r>
    </w:p>
    <w:p>
      <w:pPr>
        <w:pStyle w:val="BodyText"/>
        <w:spacing w:line="240" w:lineRule="auto" w:before="2"/>
        <w:ind w:right="0"/>
        <w:jc w:val="both"/>
      </w:pPr>
      <w:r>
        <w:rPr/>
        <w:t>初始确认后是否发生信用风险显著增加。</w:t>
      </w:r>
    </w:p>
    <w:p>
      <w:pPr>
        <w:pStyle w:val="BodyText"/>
        <w:spacing w:line="237" w:lineRule="auto" w:before="49"/>
        <w:ind w:right="1131" w:firstLine="360"/>
        <w:jc w:val="both"/>
      </w:pPr>
      <w:r>
        <w:rPr/>
        <w:t>如果该金融工具的信用风险自初始确认后已显著增加，公司按照相当于该</w:t>
      </w:r>
      <w:r>
        <w:rPr>
          <w:spacing w:val="5"/>
        </w:rPr>
        <w:t> </w:t>
      </w:r>
      <w:r>
        <w:rPr/>
        <w:t>金融工具整个存续期内预期信用损失的金额</w:t>
      </w:r>
      <w:r>
        <w:rPr/>
        <w:t> 计量其损失准备；如果该金融工具的 信用风险自初始确认后并未显著增加，公司按照相当于该金融工具未来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个月内预 期信用损失的金额计量其损失准备。由此形成的损失准备的增加或转回金额，作为减值损失或利得计入当期损益。</w:t>
      </w:r>
    </w:p>
    <w:p>
      <w:pPr>
        <w:pStyle w:val="BodyText"/>
        <w:spacing w:line="285" w:lineRule="auto" w:before="43"/>
        <w:ind w:left="513" w:right="1482"/>
        <w:jc w:val="left"/>
      </w:pPr>
      <w:r>
        <w:rPr/>
        <w:t>如果金融工具于资产负债表日的信用风险较低，公司即认为该金融工具的</w:t>
      </w:r>
      <w:r>
        <w:rPr>
          <w:spacing w:val="1"/>
        </w:rPr>
        <w:t> </w:t>
      </w:r>
      <w:r>
        <w:rPr/>
        <w:t>信用风险自初始确认后并未显著增加。</w:t>
      </w:r>
      <w:r>
        <w:rPr/>
        <w:t> 如果有客观证据表明某项金融资产已经发生信用减值，则公司在单项基础</w:t>
      </w:r>
      <w:r>
        <w:rPr>
          <w:spacing w:val="2"/>
        </w:rPr>
        <w:t> </w:t>
      </w:r>
      <w:r>
        <w:rPr/>
        <w:t>上对该金融资产计提减值准备。</w:t>
      </w:r>
      <w:r>
        <w:rPr/>
        <w:t> </w:t>
      </w:r>
      <w:r>
        <w:rPr>
          <w:rFonts w:ascii="Times New Roman" w:hAnsi="Times New Roman" w:cs="Times New Roman" w:eastAsia="Times New Roman" w:hint="default"/>
        </w:rPr>
        <w:t>1</w:t>
      </w:r>
      <w:r>
        <w:rPr/>
        <w:t>、应收票据</w:t>
      </w:r>
    </w:p>
    <w:p>
      <w:pPr>
        <w:pStyle w:val="BodyText"/>
        <w:spacing w:line="288" w:lineRule="auto"/>
        <w:ind w:left="513" w:right="1118"/>
        <w:jc w:val="left"/>
      </w:pPr>
      <w:r>
        <w:rPr/>
        <w:t>对于应收票据及应收账款，无论是否存在重大融资成分，公司均按照整个</w:t>
      </w:r>
      <w:r>
        <w:rPr>
          <w:spacing w:val="2"/>
        </w:rPr>
        <w:t> </w:t>
      </w:r>
      <w:r>
        <w:rPr/>
        <w:t>存续期的预期信用损失计量损失准备。</w:t>
      </w:r>
      <w:r>
        <w:rPr/>
        <w:t> </w:t>
      </w:r>
      <w:r>
        <w:rPr>
          <w:spacing w:val="-2"/>
        </w:rPr>
        <w:t>对于存在客观证据表明存在减值，以及其他适用于单项评估的应收票据单独进行减值测试，确认预期信用损失，计提单</w:t>
      </w:r>
    </w:p>
    <w:p>
      <w:pPr>
        <w:pStyle w:val="BodyText"/>
        <w:spacing w:line="202" w:lineRule="exact"/>
        <w:ind w:right="0"/>
        <w:jc w:val="both"/>
      </w:pPr>
      <w:r>
        <w:rPr/>
        <w:t>项减值准备。</w:t>
      </w:r>
    </w:p>
    <w:p>
      <w:pPr>
        <w:pStyle w:val="BodyText"/>
        <w:spacing w:line="242" w:lineRule="auto" w:before="47"/>
        <w:ind w:right="1125" w:firstLine="360"/>
        <w:jc w:val="both"/>
      </w:pPr>
      <w:r>
        <w:rPr/>
        <w:t>对于不存在减值客观证据的应收票据，公司依据信用风险特征将应收票据划分为银行承兑汇票组合和商业承兑汇票组</w:t>
      </w:r>
      <w:r>
        <w:rPr>
          <w:spacing w:val="2"/>
        </w:rPr>
        <w:t> </w:t>
      </w:r>
      <w:r>
        <w:rPr/>
        <w:t>合，在组合基础上计算预期信用损失。</w:t>
      </w:r>
    </w:p>
    <w:p>
      <w:pPr>
        <w:pStyle w:val="BodyText"/>
        <w:spacing w:line="273" w:lineRule="auto" w:before="41"/>
        <w:ind w:left="513" w:right="1033"/>
        <w:jc w:val="left"/>
      </w:pPr>
      <w:r>
        <w:rPr>
          <w:rFonts w:ascii="Times New Roman" w:hAnsi="Times New Roman" w:cs="Times New Roman" w:eastAsia="Times New Roman" w:hint="default"/>
        </w:rPr>
        <w:t>2</w:t>
      </w:r>
      <w:r>
        <w:rPr/>
        <w:t>、应收账款 对于应收账款，无论是否包含重大融资成分，公司始终按照相当于整个存续期内预期信用损失的金额计量其损失准备，</w:t>
      </w:r>
    </w:p>
    <w:p>
      <w:pPr>
        <w:spacing w:after="0" w:line="273" w:lineRule="auto"/>
        <w:jc w:val="left"/>
        <w:sectPr>
          <w:pgSz w:w="11910" w:h="16840"/>
          <w:pgMar w:header="877" w:footer="979" w:top="1100" w:bottom="1160" w:left="980" w:right="0"/>
        </w:sectPr>
      </w:pPr>
    </w:p>
    <w:p>
      <w:pPr>
        <w:spacing w:line="240" w:lineRule="auto" w:before="8"/>
        <w:rPr>
          <w:rFonts w:ascii="宋体" w:hAnsi="宋体" w:cs="宋体" w:eastAsia="宋体" w:hint="default"/>
          <w:sz w:val="19"/>
          <w:szCs w:val="19"/>
        </w:rPr>
      </w:pPr>
    </w:p>
    <w:p>
      <w:pPr>
        <w:pStyle w:val="BodyText"/>
        <w:spacing w:line="288" w:lineRule="auto" w:before="44"/>
        <w:ind w:left="573" w:right="1119" w:hanging="361"/>
        <w:jc w:val="left"/>
      </w:pPr>
      <w:r>
        <w:rPr/>
        <w:t>由此形成的损失准备的增加或转回金额，作为减值损失或利得计入当期损益。 </w:t>
      </w:r>
      <w:r>
        <w:rPr>
          <w:spacing w:val="-2"/>
        </w:rPr>
        <w:t>对于存在客观证据表明存在减值，以及其他适用于单项评估的应收账款单独进行减值测试，确认预期信用损失，计提单</w:t>
      </w:r>
    </w:p>
    <w:p>
      <w:pPr>
        <w:pStyle w:val="BodyText"/>
        <w:spacing w:line="202" w:lineRule="exact"/>
        <w:ind w:left="212" w:right="1119"/>
        <w:jc w:val="left"/>
      </w:pPr>
      <w:r>
        <w:rPr/>
        <w:t>项减值准备。</w:t>
      </w:r>
    </w:p>
    <w:p>
      <w:pPr>
        <w:pStyle w:val="BodyText"/>
        <w:spacing w:line="242" w:lineRule="auto" w:before="45"/>
        <w:ind w:left="212" w:right="1119" w:firstLine="360"/>
        <w:jc w:val="left"/>
      </w:pPr>
      <w:r>
        <w:rPr>
          <w:spacing w:val="-2"/>
        </w:rPr>
        <w:t>对于不存在减值客观证据的应收账款或当单项应收账款无法以合理成本评估预期信用损失的信息时，公司将该应收账款</w:t>
      </w:r>
      <w:r>
        <w:rPr/>
        <w:t> 按类似信用风险特征进行组合。</w:t>
      </w:r>
    </w:p>
    <w:p>
      <w:pPr>
        <w:pStyle w:val="BodyText"/>
        <w:spacing w:line="288" w:lineRule="auto" w:before="43"/>
        <w:ind w:left="573" w:right="1119"/>
        <w:jc w:val="left"/>
      </w:pPr>
      <w:r>
        <w:rPr/>
        <w:t>应收账款确定组合的依据如下： </w:t>
      </w:r>
      <w:r>
        <w:rPr>
          <w:spacing w:val="-2"/>
        </w:rPr>
        <w:t>对于划分为组合的应收账款，公司参考历史信用损失经验，结合当前状况以及对未来经济状况的预测，计算预期信用损</w:t>
      </w:r>
    </w:p>
    <w:p>
      <w:pPr>
        <w:pStyle w:val="BodyText"/>
        <w:spacing w:line="202" w:lineRule="exact"/>
        <w:ind w:left="212" w:right="1119"/>
        <w:jc w:val="left"/>
      </w:pPr>
      <w:r>
        <w:rPr/>
        <w:t>失。</w:t>
      </w:r>
    </w:p>
    <w:p>
      <w:pPr>
        <w:pStyle w:val="BodyText"/>
        <w:spacing w:line="240" w:lineRule="auto" w:before="43"/>
        <w:ind w:left="573" w:right="1119"/>
        <w:jc w:val="left"/>
      </w:pPr>
      <w:r>
        <w:rPr/>
        <w:t>确认预期信用损失组合的情况如下：</w:t>
      </w:r>
    </w:p>
    <w:p>
      <w:pPr>
        <w:pStyle w:val="BodyText"/>
        <w:spacing w:line="240" w:lineRule="auto" w:before="45"/>
        <w:ind w:left="573" w:right="1119"/>
        <w:jc w:val="left"/>
      </w:pPr>
      <w:r>
        <w:rPr/>
        <w:t>（</w:t>
      </w:r>
      <w:r>
        <w:rPr>
          <w:rFonts w:ascii="Times New Roman" w:hAnsi="Times New Roman" w:cs="Times New Roman" w:eastAsia="Times New Roman" w:hint="default"/>
        </w:rPr>
        <w:t>1</w:t>
      </w:r>
      <w:r>
        <w:rPr/>
        <w:t>）单项计提坏账准备的应收款项</w:t>
      </w:r>
    </w:p>
    <w:p>
      <w:pPr>
        <w:spacing w:line="240" w:lineRule="auto" w:before="13"/>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1668"/>
        <w:gridCol w:w="2835"/>
        <w:gridCol w:w="4021"/>
      </w:tblGrid>
      <w:tr>
        <w:trPr>
          <w:trHeight w:val="25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871" w:right="0"/>
              <w:jc w:val="left"/>
              <w:rPr>
                <w:rFonts w:ascii="宋体" w:hAnsi="宋体" w:cs="宋体" w:eastAsia="宋体" w:hint="default"/>
                <w:sz w:val="18"/>
                <w:szCs w:val="18"/>
              </w:rPr>
            </w:pPr>
            <w:r>
              <w:rPr>
                <w:rFonts w:ascii="宋体" w:hAnsi="宋体" w:cs="宋体" w:eastAsia="宋体" w:hint="default"/>
                <w:sz w:val="18"/>
                <w:szCs w:val="18"/>
              </w:rPr>
              <w:t>确定组合依据</w:t>
            </w:r>
          </w:p>
        </w:tc>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252" w:hRule="exact"/>
        </w:trPr>
        <w:tc>
          <w:tcPr>
            <w:tcW w:w="1668" w:type="dxa"/>
            <w:tcBorders>
              <w:top w:val="single" w:sz="4" w:space="0" w:color="000000"/>
              <w:left w:val="single" w:sz="4" w:space="0" w:color="000000"/>
              <w:bottom w:val="nil" w:sz="6" w:space="0" w:color="auto"/>
              <w:right w:val="single" w:sz="4" w:space="0" w:color="000000"/>
            </w:tcBorders>
          </w:tcPr>
          <w:p>
            <w:pPr/>
          </w:p>
        </w:tc>
        <w:tc>
          <w:tcPr>
            <w:tcW w:w="2835" w:type="dxa"/>
            <w:tcBorders>
              <w:top w:val="single" w:sz="4" w:space="0" w:color="000000"/>
              <w:left w:val="single" w:sz="4" w:space="0" w:color="000000"/>
              <w:bottom w:val="nil" w:sz="6" w:space="0" w:color="auto"/>
              <w:right w:val="single" w:sz="4" w:space="0" w:color="000000"/>
            </w:tcBorders>
          </w:tcPr>
          <w:p>
            <w:pPr/>
          </w:p>
        </w:tc>
        <w:tc>
          <w:tcPr>
            <w:tcW w:w="4021" w:type="dxa"/>
            <w:tcBorders>
              <w:top w:val="single" w:sz="4" w:space="0" w:color="000000"/>
              <w:left w:val="single" w:sz="4" w:space="0" w:color="000000"/>
              <w:bottom w:val="nil" w:sz="6" w:space="0" w:color="auto"/>
              <w:right w:val="single" w:sz="4" w:space="0" w:color="000000"/>
            </w:tcBorders>
          </w:tcPr>
          <w:p>
            <w:pPr>
              <w:pStyle w:val="TableParagraph"/>
              <w:spacing w:line="217" w:lineRule="exact"/>
              <w:ind w:left="3" w:right="0"/>
              <w:jc w:val="center"/>
              <w:rPr>
                <w:rFonts w:ascii="宋体" w:hAnsi="宋体" w:cs="宋体" w:eastAsia="宋体" w:hint="default"/>
                <w:sz w:val="18"/>
                <w:szCs w:val="18"/>
              </w:rPr>
            </w:pPr>
            <w:r>
              <w:rPr>
                <w:rFonts w:ascii="宋体" w:hAnsi="宋体" w:cs="宋体" w:eastAsia="宋体" w:hint="default"/>
                <w:sz w:val="18"/>
                <w:szCs w:val="18"/>
              </w:rPr>
              <w:t>单独进行减值测试，如有客观证据表明其已发生</w:t>
            </w:r>
          </w:p>
        </w:tc>
      </w:tr>
      <w:tr>
        <w:trPr>
          <w:trHeight w:val="720" w:hRule="exact"/>
        </w:trPr>
        <w:tc>
          <w:tcPr>
            <w:tcW w:w="166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4" w:lineRule="auto" w:before="94"/>
              <w:ind w:left="871" w:right="152" w:hanging="720"/>
              <w:jc w:val="left"/>
              <w:rPr>
                <w:rFonts w:ascii="宋体" w:hAnsi="宋体" w:cs="宋体" w:eastAsia="宋体" w:hint="default"/>
                <w:sz w:val="18"/>
                <w:szCs w:val="18"/>
              </w:rPr>
            </w:pPr>
            <w:r>
              <w:rPr>
                <w:rFonts w:ascii="宋体" w:hAnsi="宋体" w:cs="宋体" w:eastAsia="宋体" w:hint="default"/>
                <w:sz w:val="18"/>
                <w:szCs w:val="18"/>
              </w:rPr>
              <w:t>单项金额重大并单独计提坏账准 备的应收款项</w:t>
            </w:r>
          </w:p>
        </w:tc>
        <w:tc>
          <w:tcPr>
            <w:tcW w:w="4021"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17" w:right="0"/>
              <w:jc w:val="left"/>
              <w:rPr>
                <w:rFonts w:ascii="宋体" w:hAnsi="宋体" w:cs="宋体" w:eastAsia="宋体" w:hint="default"/>
                <w:sz w:val="18"/>
                <w:szCs w:val="18"/>
              </w:rPr>
            </w:pPr>
            <w:r>
              <w:rPr>
                <w:rFonts w:ascii="宋体" w:hAnsi="宋体" w:cs="宋体" w:eastAsia="宋体" w:hint="default"/>
                <w:sz w:val="18"/>
                <w:szCs w:val="18"/>
              </w:rPr>
              <w:t>减值，按预计未来现金流量现值低于其账面价值</w:t>
            </w:r>
          </w:p>
          <w:p>
            <w:pPr>
              <w:pStyle w:val="TableParagraph"/>
              <w:spacing w:line="244" w:lineRule="auto" w:before="4"/>
              <w:ind w:left="117" w:right="111"/>
              <w:jc w:val="left"/>
              <w:rPr>
                <w:rFonts w:ascii="宋体" w:hAnsi="宋体" w:cs="宋体" w:eastAsia="宋体" w:hint="default"/>
                <w:sz w:val="18"/>
                <w:szCs w:val="18"/>
              </w:rPr>
            </w:pPr>
            <w:r>
              <w:rPr>
                <w:rFonts w:ascii="宋体" w:hAnsi="宋体" w:cs="宋体" w:eastAsia="宋体" w:hint="default"/>
                <w:sz w:val="18"/>
                <w:szCs w:val="18"/>
              </w:rPr>
              <w:t>的差额计提坏账准备，计入当期损益。单独测试 未发生减值的应收款项，将其归入相应组合计提</w:t>
            </w:r>
          </w:p>
        </w:tc>
      </w:tr>
      <w:tr>
        <w:trPr>
          <w:trHeight w:val="237" w:hRule="exact"/>
        </w:trPr>
        <w:tc>
          <w:tcPr>
            <w:tcW w:w="1668" w:type="dxa"/>
            <w:tcBorders>
              <w:top w:val="nil" w:sz="6" w:space="0" w:color="auto"/>
              <w:left w:val="single" w:sz="4" w:space="0" w:color="000000"/>
              <w:bottom w:val="single" w:sz="4" w:space="0" w:color="000000"/>
              <w:right w:val="single" w:sz="4" w:space="0" w:color="000000"/>
            </w:tcBorders>
          </w:tcPr>
          <w:p>
            <w:pPr/>
          </w:p>
        </w:tc>
        <w:tc>
          <w:tcPr>
            <w:tcW w:w="2835" w:type="dxa"/>
            <w:tcBorders>
              <w:top w:val="nil" w:sz="6" w:space="0" w:color="auto"/>
              <w:left w:val="single" w:sz="4" w:space="0" w:color="000000"/>
              <w:bottom w:val="single" w:sz="4" w:space="0" w:color="000000"/>
              <w:right w:val="single" w:sz="4" w:space="0" w:color="000000"/>
            </w:tcBorders>
          </w:tcPr>
          <w:p>
            <w:pPr/>
          </w:p>
        </w:tc>
        <w:tc>
          <w:tcPr>
            <w:tcW w:w="4021"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4"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73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782" w:right="152" w:hanging="632"/>
              <w:jc w:val="left"/>
              <w:rPr>
                <w:rFonts w:ascii="宋体" w:hAnsi="宋体" w:cs="宋体" w:eastAsia="宋体" w:hint="default"/>
                <w:sz w:val="18"/>
                <w:szCs w:val="18"/>
              </w:rPr>
            </w:pPr>
            <w:r>
              <w:rPr>
                <w:rFonts w:ascii="宋体" w:hAnsi="宋体" w:cs="宋体" w:eastAsia="宋体" w:hint="default"/>
                <w:sz w:val="18"/>
                <w:szCs w:val="18"/>
              </w:rPr>
              <w:t>单项金额不重大但单独计提坏账 准备的应收款项</w:t>
            </w:r>
          </w:p>
        </w:tc>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111"/>
              <w:jc w:val="center"/>
              <w:rPr>
                <w:rFonts w:ascii="宋体" w:hAnsi="宋体" w:cs="宋体" w:eastAsia="宋体" w:hint="default"/>
                <w:sz w:val="18"/>
                <w:szCs w:val="18"/>
              </w:rPr>
            </w:pPr>
            <w:r>
              <w:rPr>
                <w:rFonts w:ascii="宋体" w:hAnsi="宋体" w:cs="宋体" w:eastAsia="宋体" w:hint="default"/>
                <w:sz w:val="18"/>
                <w:szCs w:val="18"/>
              </w:rPr>
              <w:t>账龄时间较长且存在客观证据表明发生了减值， 根据预计未来现金流量现值低于其账面价值的差 额，确认减值损失，计提坏账准备。</w:t>
            </w:r>
          </w:p>
        </w:tc>
      </w:tr>
    </w:tbl>
    <w:p>
      <w:pPr>
        <w:pStyle w:val="BodyText"/>
        <w:spacing w:line="240" w:lineRule="auto" w:before="20"/>
        <w:ind w:left="573" w:right="111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3"/>
        </w:rPr>
        <w:t> </w:t>
      </w:r>
      <w:r>
        <w:rPr/>
        <w:t>按信用风险特征组合计提坏账准备的应收款项</w:t>
      </w:r>
    </w:p>
    <w:p>
      <w:pPr>
        <w:spacing w:line="240" w:lineRule="auto" w:before="13"/>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1668"/>
        <w:gridCol w:w="2835"/>
        <w:gridCol w:w="4021"/>
      </w:tblGrid>
      <w:tr>
        <w:trPr>
          <w:trHeight w:val="65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确定组合依据</w:t>
            </w:r>
          </w:p>
        </w:tc>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86" w:right="0"/>
              <w:jc w:val="left"/>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64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合并关联方组合</w:t>
            </w:r>
          </w:p>
        </w:tc>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合并范围内的关联方应收款项不计提坏账准备</w:t>
            </w:r>
          </w:p>
        </w:tc>
      </w:tr>
      <w:tr>
        <w:trPr>
          <w:trHeight w:val="65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非合并关联方组合</w:t>
            </w:r>
          </w:p>
        </w:tc>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line="240" w:lineRule="auto" w:before="7"/>
        <w:rPr>
          <w:rFonts w:ascii="宋体" w:hAnsi="宋体" w:cs="宋体" w:eastAsia="宋体" w:hint="default"/>
          <w:sz w:val="13"/>
          <w:szCs w:val="13"/>
        </w:rPr>
      </w:pPr>
    </w:p>
    <w:p>
      <w:pPr>
        <w:pStyle w:val="BodyText"/>
        <w:spacing w:line="240" w:lineRule="exact" w:before="62"/>
        <w:ind w:left="212" w:right="1119" w:firstLine="360"/>
        <w:jc w:val="left"/>
      </w:pPr>
      <w:r>
        <w:rPr/>
        <w:t>对于划分为组合</w:t>
      </w:r>
      <w:r>
        <w:rPr>
          <w:spacing w:val="-44"/>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spacing w:val="-2"/>
        </w:rPr>
        <w:t>的应收账款，公司参考历史信用损失经验，结合当前状况以及对未来经济状况的预测，编制应收账款</w:t>
      </w:r>
      <w:r>
        <w:rPr/>
        <w:t> 逾期天数与整个存续期预期信用损失率对照表，计算预期信用损失。</w:t>
      </w:r>
    </w:p>
    <w:p>
      <w:pPr>
        <w:spacing w:line="240" w:lineRule="auto" w:before="10"/>
        <w:rPr>
          <w:rFonts w:ascii="宋体" w:hAnsi="宋体" w:cs="宋体" w:eastAsia="宋体" w:hint="default"/>
          <w:sz w:val="16"/>
          <w:szCs w:val="16"/>
        </w:rPr>
      </w:pPr>
    </w:p>
    <w:p>
      <w:pPr>
        <w:pStyle w:val="BodyText"/>
        <w:spacing w:line="240" w:lineRule="auto"/>
        <w:ind w:left="573" w:right="1119"/>
        <w:jc w:val="left"/>
      </w:pPr>
      <w:r>
        <w:rPr/>
        <w:t>应收账款预期信用损失率如下：</w:t>
      </w:r>
    </w:p>
    <w:p>
      <w:pPr>
        <w:spacing w:line="240" w:lineRule="auto" w:before="0"/>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3733"/>
        <w:gridCol w:w="6123"/>
      </w:tblGrid>
      <w:tr>
        <w:trPr>
          <w:trHeight w:val="250" w:hRule="exact"/>
        </w:trPr>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612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违约损失率</w:t>
            </w:r>
          </w:p>
        </w:tc>
      </w:tr>
      <w:tr>
        <w:trPr>
          <w:trHeight w:val="250" w:hRule="exact"/>
        </w:trPr>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6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0%</w:t>
            </w:r>
          </w:p>
        </w:tc>
      </w:tr>
      <w:tr>
        <w:trPr>
          <w:trHeight w:val="252" w:hRule="exact"/>
        </w:trPr>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6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2%</w:t>
            </w:r>
          </w:p>
        </w:tc>
      </w:tr>
      <w:tr>
        <w:trPr>
          <w:trHeight w:val="250" w:hRule="exact"/>
        </w:trPr>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6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4%</w:t>
            </w:r>
          </w:p>
        </w:tc>
      </w:tr>
      <w:tr>
        <w:trPr>
          <w:trHeight w:val="250" w:hRule="exact"/>
        </w:trPr>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6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center"/>
              <w:rPr>
                <w:rFonts w:ascii="Times New Roman" w:hAnsi="Times New Roman" w:cs="Times New Roman" w:eastAsia="Times New Roman" w:hint="default"/>
                <w:sz w:val="18"/>
                <w:szCs w:val="18"/>
              </w:rPr>
            </w:pPr>
            <w:r>
              <w:rPr>
                <w:rFonts w:ascii="Times New Roman"/>
                <w:sz w:val="18"/>
              </w:rPr>
              <w:t>60%</w:t>
            </w:r>
          </w:p>
        </w:tc>
      </w:tr>
      <w:tr>
        <w:trPr>
          <w:trHeight w:val="250" w:hRule="exact"/>
        </w:trPr>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6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center"/>
              <w:rPr>
                <w:rFonts w:ascii="Times New Roman" w:hAnsi="Times New Roman" w:cs="Times New Roman" w:eastAsia="Times New Roman" w:hint="default"/>
                <w:sz w:val="18"/>
                <w:szCs w:val="18"/>
              </w:rPr>
            </w:pPr>
            <w:r>
              <w:rPr>
                <w:rFonts w:ascii="Times New Roman"/>
                <w:sz w:val="18"/>
              </w:rPr>
              <w:t>80%</w:t>
            </w:r>
          </w:p>
        </w:tc>
      </w:tr>
    </w:tbl>
    <w:p>
      <w:pPr>
        <w:pStyle w:val="BodyText"/>
        <w:spacing w:line="273" w:lineRule="auto" w:before="20"/>
        <w:ind w:left="573" w:right="0"/>
        <w:jc w:val="left"/>
      </w:pPr>
      <w:r>
        <w:rPr>
          <w:rFonts w:ascii="Times New Roman" w:hAnsi="Times New Roman" w:cs="Times New Roman" w:eastAsia="Times New Roman" w:hint="default"/>
        </w:rPr>
        <w:t>3</w:t>
      </w:r>
      <w:r>
        <w:rPr/>
        <w:t>、其他应收款 </w:t>
      </w:r>
      <w:r>
        <w:rPr>
          <w:spacing w:val="-4"/>
        </w:rPr>
        <w:t>对于其他应收款，无论是否包含重大融资成分，公司始终按照相当于整个存续期内预期信用损失的金额计量其损失准备，</w:t>
      </w:r>
    </w:p>
    <w:p>
      <w:pPr>
        <w:pStyle w:val="BodyText"/>
        <w:spacing w:line="215" w:lineRule="exact"/>
        <w:ind w:left="212" w:right="0"/>
        <w:jc w:val="left"/>
      </w:pPr>
      <w:r>
        <w:rPr/>
        <w:t>由此形成的损失准备的增加或转回金额，作为减值损失或利得计入当期损益；公司对单项金额重大且在初始确认后已经发生</w:t>
      </w:r>
    </w:p>
    <w:p>
      <w:pPr>
        <w:pStyle w:val="BodyText"/>
        <w:spacing w:line="240" w:lineRule="auto" w:before="2"/>
        <w:ind w:left="212" w:right="1119"/>
        <w:jc w:val="left"/>
      </w:pPr>
      <w:r>
        <w:rPr/>
        <w:t>信用减值的其他应收款单独</w:t>
      </w:r>
      <w:r>
        <w:rPr>
          <w:spacing w:val="1"/>
        </w:rPr>
        <w:t> </w:t>
      </w:r>
      <w:r>
        <w:rPr/>
        <w:t>确定其信用损失。</w:t>
      </w:r>
    </w:p>
    <w:p>
      <w:pPr>
        <w:pStyle w:val="BodyText"/>
        <w:spacing w:line="242" w:lineRule="auto" w:before="45"/>
        <w:ind w:left="212" w:right="1030" w:firstLine="360"/>
        <w:jc w:val="left"/>
      </w:pPr>
      <w:r>
        <w:rPr>
          <w:spacing w:val="-3"/>
        </w:rPr>
        <w:t>当单项其他应收款无法以合理成本评估预期信用损失的信息时，公司依据</w:t>
      </w:r>
      <w:r>
        <w:rPr>
          <w:spacing w:val="30"/>
        </w:rPr>
        <w:t> </w:t>
      </w:r>
      <w:r>
        <w:rPr>
          <w:spacing w:val="-1"/>
        </w:rPr>
        <w:t>信用风险特征将其他应收款划分为若干组合，</w:t>
      </w:r>
      <w:r>
        <w:rPr/>
        <w:t> 在组合基础上计算预期信用损失，</w:t>
      </w:r>
      <w:r>
        <w:rPr>
          <w:spacing w:val="1"/>
        </w:rPr>
        <w:t> </w:t>
      </w:r>
      <w:r>
        <w:rPr/>
        <w:t>确定组合的依据如下：</w:t>
      </w:r>
    </w:p>
    <w:p>
      <w:pPr>
        <w:spacing w:line="240" w:lineRule="auto" w:before="12"/>
        <w:rPr>
          <w:rFonts w:ascii="宋体" w:hAnsi="宋体" w:cs="宋体" w:eastAsia="宋体"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2484"/>
        <w:gridCol w:w="3795"/>
        <w:gridCol w:w="3577"/>
      </w:tblGrid>
      <w:tr>
        <w:trPr>
          <w:trHeight w:val="250"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 w:right="0"/>
              <w:jc w:val="center"/>
              <w:rPr>
                <w:rFonts w:ascii="宋体" w:hAnsi="宋体" w:cs="宋体" w:eastAsia="宋体" w:hint="default"/>
                <w:sz w:val="18"/>
                <w:szCs w:val="18"/>
              </w:rPr>
            </w:pPr>
            <w:r>
              <w:rPr>
                <w:rFonts w:ascii="宋体" w:hAnsi="宋体" w:cs="宋体" w:eastAsia="宋体" w:hint="default"/>
                <w:sz w:val="18"/>
                <w:szCs w:val="18"/>
              </w:rPr>
              <w:t>确定组合依据</w:t>
            </w:r>
          </w:p>
        </w:tc>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250"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合并范围内关联方往来款</w:t>
            </w:r>
          </w:p>
        </w:tc>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 w:right="0"/>
              <w:jc w:val="center"/>
              <w:rPr>
                <w:rFonts w:ascii="宋体" w:hAnsi="宋体" w:cs="宋体" w:eastAsia="宋体" w:hint="default"/>
                <w:sz w:val="18"/>
                <w:szCs w:val="18"/>
              </w:rPr>
            </w:pPr>
            <w:r>
              <w:rPr>
                <w:rFonts w:ascii="宋体" w:hAnsi="宋体" w:cs="宋体" w:eastAsia="宋体" w:hint="default"/>
                <w:sz w:val="18"/>
                <w:szCs w:val="18"/>
              </w:rPr>
              <w:t>不计提坏账准备</w:t>
            </w:r>
          </w:p>
        </w:tc>
      </w:tr>
      <w:tr>
        <w:trPr>
          <w:trHeight w:val="331"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应收出口退税、股票行权款等款项</w:t>
            </w:r>
          </w:p>
        </w:tc>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 w:right="0"/>
              <w:jc w:val="center"/>
              <w:rPr>
                <w:rFonts w:ascii="宋体" w:hAnsi="宋体" w:cs="宋体" w:eastAsia="宋体" w:hint="default"/>
                <w:sz w:val="18"/>
                <w:szCs w:val="18"/>
              </w:rPr>
            </w:pPr>
            <w:r>
              <w:rPr>
                <w:rFonts w:ascii="宋体" w:hAnsi="宋体" w:cs="宋体" w:eastAsia="宋体" w:hint="default"/>
                <w:sz w:val="18"/>
                <w:szCs w:val="18"/>
              </w:rPr>
              <w:t>不计提坏账准备</w:t>
            </w:r>
          </w:p>
        </w:tc>
      </w:tr>
      <w:tr>
        <w:trPr>
          <w:trHeight w:val="329"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 w:right="0"/>
              <w:jc w:val="center"/>
              <w:rPr>
                <w:rFonts w:ascii="宋体" w:hAnsi="宋体" w:cs="宋体" w:eastAsia="宋体" w:hint="default"/>
                <w:sz w:val="18"/>
                <w:szCs w:val="18"/>
              </w:rPr>
            </w:pPr>
            <w:r>
              <w:rPr>
                <w:rFonts w:ascii="宋体" w:hAnsi="宋体" w:cs="宋体" w:eastAsia="宋体" w:hint="default"/>
                <w:sz w:val="18"/>
                <w:szCs w:val="18"/>
              </w:rPr>
              <w:t>不计提坏账准备</w:t>
            </w:r>
          </w:p>
        </w:tc>
      </w:tr>
      <w:tr>
        <w:trPr>
          <w:trHeight w:val="331"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应收押金、保证金</w:t>
            </w:r>
          </w:p>
        </w:tc>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 w:right="0"/>
              <w:jc w:val="center"/>
              <w:rPr>
                <w:rFonts w:ascii="宋体" w:hAnsi="宋体" w:cs="宋体" w:eastAsia="宋体" w:hint="default"/>
                <w:sz w:val="18"/>
                <w:szCs w:val="18"/>
              </w:rPr>
            </w:pPr>
            <w:r>
              <w:rPr>
                <w:rFonts w:ascii="宋体" w:hAnsi="宋体" w:cs="宋体" w:eastAsia="宋体" w:hint="default"/>
                <w:sz w:val="18"/>
                <w:szCs w:val="18"/>
              </w:rPr>
              <w:t>不计提坏账准备</w:t>
            </w:r>
          </w:p>
        </w:tc>
      </w:tr>
      <w:tr>
        <w:trPr>
          <w:trHeight w:val="329"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其他往来款项</w:t>
            </w:r>
          </w:p>
        </w:tc>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 w:right="0"/>
              <w:jc w:val="center"/>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line="240" w:lineRule="auto" w:before="7"/>
        <w:rPr>
          <w:rFonts w:ascii="宋体" w:hAnsi="宋体" w:cs="宋体" w:eastAsia="宋体" w:hint="default"/>
          <w:sz w:val="13"/>
          <w:szCs w:val="13"/>
        </w:rPr>
      </w:pPr>
    </w:p>
    <w:p>
      <w:pPr>
        <w:pStyle w:val="BodyText"/>
        <w:spacing w:line="240" w:lineRule="auto" w:before="44"/>
        <w:ind w:left="573" w:right="0"/>
        <w:jc w:val="left"/>
      </w:pPr>
      <w:r>
        <w:rPr>
          <w:spacing w:val="-3"/>
        </w:rPr>
        <w:t>根据分析结果，对于划分为组合</w:t>
      </w:r>
      <w:r>
        <w:rPr>
          <w:spacing w:val="-66"/>
        </w:rPr>
        <w:t> </w:t>
      </w:r>
      <w:r>
        <w:rPr>
          <w:rFonts w:ascii="Times New Roman" w:hAnsi="Times New Roman" w:cs="Times New Roman" w:eastAsia="Times New Roman" w:hint="default"/>
        </w:rPr>
        <w:t>5</w:t>
      </w:r>
      <w:r>
        <w:rPr>
          <w:rFonts w:ascii="Times New Roman" w:hAnsi="Times New Roman" w:cs="Times New Roman" w:eastAsia="Times New Roman" w:hint="default"/>
          <w:spacing w:val="-21"/>
        </w:rPr>
        <w:t> </w:t>
      </w:r>
      <w:r>
        <w:rPr/>
        <w:t>的应收账款本公司认为其他应收款中其他往来款存在损失风险，本公司结合历史数据</w:t>
      </w:r>
    </w:p>
    <w:p>
      <w:pPr>
        <w:spacing w:after="0" w:line="240" w:lineRule="auto"/>
        <w:jc w:val="left"/>
        <w:sectPr>
          <w:pgSz w:w="11910" w:h="16840"/>
          <w:pgMar w:header="877" w:footer="979" w:top="1100" w:bottom="1160" w:left="920" w:right="0"/>
        </w:sectPr>
      </w:pPr>
    </w:p>
    <w:p>
      <w:pPr>
        <w:spacing w:line="240" w:lineRule="auto" w:before="11"/>
        <w:rPr>
          <w:rFonts w:ascii="宋体" w:hAnsi="宋体" w:cs="宋体" w:eastAsia="宋体" w:hint="default"/>
          <w:sz w:val="19"/>
          <w:szCs w:val="19"/>
        </w:rPr>
      </w:pPr>
    </w:p>
    <w:p>
      <w:pPr>
        <w:pStyle w:val="BodyText"/>
        <w:spacing w:line="240" w:lineRule="auto" w:before="44"/>
        <w:ind w:left="212" w:right="1119"/>
        <w:jc w:val="left"/>
      </w:pPr>
      <w:r>
        <w:rPr/>
        <w:t>对此类款项估计的预计损失率如下：</w:t>
      </w:r>
    </w:p>
    <w:p>
      <w:pPr>
        <w:spacing w:line="240" w:lineRule="auto" w:before="1"/>
        <w:rPr>
          <w:rFonts w:ascii="宋体" w:hAnsi="宋体" w:cs="宋体" w:eastAsia="宋体" w:hint="default"/>
          <w:sz w:val="20"/>
          <w:szCs w:val="20"/>
        </w:rPr>
      </w:pPr>
    </w:p>
    <w:tbl>
      <w:tblPr>
        <w:tblW w:w="0" w:type="auto"/>
        <w:jc w:val="left"/>
        <w:tblInd w:w="100" w:type="dxa"/>
        <w:tblLayout w:type="fixed"/>
        <w:tblCellMar>
          <w:top w:w="0" w:type="dxa"/>
          <w:left w:w="0" w:type="dxa"/>
          <w:bottom w:w="0" w:type="dxa"/>
          <w:right w:w="0" w:type="dxa"/>
        </w:tblCellMar>
        <w:tblLook w:val="01E0"/>
      </w:tblPr>
      <w:tblGrid>
        <w:gridCol w:w="3733"/>
        <w:gridCol w:w="6123"/>
      </w:tblGrid>
      <w:tr>
        <w:trPr>
          <w:trHeight w:val="250" w:hRule="exact"/>
        </w:trPr>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612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违约损失率</w:t>
            </w:r>
          </w:p>
        </w:tc>
      </w:tr>
      <w:tr>
        <w:trPr>
          <w:trHeight w:val="250" w:hRule="exact"/>
        </w:trPr>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6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0%</w:t>
            </w:r>
          </w:p>
        </w:tc>
      </w:tr>
      <w:tr>
        <w:trPr>
          <w:trHeight w:val="252" w:hRule="exact"/>
        </w:trPr>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6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1%</w:t>
            </w:r>
          </w:p>
        </w:tc>
      </w:tr>
      <w:tr>
        <w:trPr>
          <w:trHeight w:val="250" w:hRule="exact"/>
        </w:trPr>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6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6%</w:t>
            </w:r>
          </w:p>
        </w:tc>
      </w:tr>
      <w:tr>
        <w:trPr>
          <w:trHeight w:val="250" w:hRule="exact"/>
        </w:trPr>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6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center"/>
              <w:rPr>
                <w:rFonts w:ascii="Times New Roman" w:hAnsi="Times New Roman" w:cs="Times New Roman" w:eastAsia="Times New Roman" w:hint="default"/>
                <w:sz w:val="18"/>
                <w:szCs w:val="18"/>
              </w:rPr>
            </w:pPr>
            <w:r>
              <w:rPr>
                <w:rFonts w:ascii="Times New Roman"/>
                <w:sz w:val="18"/>
              </w:rPr>
              <w:t>20%</w:t>
            </w:r>
          </w:p>
        </w:tc>
      </w:tr>
      <w:tr>
        <w:trPr>
          <w:trHeight w:val="250" w:hRule="exact"/>
        </w:trPr>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6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316" w:lineRule="auto" w:before="49"/>
        <w:ind w:left="212" w:right="1132" w:firstLine="360"/>
        <w:jc w:val="both"/>
      </w:pPr>
      <w:r>
        <w:rPr>
          <w:spacing w:val="-2"/>
        </w:rPr>
        <w:t>本公司将计提或转回的损失准备计入当期损益。对于持有的以公允价值计量且其变动计入其他综合收益的债务工具，本</w:t>
      </w:r>
      <w:r>
        <w:rPr/>
        <w:t> 公司在将减值损失或利得计入当期损益的同时调整其他综合收益。</w:t>
      </w:r>
    </w:p>
    <w:p>
      <w:pPr>
        <w:pStyle w:val="BodyText"/>
        <w:spacing w:line="360" w:lineRule="auto" w:before="57"/>
        <w:ind w:left="573" w:right="1119"/>
        <w:jc w:val="left"/>
      </w:pPr>
      <w:r>
        <w:rPr/>
        <w:t>金融工具公允价值确定方法 </w:t>
      </w:r>
      <w:r>
        <w:rPr>
          <w:spacing w:val="-2"/>
        </w:rPr>
        <w:t>本公司以主要市场的价格计量金融资产和金融负债的公允价值，不存在主要市场的，以最有利市场的价格计量金融资产</w:t>
      </w:r>
    </w:p>
    <w:p>
      <w:pPr>
        <w:pStyle w:val="BodyText"/>
        <w:spacing w:line="223" w:lineRule="exact"/>
        <w:ind w:left="212" w:right="1119"/>
        <w:jc w:val="left"/>
      </w:pPr>
      <w:r>
        <w:rPr/>
        <w:t>和金融负债的公允价值，并且采用当时适用并且有足够可利用数据和其他信息支持的估值技术。</w:t>
      </w:r>
    </w:p>
    <w:p>
      <w:pPr>
        <w:pStyle w:val="BodyText"/>
        <w:spacing w:line="357" w:lineRule="auto" w:before="117"/>
        <w:ind w:left="573" w:right="1119"/>
        <w:jc w:val="left"/>
      </w:pPr>
      <w:r>
        <w:rPr/>
        <w:t>公允价值计量所使用的输入值分为三个层次， 第一层次输入值是计量日能够取得的相同资产或负债在活跃市场上未经调整的报价； 第二层次输入值是除第一层次输入值外相关资产或负债直接或间接可观察的输入值； 第三层次输入值是相关资产或负债的不可观察输入值。 </w:t>
      </w:r>
      <w:r>
        <w:rPr>
          <w:spacing w:val="-2"/>
        </w:rPr>
        <w:t>本公司对权益工具的投资以公允价值计量。但在有限情况下，如果用以确定公允价值的近期信息不足，或者公允价值的</w:t>
      </w:r>
    </w:p>
    <w:p>
      <w:pPr>
        <w:pStyle w:val="BodyText"/>
        <w:spacing w:line="224" w:lineRule="exact"/>
        <w:ind w:left="212" w:right="0"/>
        <w:jc w:val="left"/>
      </w:pPr>
      <w:r>
        <w:rPr/>
        <w:t>可能估计金额分布范围很广，而成本代表了该范围内对公允价值的最佳估计的，该成本可代表其在该分布范围内对公允价值</w:t>
      </w:r>
    </w:p>
    <w:p>
      <w:pPr>
        <w:pStyle w:val="BodyText"/>
        <w:spacing w:line="240" w:lineRule="auto" w:before="76"/>
        <w:ind w:left="212" w:right="1119"/>
        <w:jc w:val="left"/>
      </w:pPr>
      <w:r>
        <w:rPr/>
        <w:t>的恰当估计。</w:t>
      </w:r>
    </w:p>
    <w:p>
      <w:pPr>
        <w:pStyle w:val="BodyText"/>
        <w:spacing w:line="360" w:lineRule="auto" w:before="117"/>
        <w:ind w:left="573" w:right="1119"/>
        <w:jc w:val="left"/>
      </w:pPr>
      <w:r>
        <w:rPr/>
        <w:t>金融资产和金融负债的抵消 </w:t>
      </w:r>
      <w:r>
        <w:rPr>
          <w:spacing w:val="-2"/>
        </w:rPr>
        <w:t>本公司的金融资产和金融负债在资产负债表内分别列示，不相互抵消。但同时满足下列条件时，以相互抵消后的净额在</w:t>
      </w:r>
    </w:p>
    <w:p>
      <w:pPr>
        <w:pStyle w:val="BodyText"/>
        <w:spacing w:line="236" w:lineRule="exact"/>
        <w:ind w:left="212" w:right="0"/>
        <w:jc w:val="left"/>
      </w:pPr>
      <w:r>
        <w:rPr/>
        <w:t>资产负债表内列示：（</w:t>
      </w:r>
      <w:r>
        <w:rPr>
          <w:rFonts w:ascii="Times New Roman" w:hAnsi="Times New Roman" w:cs="Times New Roman" w:eastAsia="Times New Roman" w:hint="default"/>
        </w:rPr>
        <w:t>1</w:t>
      </w:r>
      <w:r>
        <w:rPr/>
        <w:t>）本公司具有抵消已确认金额的法定权利，且该种法定权利是当前可执行的；（</w:t>
      </w:r>
      <w:r>
        <w:rPr>
          <w:rFonts w:ascii="Times New Roman" w:hAnsi="Times New Roman" w:cs="Times New Roman" w:eastAsia="Times New Roman" w:hint="default"/>
        </w:rPr>
        <w:t>2</w:t>
      </w:r>
      <w:r>
        <w:rPr/>
        <w:t>）本公司计划以净</w:t>
      </w:r>
    </w:p>
    <w:p>
      <w:pPr>
        <w:pStyle w:val="BodyText"/>
        <w:spacing w:line="357" w:lineRule="auto" w:before="63"/>
        <w:ind w:left="573" w:right="6614" w:hanging="361"/>
        <w:jc w:val="left"/>
      </w:pPr>
      <w:r>
        <w:rPr/>
        <w:t>额结算，或同时变现该金融资产和清偿该金融负债。 金融负债与权益工具的区分及相关处理方法</w:t>
      </w:r>
    </w:p>
    <w:p>
      <w:pPr>
        <w:pStyle w:val="BodyText"/>
        <w:spacing w:line="314" w:lineRule="auto" w:before="29"/>
        <w:ind w:left="212" w:right="1130" w:firstLine="360"/>
        <w:jc w:val="both"/>
      </w:pPr>
      <w:r>
        <w:rPr/>
        <w:t>本公司按照以下原则区分金融负债与权益工具：（</w:t>
      </w:r>
      <w:r>
        <w:rPr>
          <w:rFonts w:ascii="Times New Roman" w:hAnsi="Times New Roman" w:cs="Times New Roman" w:eastAsia="Times New Roman" w:hint="default"/>
        </w:rPr>
        <w:t>1</w:t>
      </w:r>
      <w:r>
        <w:rPr/>
        <w:t>）如果本公司不能无条件地避免以交付现金或其他金融资产来履行 </w:t>
      </w:r>
      <w:r>
        <w:rPr>
          <w:spacing w:val="-2"/>
        </w:rPr>
        <w:t>一项合同义务，则该合同义务符合金融负债的定义。有些金融工具虽然没有明确地包含交付现金或其他金融资产义务的条款</w:t>
      </w:r>
      <w:r>
        <w:rPr>
          <w:spacing w:val="-64"/>
        </w:rPr>
        <w:t> </w:t>
      </w:r>
      <w:r>
        <w:rPr>
          <w:spacing w:val="-64"/>
        </w:rPr>
      </w:r>
      <w:r>
        <w:rPr/>
        <w:t>和条件，但有可能通过其他条款和条件间接地形成合同义务。（</w:t>
      </w:r>
      <w:r>
        <w:rPr>
          <w:rFonts w:ascii="Times New Roman" w:hAnsi="Times New Roman" w:cs="Times New Roman" w:eastAsia="Times New Roman" w:hint="default"/>
        </w:rPr>
        <w:t>2</w:t>
      </w:r>
      <w:r>
        <w:rPr/>
        <w:t>）如果一项金融工具须用或可用本公司自身权益工具进行</w:t>
      </w:r>
      <w:r>
        <w:rPr>
          <w:spacing w:val="-83"/>
        </w:rPr>
        <w:t> </w:t>
      </w:r>
      <w:r>
        <w:rPr>
          <w:spacing w:val="-83"/>
        </w:rPr>
      </w:r>
      <w:r>
        <w:rPr>
          <w:spacing w:val="-2"/>
        </w:rPr>
        <w:t>结算，需要考虑用于结算该工具的本公司自身权益工具，是作为现金或其他金融资产的替代品，还是为了使该工具持有方享</w:t>
      </w:r>
      <w:r>
        <w:rPr>
          <w:spacing w:val="-63"/>
        </w:rPr>
        <w:t> </w:t>
      </w:r>
      <w:r>
        <w:rPr>
          <w:spacing w:val="-63"/>
        </w:rPr>
      </w:r>
      <w:r>
        <w:rPr>
          <w:spacing w:val="-2"/>
        </w:rPr>
        <w:t>有在发行方扣除所有负债后的资产中的剩余权益。如果是前者，该工具是发行方的金融负债；如果是后者，该工具是发行方</w:t>
      </w:r>
      <w:r>
        <w:rPr>
          <w:spacing w:val="-64"/>
        </w:rPr>
        <w:t> </w:t>
      </w:r>
      <w:r>
        <w:rPr>
          <w:spacing w:val="-64"/>
        </w:rPr>
      </w:r>
      <w:r>
        <w:rPr>
          <w:spacing w:val="-2"/>
        </w:rPr>
        <w:t>的权益工具。在某些情况下，一项金融工具合同规定本公司须用或可用自身权益工具结算该金融工具，其中合同权利或合同</w:t>
      </w:r>
      <w:r>
        <w:rPr>
          <w:spacing w:val="-65"/>
        </w:rPr>
        <w:t> </w:t>
      </w:r>
      <w:r>
        <w:rPr>
          <w:spacing w:val="-65"/>
        </w:rPr>
      </w:r>
      <w:r>
        <w:rPr/>
        <w:t>义务的金额等于可获取或需交付的自身权益工具的数量乘以其结算时的公允价值，则无论该合同权利或义务的金额是固定</w:t>
      </w:r>
      <w:r>
        <w:rPr>
          <w:spacing w:val="-11"/>
        </w:rPr>
        <w:t> </w:t>
      </w:r>
      <w:r>
        <w:rPr>
          <w:spacing w:val="-11"/>
        </w:rPr>
      </w:r>
      <w:r>
        <w:rPr>
          <w:spacing w:val="-2"/>
        </w:rPr>
        <w:t>的，还是完全或部分地基于除本公司自身权益工具的市场价格以外的变量（例如利率、某种商品的价格或某项金融工具的价</w:t>
      </w:r>
      <w:r>
        <w:rPr>
          <w:spacing w:val="-65"/>
        </w:rPr>
        <w:t> </w:t>
      </w:r>
      <w:r>
        <w:rPr>
          <w:spacing w:val="-65"/>
        </w:rPr>
      </w:r>
      <w:r>
        <w:rPr/>
        <w:t>格）的变动而变动，该合同分类为金融负债。</w:t>
      </w:r>
    </w:p>
    <w:p>
      <w:pPr>
        <w:pStyle w:val="BodyText"/>
        <w:spacing w:line="316" w:lineRule="auto" w:before="61"/>
        <w:ind w:left="212" w:right="1132" w:firstLine="360"/>
        <w:jc w:val="both"/>
      </w:pPr>
      <w:r>
        <w:rPr>
          <w:spacing w:val="-2"/>
        </w:rPr>
        <w:t>本公司在合并报表中对金融工具（或其组成部分）进行分类时，考虑了集团成员和金融工具持有方之间达成的所有条款</w:t>
      </w:r>
      <w:r>
        <w:rPr/>
        <w:t> </w:t>
      </w:r>
      <w:r>
        <w:rPr>
          <w:spacing w:val="-2"/>
        </w:rPr>
        <w:t>和条件。如果集团作为一个整体由于该工具而承担了交付现金、其他金融资产或者以其他导致该工具成为金融负债的方式进</w:t>
      </w:r>
      <w:r>
        <w:rPr>
          <w:spacing w:val="-64"/>
        </w:rPr>
        <w:t> </w:t>
      </w:r>
      <w:r>
        <w:rPr>
          <w:spacing w:val="-64"/>
        </w:rPr>
      </w:r>
      <w:r>
        <w:rPr/>
        <w:t>行结算的义务，则该工具应当分类为金融负债。</w:t>
      </w:r>
    </w:p>
    <w:p>
      <w:pPr>
        <w:pStyle w:val="BodyText"/>
        <w:spacing w:line="316" w:lineRule="auto" w:before="57"/>
        <w:ind w:left="212" w:right="1133" w:firstLine="360"/>
        <w:jc w:val="both"/>
      </w:pPr>
      <w:r>
        <w:rPr>
          <w:spacing w:val="-2"/>
        </w:rPr>
        <w:t>金融工具或其组成部分属于金融负债的，相关利息、股利（或股息）、利得或损失，以及赎回或再融资产生的利得或损</w:t>
      </w:r>
      <w:r>
        <w:rPr/>
        <w:t> 失等，本公司计入当期损益。</w:t>
      </w:r>
    </w:p>
    <w:p>
      <w:pPr>
        <w:pStyle w:val="BodyText"/>
        <w:spacing w:line="316" w:lineRule="auto" w:before="59"/>
        <w:ind w:left="212" w:right="1132" w:firstLine="360"/>
        <w:jc w:val="both"/>
      </w:pPr>
      <w:r>
        <w:rPr>
          <w:spacing w:val="-2"/>
        </w:rPr>
        <w:t>金融工具或其组成部分属于权益工具的，其发行（含再融资）、回购、出售或注销时，本公司作为权益的变动处理，不</w:t>
      </w:r>
      <w:r>
        <w:rPr/>
        <w:t> 确认权益工具的公允价值变动。</w:t>
      </w:r>
    </w:p>
    <w:p>
      <w:pPr>
        <w:spacing w:after="0" w:line="316" w:lineRule="auto"/>
        <w:jc w:val="both"/>
        <w:sectPr>
          <w:pgSz w:w="11910" w:h="16840"/>
          <w:pgMar w:header="877" w:footer="979" w:top="1100" w:bottom="1160" w:left="920" w:right="0"/>
        </w:sectPr>
      </w:pPr>
    </w:p>
    <w:p>
      <w:pPr>
        <w:spacing w:line="240" w:lineRule="auto" w:before="12"/>
        <w:rPr>
          <w:rFonts w:ascii="宋体" w:hAnsi="宋体" w:cs="宋体" w:eastAsia="宋体" w:hint="default"/>
          <w:sz w:val="20"/>
          <w:szCs w:val="20"/>
        </w:rPr>
      </w:pPr>
    </w:p>
    <w:p>
      <w:pPr>
        <w:pStyle w:val="Heading3"/>
        <w:spacing w:line="240" w:lineRule="auto" w:before="36"/>
        <w:ind w:right="0"/>
        <w:jc w:val="both"/>
        <w:rPr>
          <w:b w:val="0"/>
          <w:bCs w:val="0"/>
        </w:rPr>
      </w:pPr>
      <w:r>
        <w:rPr>
          <w:rFonts w:ascii="Times New Roman" w:hAnsi="Times New Roman" w:cs="Times New Roman" w:eastAsia="Times New Roman" w:hint="default"/>
        </w:rPr>
        <w:t>11</w:t>
      </w:r>
      <w:r>
        <w:rPr/>
        <w:t>、应收票据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对应收票据的减值损失计量，</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 </w:t>
      </w:r>
      <w:r>
        <w:rPr/>
        <w:t>月</w:t>
      </w:r>
      <w:r>
        <w:rPr>
          <w:spacing w:val="-48"/>
        </w:rPr>
        <w:t> </w:t>
      </w:r>
      <w:r>
        <w:rPr>
          <w:rFonts w:ascii="Times New Roman" w:hAnsi="Times New Roman" w:cs="Times New Roman" w:eastAsia="Times New Roman" w:hint="default"/>
        </w:rPr>
        <w:t>1 </w:t>
      </w:r>
      <w:r>
        <w:rPr/>
        <w:t>日起比照前述金融资产的计量方法处理。</w:t>
      </w:r>
    </w:p>
    <w:p>
      <w:pPr>
        <w:spacing w:line="240" w:lineRule="auto" w:before="13"/>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12</w:t>
      </w:r>
      <w:r>
        <w:rPr/>
        <w:t>、应收账款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对应收账款的减值损失计量，</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日起比照前述金融资产的计量方法处理。</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13</w:t>
      </w:r>
      <w:r>
        <w:rPr/>
        <w:t>、应收款项融资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14</w:t>
      </w:r>
      <w:r>
        <w:rPr/>
        <w:t>、其他应收款</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173"/>
        <w:jc w:val="left"/>
      </w:pPr>
      <w:r>
        <w:rPr/>
        <w:t>其他应收款的预期信用损失的确定方法及会计处理方法：对其他应收款的减值损失计量，</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1 </w:t>
      </w:r>
      <w:r>
        <w:rPr/>
        <w:t>日起比照前述金融 资产的计量方法处理。</w:t>
      </w:r>
    </w:p>
    <w:p>
      <w:pPr>
        <w:spacing w:line="240" w:lineRule="auto" w:before="10"/>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15</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48" w:lineRule="auto"/>
        <w:ind w:left="513" w:right="3733"/>
        <w:jc w:val="left"/>
      </w:pPr>
      <w:r>
        <w:rPr>
          <w:rFonts w:ascii="Times New Roman" w:hAnsi="Times New Roman" w:cs="Times New Roman" w:eastAsia="Times New Roman" w:hint="default"/>
        </w:rPr>
        <w:t>1</w:t>
      </w:r>
      <w:r>
        <w:rPr/>
        <w:t>、存货的分类 存货主要包括原材料、在产品、库存商品、发出商品、自制半成品和低值易耗品等。 </w:t>
      </w:r>
      <w:r>
        <w:rPr>
          <w:rFonts w:ascii="Times New Roman" w:hAnsi="Times New Roman" w:cs="Times New Roman" w:eastAsia="Times New Roman" w:hint="default"/>
        </w:rPr>
        <w:t>2</w:t>
      </w:r>
      <w:r>
        <w:rPr/>
        <w:t>、存货取得和发出的计价方法</w:t>
      </w:r>
    </w:p>
    <w:p>
      <w:pPr>
        <w:pStyle w:val="BodyText"/>
        <w:spacing w:line="319" w:lineRule="auto" w:before="14"/>
        <w:ind w:right="986" w:firstLine="360"/>
        <w:jc w:val="left"/>
      </w:pPr>
      <w:r>
        <w:rPr>
          <w:spacing w:val="-4"/>
        </w:rPr>
        <w:t>存货取得时按实际成本计价；原材料、库存商品等领用或销售采用加权平均法进行核算；产品成本计算主要采用品种法；</w:t>
      </w:r>
      <w:r>
        <w:rPr/>
        <w:t> 低值易耗品采用</w:t>
      </w:r>
      <w:r>
        <w:rPr>
          <w:rFonts w:ascii="Times New Roman" w:hAnsi="Times New Roman" w:cs="Times New Roman" w:eastAsia="Times New Roman" w:hint="default"/>
        </w:rPr>
        <w:t>“</w:t>
      </w:r>
      <w:r>
        <w:rPr/>
        <w:t>一次摊销法</w:t>
      </w:r>
      <w:r>
        <w:rPr>
          <w:rFonts w:ascii="Times New Roman" w:hAnsi="Times New Roman" w:cs="Times New Roman" w:eastAsia="Times New Roman" w:hint="default"/>
        </w:rPr>
        <w:t>”</w:t>
      </w:r>
      <w:r>
        <w:rPr/>
        <w:t>进行分摊。</w:t>
      </w:r>
    </w:p>
    <w:p>
      <w:pPr>
        <w:pStyle w:val="BodyText"/>
        <w:spacing w:line="340" w:lineRule="auto" w:before="35"/>
        <w:ind w:left="513" w:right="1033"/>
        <w:jc w:val="left"/>
      </w:pPr>
      <w:r>
        <w:rPr>
          <w:rFonts w:ascii="Times New Roman" w:hAnsi="Times New Roman" w:cs="Times New Roman" w:eastAsia="Times New Roman" w:hint="default"/>
        </w:rPr>
        <w:t>3</w:t>
      </w:r>
      <w:r>
        <w:rPr/>
        <w:t>、存货可变现净值的确定依据及存货跌价准备的计提方法 本公司对直接用于出售的商品存货，其可变现净值按该存货的估计售价减去估计的销售费用和相关税费后的金额确定；</w:t>
      </w:r>
    </w:p>
    <w:p>
      <w:pPr>
        <w:pStyle w:val="BodyText"/>
        <w:spacing w:line="316" w:lineRule="auto" w:before="1"/>
        <w:ind w:right="1130"/>
        <w:jc w:val="both"/>
      </w:pPr>
      <w:r>
        <w:rPr>
          <w:spacing w:val="-2"/>
        </w:rPr>
        <w:t>对需要经过加工的材料存货，以所生产的产成品的估计售价减去至完工时估计将要发生的成本、估计的销售费用和相关税费</w:t>
      </w:r>
      <w:r>
        <w:rPr>
          <w:spacing w:val="-64"/>
        </w:rPr>
        <w:t> </w:t>
      </w:r>
      <w:r>
        <w:rPr>
          <w:spacing w:val="-64"/>
        </w:rPr>
      </w:r>
      <w:r>
        <w:rPr>
          <w:spacing w:val="-2"/>
        </w:rPr>
        <w:t>后的金额确定。在确定存货的可变现净值时，以取得的确凿证据为基础，同时考虑持有存货的目的以及资产负债表日后事项</w:t>
      </w:r>
      <w:r>
        <w:rPr>
          <w:spacing w:val="-63"/>
        </w:rPr>
        <w:t> </w:t>
      </w:r>
      <w:r>
        <w:rPr>
          <w:spacing w:val="-63"/>
        </w:rPr>
      </w:r>
      <w:r>
        <w:rPr/>
        <w:t>的影响。</w:t>
      </w:r>
    </w:p>
    <w:p>
      <w:pPr>
        <w:pStyle w:val="BodyText"/>
        <w:spacing w:line="316" w:lineRule="auto" w:before="59"/>
        <w:ind w:right="1034" w:firstLine="360"/>
        <w:jc w:val="left"/>
      </w:pPr>
      <w:r>
        <w:rPr/>
        <w:t>资产负债表日，存货成本高于其可变现净值的，计提存货跌价准备。本公司通常按照单个存货项目计提存货跌价准备， 资产负债表日，以前减记存货价值的影响因素已经消失的，存货跌价准备在原已计提的金额内转回。</w:t>
      </w:r>
    </w:p>
    <w:p>
      <w:pPr>
        <w:pStyle w:val="BodyText"/>
        <w:spacing w:line="345" w:lineRule="auto" w:before="57"/>
        <w:ind w:left="513" w:right="7533"/>
        <w:jc w:val="left"/>
      </w:pPr>
      <w:r>
        <w:rPr>
          <w:rFonts w:ascii="Times New Roman" w:hAnsi="Times New Roman" w:cs="Times New Roman" w:eastAsia="Times New Roman" w:hint="default"/>
        </w:rPr>
        <w:t>4</w:t>
      </w:r>
      <w:r>
        <w:rPr/>
        <w:t>、存货的盘存制度 本公司采用永续盘存制。 </w:t>
      </w:r>
      <w:r>
        <w:rPr>
          <w:rFonts w:ascii="Times New Roman" w:hAnsi="Times New Roman" w:cs="Times New Roman" w:eastAsia="Times New Roman" w:hint="default"/>
        </w:rPr>
        <w:t>5</w:t>
      </w:r>
      <w:r>
        <w:rPr/>
        <w:t>、低值易耗品的摊销方法 本公司采用</w:t>
      </w:r>
      <w:r>
        <w:rPr>
          <w:rFonts w:ascii="Times New Roman" w:hAnsi="Times New Roman" w:cs="Times New Roman" w:eastAsia="Times New Roman" w:hint="default"/>
        </w:rPr>
        <w:t>“</w:t>
      </w:r>
      <w:r>
        <w:rPr/>
        <w:t>一次摊销法</w:t>
      </w:r>
      <w:r>
        <w:rPr>
          <w:rFonts w:ascii="Times New Roman" w:hAnsi="Times New Roman" w:cs="Times New Roman" w:eastAsia="Times New Roman" w:hint="default"/>
        </w:rPr>
        <w:t>”</w:t>
      </w:r>
      <w:r>
        <w:rPr/>
        <w:t>进行分摊。</w:t>
      </w:r>
    </w:p>
    <w:p>
      <w:pPr>
        <w:spacing w:line="240" w:lineRule="auto" w:before="6"/>
        <w:rPr>
          <w:rFonts w:ascii="宋体" w:hAnsi="宋体" w:cs="宋体" w:eastAsia="宋体" w:hint="default"/>
          <w:sz w:val="19"/>
          <w:szCs w:val="19"/>
        </w:rPr>
      </w:pPr>
    </w:p>
    <w:p>
      <w:pPr>
        <w:pStyle w:val="Heading3"/>
        <w:spacing w:line="240" w:lineRule="auto"/>
        <w:ind w:right="0"/>
        <w:jc w:val="both"/>
        <w:rPr>
          <w:b w:val="0"/>
          <w:bCs w:val="0"/>
        </w:rPr>
      </w:pPr>
      <w:r>
        <w:rPr>
          <w:rFonts w:ascii="Times New Roman" w:hAnsi="Times New Roman" w:cs="Times New Roman" w:eastAsia="Times New Roman" w:hint="default"/>
        </w:rPr>
        <w:t>16</w:t>
      </w:r>
      <w:r>
        <w:rPr/>
        <w:t>、合同资产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17</w:t>
      </w:r>
      <w:r>
        <w:rPr/>
        <w:t>、合同成本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18</w:t>
      </w:r>
      <w:r>
        <w:rPr/>
        <w:t>、持有待售资产</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578" w:right="1133" w:hanging="65"/>
        <w:jc w:val="left"/>
      </w:pPr>
      <w:r>
        <w:rPr>
          <w:rFonts w:ascii="Times New Roman" w:hAnsi="Times New Roman" w:cs="Times New Roman" w:eastAsia="Times New Roman" w:hint="default"/>
        </w:rPr>
        <w:t>1</w:t>
      </w:r>
      <w:r>
        <w:rPr/>
        <w:t>、持有待售的非流动资产或处置组的确认标准 公司主要通过出售（包括具有商业实质的非货币性资产交换，下同）而非持续使用一项非流动资产或处置组收回其账</w:t>
      </w:r>
    </w:p>
    <w:p>
      <w:pPr>
        <w:pStyle w:val="BodyText"/>
        <w:spacing w:line="240" w:lineRule="auto" w:before="1"/>
        <w:ind w:right="0"/>
        <w:jc w:val="both"/>
      </w:pPr>
      <w:r>
        <w:rPr/>
        <w:t>面价值的，应当将其划分为持有待售类别。</w:t>
      </w:r>
    </w:p>
    <w:p>
      <w:pPr>
        <w:spacing w:after="0" w:line="240" w:lineRule="auto"/>
        <w:jc w:val="both"/>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left="513" w:right="1133"/>
        <w:jc w:val="left"/>
      </w:pPr>
      <w:r>
        <w:rPr/>
        <w:t>公司将同时满足下列条件的非流动资产或处置组划分为持有待售类别：</w:t>
      </w:r>
    </w:p>
    <w:p>
      <w:pPr>
        <w:pStyle w:val="BodyText"/>
        <w:spacing w:line="240" w:lineRule="auto" w:before="117"/>
        <w:ind w:left="513" w:right="1133"/>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300" w:lineRule="auto" w:before="101"/>
        <w:ind w:right="1133" w:firstLine="360"/>
        <w:jc w:val="both"/>
      </w:pPr>
      <w:r>
        <w:rPr/>
        <w:t>（</w:t>
      </w:r>
      <w:r>
        <w:rPr>
          <w:rFonts w:ascii="Times New Roman" w:hAnsi="Times New Roman" w:cs="Times New Roman" w:eastAsia="Times New Roman" w:hint="default"/>
        </w:rPr>
        <w:t>2</w:t>
      </w:r>
      <w:r>
        <w:rPr/>
        <w:t>）出售极可能发生，即公司已经就一项出售计划做出决议且获得确定的购买承诺，预计出售将在一年内完成。有关 规定要求公司相关权力机构或者监管部门批准后方可出售的，已经获得批准。</w:t>
      </w:r>
    </w:p>
    <w:p>
      <w:pPr>
        <w:pStyle w:val="BodyText"/>
        <w:spacing w:line="316" w:lineRule="auto" w:before="72"/>
        <w:ind w:right="1129" w:firstLine="360"/>
        <w:jc w:val="both"/>
      </w:pPr>
      <w:r>
        <w:rPr>
          <w:spacing w:val="-2"/>
        </w:rPr>
        <w:t>确定的购买承诺，是指公司与其他方签订的具有法律约束力的购买协议，该协议包含交易价格、时间和足够严厉的违约</w:t>
      </w:r>
      <w:r>
        <w:rPr/>
        <w:t> 惩罚等重要条款，使协议出现重大调整或者撤销的可能性极小。</w:t>
      </w:r>
    </w:p>
    <w:p>
      <w:pPr>
        <w:pStyle w:val="BodyText"/>
        <w:spacing w:line="338" w:lineRule="auto" w:before="59"/>
        <w:ind w:left="513" w:right="1118"/>
        <w:jc w:val="left"/>
      </w:pPr>
      <w:r>
        <w:rPr>
          <w:rFonts w:ascii="Times New Roman" w:hAnsi="Times New Roman" w:cs="Times New Roman" w:eastAsia="Times New Roman" w:hint="default"/>
        </w:rPr>
        <w:t>2</w:t>
      </w:r>
      <w:r>
        <w:rPr/>
        <w:t>、持有待售的非流动资产或处置组的会计处理方法 </w:t>
      </w:r>
      <w:r>
        <w:rPr>
          <w:spacing w:val="-2"/>
        </w:rPr>
        <w:t>公司初始计量或在资产负债表日重新计量持有待售的非流动资产或处置组时，其账面价值高于公允价值减去出售费用后</w:t>
      </w:r>
    </w:p>
    <w:p>
      <w:pPr>
        <w:pStyle w:val="BodyText"/>
        <w:spacing w:line="316" w:lineRule="auto" w:before="2"/>
        <w:ind w:right="1118"/>
        <w:jc w:val="left"/>
      </w:pPr>
      <w:r>
        <w:rPr>
          <w:spacing w:val="-2"/>
        </w:rPr>
        <w:t>的净额的，将账面价值减记至公允价值减去出售费用后的净额，减记的金额确认为资产减值损失，计入当期损益，同时计提</w:t>
      </w:r>
      <w:r>
        <w:rPr>
          <w:spacing w:val="-64"/>
        </w:rPr>
        <w:t> </w:t>
      </w:r>
      <w:r>
        <w:rPr>
          <w:spacing w:val="-64"/>
        </w:rPr>
      </w:r>
      <w:r>
        <w:rPr/>
        <w:t>持有待售资产减值准备。</w:t>
      </w:r>
    </w:p>
    <w:p>
      <w:pPr>
        <w:pStyle w:val="BodyText"/>
        <w:spacing w:line="312" w:lineRule="auto" w:before="60"/>
        <w:ind w:right="1130" w:firstLine="360"/>
        <w:jc w:val="both"/>
      </w:pPr>
      <w:r>
        <w:rPr/>
        <w:t>（</w:t>
      </w:r>
      <w:r>
        <w:rPr>
          <w:rFonts w:ascii="Times New Roman" w:hAnsi="Times New Roman" w:cs="Times New Roman" w:eastAsia="Times New Roman" w:hint="default"/>
        </w:rPr>
        <w:t>1</w:t>
      </w:r>
      <w:r>
        <w:rPr/>
        <w:t>）对于持有待售的固定资产，应当调整该项固定资产的预计净残值，使该项固定资产的预计净残值能够反映其公允 </w:t>
      </w:r>
      <w:r>
        <w:rPr>
          <w:spacing w:val="-2"/>
        </w:rPr>
        <w:t>价值减去处置费用后的金额，但不得超过符合持有待售条件时该项固定资产的原账面价值，原账面价值高于调整后预计净残</w:t>
      </w:r>
      <w:r>
        <w:rPr>
          <w:spacing w:val="-63"/>
        </w:rPr>
        <w:t> </w:t>
      </w:r>
      <w:r>
        <w:rPr>
          <w:spacing w:val="-63"/>
        </w:rPr>
      </w:r>
      <w:r>
        <w:rPr>
          <w:spacing w:val="-2"/>
        </w:rPr>
        <w:t>值的差额，应作为资产减值损失计入当期损益。持有待售的固定资产不计提折旧，按照账面价值与公允价值减去处置费用后</w:t>
      </w:r>
      <w:r>
        <w:rPr>
          <w:spacing w:val="-63"/>
        </w:rPr>
        <w:t> </w:t>
      </w:r>
      <w:r>
        <w:rPr>
          <w:spacing w:val="-63"/>
        </w:rPr>
      </w:r>
      <w:r>
        <w:rPr/>
        <w:t>的净额孰低进行计量。</w:t>
      </w:r>
    </w:p>
    <w:p>
      <w:pPr>
        <w:pStyle w:val="BodyText"/>
        <w:spacing w:line="240" w:lineRule="auto" w:before="63"/>
        <w:ind w:left="513" w:right="1133"/>
        <w:jc w:val="left"/>
      </w:pPr>
      <w:r>
        <w:rPr/>
        <w:t>（</w:t>
      </w:r>
      <w:r>
        <w:rPr>
          <w:rFonts w:ascii="Times New Roman" w:hAnsi="Times New Roman" w:cs="Times New Roman" w:eastAsia="Times New Roman" w:hint="default"/>
        </w:rPr>
        <w:t>2</w:t>
      </w:r>
      <w:r>
        <w:rPr/>
        <w:t>）对于持有待售的联营企业或合营企业的权益性投资，自划分至持有待售之日起，停止按权益法核算。</w:t>
      </w:r>
    </w:p>
    <w:p>
      <w:pPr>
        <w:pStyle w:val="BodyText"/>
        <w:spacing w:line="309" w:lineRule="auto" w:before="101"/>
        <w:ind w:right="1133" w:firstLine="360"/>
        <w:jc w:val="both"/>
      </w:pPr>
      <w:r>
        <w:rPr/>
        <w:t>（</w:t>
      </w:r>
      <w:r>
        <w:rPr>
          <w:rFonts w:ascii="Times New Roman" w:hAnsi="Times New Roman" w:cs="Times New Roman" w:eastAsia="Times New Roman" w:hint="default"/>
        </w:rPr>
        <w:t>3</w:t>
      </w:r>
      <w:r>
        <w:rPr/>
        <w:t>）对于出售的对子公司的投资将导致本公司丧失对子公司的控制权的，无论出售后本公司是否保留少数股东权益， </w:t>
      </w:r>
      <w:r>
        <w:rPr>
          <w:spacing w:val="-2"/>
        </w:rPr>
        <w:t>本公司在拟出售的对子公司投资满足持有待售类别划分条件时，在母公司个别财务报表中将对子公司投资整体划分为持有待</w:t>
      </w:r>
      <w:r>
        <w:rPr>
          <w:spacing w:val="-64"/>
        </w:rPr>
        <w:t> </w:t>
      </w:r>
      <w:r>
        <w:rPr>
          <w:spacing w:val="-64"/>
        </w:rPr>
      </w:r>
      <w:r>
        <w:rPr/>
        <w:t>售类别，在合并财务报表中将子公司所有资产和负债划分为持有待售类别。</w:t>
      </w:r>
    </w:p>
    <w:p>
      <w:pPr>
        <w:pStyle w:val="BodyText"/>
        <w:spacing w:line="240" w:lineRule="auto" w:before="65"/>
        <w:ind w:left="513" w:right="1133"/>
        <w:jc w:val="left"/>
      </w:pPr>
      <w:r>
        <w:rPr>
          <w:rFonts w:ascii="Times New Roman" w:hAnsi="Times New Roman" w:cs="Times New Roman" w:eastAsia="Times New Roman" w:hint="default"/>
        </w:rPr>
        <w:t>3</w:t>
      </w:r>
      <w:r>
        <w:rPr/>
        <w:t>、不再满足持有待售确认条件时的会计处理</w:t>
      </w:r>
    </w:p>
    <w:p>
      <w:pPr>
        <w:pStyle w:val="BodyText"/>
        <w:spacing w:line="300" w:lineRule="auto" w:before="103"/>
        <w:ind w:right="1133" w:firstLine="360"/>
        <w:jc w:val="both"/>
      </w:pPr>
      <w:r>
        <w:rPr/>
        <w:t>（</w:t>
      </w:r>
      <w:r>
        <w:rPr>
          <w:rFonts w:ascii="Times New Roman" w:hAnsi="Times New Roman" w:cs="Times New Roman" w:eastAsia="Times New Roman" w:hint="default"/>
        </w:rPr>
        <w:t>1</w:t>
      </w:r>
      <w:r>
        <w:rPr/>
        <w:t>）某项资产或处置组被划归为持有待售，但后来不再满足持有待售固定资产确认条件的，本公司停止将其划归为持 有待售，并按照下列两项金额中较低者计量：</w:t>
      </w:r>
    </w:p>
    <w:p>
      <w:pPr>
        <w:pStyle w:val="BodyText"/>
        <w:spacing w:line="316" w:lineRule="auto" w:before="70"/>
        <w:ind w:right="1051" w:firstLine="360"/>
        <w:jc w:val="both"/>
      </w:pPr>
      <w:r>
        <w:rPr/>
        <w:t>①该资产或处置组被划归为持有待售之前的账面价值，按照其假定在没有被划归为持有待售的情况下原应确认的折旧、 摊销或减值进行调整后的金额；</w:t>
      </w:r>
    </w:p>
    <w:p>
      <w:pPr>
        <w:pStyle w:val="BodyText"/>
        <w:spacing w:line="240" w:lineRule="auto" w:before="59"/>
        <w:ind w:left="513" w:right="1133"/>
        <w:jc w:val="left"/>
      </w:pPr>
      <w:r>
        <w:rPr/>
        <w:t>②决定不再出售之日的再收回金额。</w:t>
      </w:r>
    </w:p>
    <w:p>
      <w:pPr>
        <w:pStyle w:val="BodyText"/>
        <w:spacing w:line="300" w:lineRule="auto" w:before="117"/>
        <w:ind w:right="1131" w:firstLine="360"/>
        <w:jc w:val="both"/>
      </w:pPr>
      <w:r>
        <w:rPr/>
        <w:t>（</w:t>
      </w:r>
      <w:r>
        <w:rPr>
          <w:rFonts w:ascii="Times New Roman" w:hAnsi="Times New Roman" w:cs="Times New Roman" w:eastAsia="Times New Roman" w:hint="default"/>
        </w:rPr>
        <w:t>2</w:t>
      </w:r>
      <w:r>
        <w:rPr/>
        <w:t>）已划分为持有待售的对联营企业或合营企业的权益性投资，不再符合持有待售资产分类条件的，本公司从其被分 类为持有待售资产之日起采用权益法进行追溯调整。</w:t>
      </w:r>
    </w:p>
    <w:p>
      <w:pPr>
        <w:pStyle w:val="BodyText"/>
        <w:spacing w:line="340" w:lineRule="auto" w:before="70"/>
        <w:ind w:left="513" w:right="986"/>
        <w:jc w:val="left"/>
      </w:pPr>
      <w:r>
        <w:rPr>
          <w:rFonts w:ascii="Times New Roman" w:hAnsi="Times New Roman" w:cs="Times New Roman" w:eastAsia="Times New Roman" w:hint="default"/>
        </w:rPr>
        <w:t>4</w:t>
      </w:r>
      <w:r>
        <w:rPr/>
        <w:t>、其他持有待售非流动资产的会计处理 </w:t>
      </w:r>
      <w:r>
        <w:rPr>
          <w:spacing w:val="-4"/>
        </w:rPr>
        <w:t>符合持有待售条件的无形资产等其他非流动资产，比照上述原则处理，此处所指其他非流动资产不包括递延所得税资产、</w:t>
      </w:r>
    </w:p>
    <w:p>
      <w:pPr>
        <w:pStyle w:val="BodyText"/>
        <w:spacing w:line="300" w:lineRule="auto" w:before="1"/>
        <w:ind w:right="1118"/>
        <w:jc w:val="left"/>
      </w:pPr>
      <w:r>
        <w:rPr>
          <w:spacing w:val="-2"/>
        </w:rPr>
        <w:t>职工薪酬形成的资产、《企业会计准则第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金融工具确认和计量》规范的金融资产、以公允价值计量的投资性房地产</w:t>
      </w:r>
      <w:r>
        <w:rPr>
          <w:spacing w:val="-62"/>
        </w:rPr>
        <w:t> </w:t>
      </w:r>
      <w:r>
        <w:rPr>
          <w:spacing w:val="-62"/>
        </w:rPr>
      </w:r>
      <w:r>
        <w:rPr/>
        <w:t>和生物资产、保险合同中产生的合同权利。</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19</w:t>
      </w:r>
      <w:r>
        <w:rPr/>
        <w:t>、债权投资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20</w:t>
      </w:r>
      <w:r>
        <w:rPr/>
        <w:t>、其他债权投资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21</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22</w:t>
      </w:r>
      <w:r>
        <w:rPr/>
        <w:t>、长期股权投资</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13" w:right="1118"/>
        <w:jc w:val="left"/>
      </w:pPr>
      <w:r>
        <w:rPr>
          <w:rFonts w:ascii="Times New Roman" w:hAnsi="Times New Roman" w:cs="Times New Roman" w:eastAsia="Times New Roman" w:hint="default"/>
        </w:rPr>
        <w:t>1</w:t>
      </w:r>
      <w:r>
        <w:rPr/>
        <w:t>、共同控制、重大影响的判断标准 </w:t>
      </w:r>
      <w:r>
        <w:rPr>
          <w:spacing w:val="-2"/>
        </w:rPr>
        <w:t>共同控制，是指按照相关约定对某项安排所共有的控制，并且该安排的相关活动必须经过分享控制权的参与方一致同意</w:t>
      </w:r>
    </w:p>
    <w:p>
      <w:pPr>
        <w:pStyle w:val="BodyText"/>
        <w:spacing w:line="316" w:lineRule="auto" w:before="31"/>
        <w:ind w:right="1118"/>
        <w:jc w:val="left"/>
      </w:pPr>
      <w:r>
        <w:rPr>
          <w:spacing w:val="-2"/>
        </w:rPr>
        <w:t>后才能决策。本公司与其他合营方一同对被投资单位实施共同控制且对被投资单位净资产享有权利的，被投资单位为本公司</w:t>
      </w:r>
      <w:r>
        <w:rPr>
          <w:spacing w:val="-64"/>
        </w:rPr>
        <w:t> </w:t>
      </w:r>
      <w:r>
        <w:rPr>
          <w:spacing w:val="-64"/>
        </w:rPr>
      </w:r>
      <w:r>
        <w:rPr/>
        <w:t>的合营企业。</w:t>
      </w:r>
    </w:p>
    <w:p>
      <w:pPr>
        <w:spacing w:after="0" w:line="316"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4"/>
        <w:ind w:right="1137" w:firstLine="432"/>
        <w:jc w:val="both"/>
      </w:pPr>
      <w:r>
        <w:rPr/>
        <w:t>重大影响，是指对一个企业的财务和经营决策有参与决策的权力，但并不能够控制或者与其他方一起共同控制这些政 策的制定。本能够对被投资单位施加重大影响的，被投资单位为本公司联营企业。</w:t>
      </w:r>
    </w:p>
    <w:p>
      <w:pPr>
        <w:pStyle w:val="BodyText"/>
        <w:spacing w:line="240" w:lineRule="auto" w:before="19"/>
        <w:ind w:left="513" w:right="1133"/>
        <w:jc w:val="left"/>
      </w:pPr>
      <w:r>
        <w:rPr>
          <w:rFonts w:ascii="Times New Roman" w:hAnsi="Times New Roman" w:cs="Times New Roman" w:eastAsia="Times New Roman" w:hint="default"/>
        </w:rPr>
        <w:t>2</w:t>
      </w:r>
      <w:r>
        <w:rPr/>
        <w:t>、初始投资成本的确定</w:t>
      </w:r>
    </w:p>
    <w:p>
      <w:pPr>
        <w:pStyle w:val="BodyText"/>
        <w:spacing w:line="300" w:lineRule="auto" w:before="63"/>
        <w:ind w:left="513" w:right="1118"/>
        <w:jc w:val="left"/>
      </w:pPr>
      <w:r>
        <w:rPr/>
        <w:t>（</w:t>
      </w:r>
      <w:r>
        <w:rPr>
          <w:rFonts w:ascii="Times New Roman" w:hAnsi="Times New Roman" w:cs="Times New Roman" w:eastAsia="Times New Roman" w:hint="default"/>
        </w:rPr>
        <w:t>1</w:t>
      </w:r>
      <w:r>
        <w:rPr/>
        <w:t>）企业合并形成的长期股权投资 </w:t>
      </w:r>
      <w:r>
        <w:rPr>
          <w:spacing w:val="-2"/>
        </w:rPr>
        <w:t>同一控制下的企业合并：公司以支付现金、转让非现金资产或承担债务方式以及以发行权益性证券作为合并对价的，在</w:t>
      </w:r>
    </w:p>
    <w:p>
      <w:pPr>
        <w:pStyle w:val="BodyText"/>
        <w:spacing w:line="314" w:lineRule="auto" w:before="31"/>
        <w:ind w:right="1034"/>
        <w:jc w:val="left"/>
      </w:pPr>
      <w:r>
        <w:rPr>
          <w:spacing w:val="-2"/>
        </w:rPr>
        <w:t>合并日按照取得被合并方所有者权益在最终控制方合并财务报表中的账面价值的份额作为长期股权投资的初始投资成本。因</w:t>
      </w:r>
      <w:r>
        <w:rPr>
          <w:spacing w:val="-64"/>
        </w:rPr>
        <w:t> </w:t>
      </w:r>
      <w:r>
        <w:rPr>
          <w:spacing w:val="-64"/>
        </w:rPr>
      </w:r>
      <w:r>
        <w:rPr>
          <w:spacing w:val="-2"/>
        </w:rPr>
        <w:t>追加投资等原因能够对同一控制下的被投资单位实施控制的，在合并日根据合并后应享有被合并方净资产在最终控制方合并</w:t>
      </w:r>
      <w:r>
        <w:rPr>
          <w:spacing w:val="-64"/>
        </w:rPr>
        <w:t> </w:t>
      </w:r>
      <w:r>
        <w:rPr>
          <w:spacing w:val="-64"/>
        </w:rPr>
      </w:r>
      <w:r>
        <w:rPr/>
        <w:t>财务报表中的账面价值的份额，确定长期股权投资四川川润股份有限公司 </w:t>
      </w:r>
      <w:r>
        <w:rPr>
          <w:rFonts w:ascii="Times New Roman" w:hAnsi="Times New Roman" w:cs="Times New Roman" w:eastAsia="Times New Roman" w:hint="default"/>
        </w:rPr>
        <w:t>2014</w:t>
      </w:r>
      <w:r>
        <w:rPr>
          <w:rFonts w:ascii="Times New Roman" w:hAnsi="Times New Roman" w:cs="Times New Roman" w:eastAsia="Times New Roman" w:hint="default"/>
          <w:spacing w:val="-21"/>
        </w:rPr>
        <w:t> </w:t>
      </w:r>
      <w:r>
        <w:rPr/>
        <w:t>年年度的初始投资成本。合并日长期股权投 资的初始投资成本，与达到合并前的长期股权投资账面价值加上合并日进一步取得股份新支付对价的账面价值之和的差额， 调整股本溢价，股本溢价不足冲减的，冲减留存收益。</w:t>
      </w:r>
    </w:p>
    <w:p>
      <w:pPr>
        <w:pStyle w:val="BodyText"/>
        <w:spacing w:line="319" w:lineRule="auto" w:before="20"/>
        <w:ind w:right="1132" w:firstLine="360"/>
        <w:jc w:val="both"/>
      </w:pPr>
      <w:r>
        <w:rPr>
          <w:spacing w:val="-2"/>
        </w:rPr>
        <w:t>非同一控制下的企业合并：公司按照购买日确定的合并成本作为长期股权投资的初始投资成本。因追加投资等原因能够</w:t>
      </w:r>
      <w:r>
        <w:rPr/>
        <w:t> </w:t>
      </w:r>
      <w:r>
        <w:rPr>
          <w:spacing w:val="-2"/>
        </w:rPr>
        <w:t>对非同一控制下的被投资单位实施控制的，按照原持有的股权投资账面价值加上新增投资成本之和，作为改按成本法核算的</w:t>
      </w:r>
      <w:r>
        <w:rPr>
          <w:spacing w:val="-64"/>
        </w:rPr>
        <w:t> </w:t>
      </w:r>
      <w:r>
        <w:rPr>
          <w:spacing w:val="-64"/>
        </w:rPr>
      </w:r>
      <w:r>
        <w:rPr/>
        <w:t>初始投资成本。</w:t>
      </w:r>
    </w:p>
    <w:p>
      <w:pPr>
        <w:pStyle w:val="BodyText"/>
        <w:spacing w:line="312" w:lineRule="auto" w:before="17"/>
        <w:ind w:left="513" w:right="1118"/>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2"/>
        </w:rPr>
        <w:t>在非货币性资产交换具备商业实质和换入资产或换出资产的公允价值能够可靠计量的前提下，非货币性资产交换换入的</w:t>
      </w:r>
    </w:p>
    <w:p>
      <w:pPr>
        <w:pStyle w:val="BodyText"/>
        <w:spacing w:line="316" w:lineRule="auto" w:before="22"/>
        <w:ind w:right="1133"/>
        <w:jc w:val="both"/>
      </w:pPr>
      <w:r>
        <w:rPr>
          <w:spacing w:val="-2"/>
        </w:rPr>
        <w:t>长期股权投资以换出资产的公允价值和应支付的相关税费确定其初始投资成本，除非有确凿证据表明换入资产的公允价值更</w:t>
      </w:r>
      <w:r>
        <w:rPr>
          <w:spacing w:val="-64"/>
        </w:rPr>
        <w:t> </w:t>
      </w:r>
      <w:r>
        <w:rPr>
          <w:spacing w:val="-64"/>
        </w:rPr>
      </w:r>
      <w:r>
        <w:rPr>
          <w:spacing w:val="-2"/>
        </w:rPr>
        <w:t>加可靠；不满足上述前提的非货币性资产交换，以换出资产的账面价值和应支付的相关税费作为换入长期股权投资的初始投</w:t>
      </w:r>
      <w:r>
        <w:rPr>
          <w:spacing w:val="-64"/>
        </w:rPr>
        <w:t> </w:t>
      </w:r>
      <w:r>
        <w:rPr>
          <w:spacing w:val="-64"/>
        </w:rPr>
      </w:r>
      <w:r>
        <w:rPr/>
        <w:t>资成本。</w:t>
      </w:r>
    </w:p>
    <w:p>
      <w:pPr>
        <w:pStyle w:val="BodyText"/>
        <w:spacing w:line="240" w:lineRule="auto" w:before="19"/>
        <w:ind w:left="513" w:right="1133"/>
        <w:jc w:val="left"/>
      </w:pPr>
      <w:r>
        <w:rPr/>
        <w:t>通过债务重组取得的长期股权投资，其初始投资成本按照公允价值为基础确定。</w:t>
      </w:r>
    </w:p>
    <w:p>
      <w:pPr>
        <w:pStyle w:val="BodyText"/>
        <w:spacing w:line="240" w:lineRule="auto" w:before="77"/>
        <w:ind w:left="513" w:right="1133"/>
        <w:jc w:val="left"/>
      </w:pPr>
      <w:r>
        <w:rPr>
          <w:rFonts w:ascii="Times New Roman" w:hAnsi="Times New Roman" w:cs="Times New Roman" w:eastAsia="Times New Roman" w:hint="default"/>
        </w:rPr>
        <w:t>3</w:t>
      </w:r>
      <w:r>
        <w:rPr/>
        <w:t>、后续计量及损益确认方法</w:t>
      </w:r>
    </w:p>
    <w:p>
      <w:pPr>
        <w:pStyle w:val="BodyText"/>
        <w:spacing w:line="300" w:lineRule="auto" w:before="63"/>
        <w:ind w:left="513" w:right="1118"/>
        <w:jc w:val="left"/>
      </w:pPr>
      <w:r>
        <w:rPr/>
        <w:t>（</w:t>
      </w:r>
      <w:r>
        <w:rPr>
          <w:rFonts w:ascii="Times New Roman" w:hAnsi="Times New Roman" w:cs="Times New Roman" w:eastAsia="Times New Roman" w:hint="default"/>
        </w:rPr>
        <w:t>1</w:t>
      </w:r>
      <w:r>
        <w:rPr/>
        <w:t>）成本法核算的长期股权投资 </w:t>
      </w:r>
      <w:r>
        <w:rPr>
          <w:spacing w:val="-2"/>
        </w:rPr>
        <w:t>公司对子公司的长期股权投资，采用成本法核算。除取得投资时实际支付的价款或对价中包含的已宣告但尚未发放的现</w:t>
      </w:r>
    </w:p>
    <w:p>
      <w:pPr>
        <w:pStyle w:val="BodyText"/>
        <w:spacing w:line="240" w:lineRule="auto" w:before="31"/>
        <w:ind w:right="1133"/>
        <w:jc w:val="left"/>
      </w:pPr>
      <w:r>
        <w:rPr/>
        <w:t>金股利或利润外，公司按照享有被投资单位宣告发放的现金股利或利润确认当期投资收益。</w:t>
      </w:r>
    </w:p>
    <w:p>
      <w:pPr>
        <w:pStyle w:val="BodyText"/>
        <w:spacing w:line="300" w:lineRule="auto" w:before="76"/>
        <w:ind w:left="513" w:right="1118"/>
        <w:jc w:val="left"/>
      </w:pPr>
      <w:r>
        <w:rPr/>
        <w:t>（</w:t>
      </w:r>
      <w:r>
        <w:rPr>
          <w:rFonts w:ascii="Times New Roman" w:hAnsi="Times New Roman" w:cs="Times New Roman" w:eastAsia="Times New Roman" w:hint="default"/>
        </w:rPr>
        <w:t>2</w:t>
      </w:r>
      <w:r>
        <w:rPr/>
        <w:t>）权益法核算的长期股权投资 </w:t>
      </w:r>
      <w:r>
        <w:rPr>
          <w:spacing w:val="-2"/>
        </w:rPr>
        <w:t>对联营企业和合营企业的长期股权投资，采用权益法核算。初始投资成本大于投资时应享有被投资单位可辨认净资产公</w:t>
      </w:r>
    </w:p>
    <w:p>
      <w:pPr>
        <w:pStyle w:val="BodyText"/>
        <w:spacing w:line="316" w:lineRule="auto" w:before="31"/>
        <w:ind w:right="1118"/>
        <w:jc w:val="left"/>
      </w:pPr>
      <w:r>
        <w:rPr>
          <w:spacing w:val="-2"/>
        </w:rPr>
        <w:t>允价值份额的差额，不调整长期股权投资的初始投资成本；初始投资成本小于投资时应享有被投资单位可辨认净资产公允价</w:t>
      </w:r>
      <w:r>
        <w:rPr>
          <w:spacing w:val="-64"/>
        </w:rPr>
        <w:t> </w:t>
      </w:r>
      <w:r>
        <w:rPr>
          <w:spacing w:val="-64"/>
        </w:rPr>
      </w:r>
      <w:r>
        <w:rPr/>
        <w:t>值份额的差额，计入当期损益。</w:t>
      </w:r>
    </w:p>
    <w:p>
      <w:pPr>
        <w:pStyle w:val="BodyText"/>
        <w:spacing w:line="319" w:lineRule="auto" w:before="19"/>
        <w:ind w:right="1130" w:firstLine="360"/>
        <w:jc w:val="both"/>
      </w:pPr>
      <w:r>
        <w:rPr>
          <w:spacing w:val="-2"/>
        </w:rPr>
        <w:t>公司按照应享有或应分担的被投资单位实现的净损益和其他综合收益的份额，分别确认投资收益和其他综合收益，同时</w:t>
      </w:r>
      <w:r>
        <w:rPr/>
        <w:t> </w:t>
      </w:r>
      <w:r>
        <w:rPr>
          <w:spacing w:val="-2"/>
        </w:rPr>
        <w:t>调整长期股权投资的账面价值；按照被投资单位宣告分派的利润或现金股利计算应享有的部分，相应减少长期股权投资的账</w:t>
      </w:r>
      <w:r>
        <w:rPr>
          <w:spacing w:val="-62"/>
        </w:rPr>
        <w:t> </w:t>
      </w:r>
      <w:r>
        <w:rPr>
          <w:spacing w:val="-62"/>
        </w:rPr>
      </w:r>
      <w:r>
        <w:rPr>
          <w:spacing w:val="-2"/>
        </w:rPr>
        <w:t>面价值；对于被投资单位除净损益、其他综合收益和利润分配以外所有者权益的其他变动，调整长期股权投资的账面价值并</w:t>
      </w:r>
      <w:r>
        <w:rPr>
          <w:spacing w:val="-63"/>
        </w:rPr>
        <w:t> </w:t>
      </w:r>
      <w:r>
        <w:rPr>
          <w:spacing w:val="-63"/>
        </w:rPr>
      </w:r>
      <w:r>
        <w:rPr/>
        <w:t>计入所有者权益。</w:t>
      </w:r>
    </w:p>
    <w:p>
      <w:pPr>
        <w:pStyle w:val="BodyText"/>
        <w:spacing w:line="316" w:lineRule="auto" w:before="17"/>
        <w:ind w:right="1131" w:firstLine="360"/>
        <w:jc w:val="both"/>
      </w:pPr>
      <w:r>
        <w:rPr>
          <w:spacing w:val="-2"/>
        </w:rPr>
        <w:t>在确认应享有被投资单位净损益的份额时，以取得投资时被投资单位可辨认净资产的公允价值为基础，并按照公司的会</w:t>
      </w:r>
      <w:r>
        <w:rPr/>
        <w:t> </w:t>
      </w:r>
      <w:r>
        <w:rPr>
          <w:spacing w:val="-2"/>
        </w:rPr>
        <w:t>计政策及会计期间，对被投资单位的净利润进行调整后确认。在持有投资期间，被投资单位编制合并财务报表的，以合并财</w:t>
      </w:r>
      <w:r>
        <w:rPr>
          <w:spacing w:val="-64"/>
        </w:rPr>
        <w:t> </w:t>
      </w:r>
      <w:r>
        <w:rPr>
          <w:spacing w:val="-64"/>
        </w:rPr>
      </w:r>
      <w:r>
        <w:rPr/>
        <w:t>务报表中的净利润、其他综合收益和其他所有者权益变动中归属于被投资单位的金额为基础进行核算。</w:t>
      </w:r>
    </w:p>
    <w:p>
      <w:pPr>
        <w:pStyle w:val="BodyText"/>
        <w:spacing w:line="312" w:lineRule="auto" w:before="19"/>
        <w:ind w:right="1129" w:firstLine="360"/>
        <w:jc w:val="both"/>
      </w:pPr>
      <w:r>
        <w:rPr>
          <w:spacing w:val="-2"/>
        </w:rPr>
        <w:t>公司与联营企业、合营企业之间发生的未实现内部交易损益按照应享有的比例计算归属于公司的部分，予以抵销，在此</w:t>
      </w:r>
      <w:r>
        <w:rPr/>
        <w:t> </w:t>
      </w:r>
      <w:r>
        <w:rPr>
          <w:spacing w:val="-2"/>
        </w:rPr>
        <w:t>基础上确认投资收益。与被投资单位发生的未实现内部交易损失，属于资产减值损失的，全额确认。公司与联营企业、合营</w:t>
      </w:r>
      <w:r>
        <w:rPr>
          <w:spacing w:val="-67"/>
        </w:rPr>
        <w:t> </w:t>
      </w:r>
      <w:r>
        <w:rPr>
          <w:spacing w:val="-67"/>
        </w:rPr>
      </w:r>
      <w:r>
        <w:rPr/>
        <w:t>企业之间发生投出或出售资产的交易，该资产构成业务的，按照</w:t>
      </w:r>
      <w:r>
        <w:rPr>
          <w:rFonts w:ascii="Times New Roman" w:hAnsi="Times New Roman" w:cs="Times New Roman" w:eastAsia="Times New Roman" w:hint="default"/>
        </w:rPr>
        <w:t>“5</w:t>
      </w:r>
      <w:r>
        <w:rPr/>
        <w:t>、同一控制下和非同一控制下企业合并的会计处理方法</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和</w:t>
      </w:r>
      <w:r>
        <w:rPr>
          <w:rFonts w:ascii="Times New Roman" w:hAnsi="Times New Roman" w:cs="Times New Roman" w:eastAsia="Times New Roman" w:hint="default"/>
        </w:rPr>
        <w:t>“6</w:t>
      </w:r>
      <w:r>
        <w:rPr/>
        <w:t>、合并财务报表的编制方法</w:t>
      </w:r>
      <w:r>
        <w:rPr>
          <w:rFonts w:ascii="Times New Roman" w:hAnsi="Times New Roman" w:cs="Times New Roman" w:eastAsia="Times New Roman" w:hint="default"/>
        </w:rPr>
        <w:t>”</w:t>
      </w:r>
      <w:r>
        <w:rPr/>
        <w:t>中披露的相关政策进行会计处理。</w:t>
      </w:r>
    </w:p>
    <w:p>
      <w:pPr>
        <w:pStyle w:val="BodyText"/>
        <w:spacing w:line="319" w:lineRule="auto" w:before="3"/>
        <w:ind w:right="1034" w:firstLine="360"/>
        <w:jc w:val="left"/>
      </w:pPr>
      <w:r>
        <w:rPr>
          <w:spacing w:val="-2"/>
        </w:rPr>
        <w:t>在公司确认应分担被投资单位发生的亏损时，按照以下顺序进行处理：首先，冲减长期股权投资的账面价值。其次，长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6"/>
        </w:rPr>
        <w:t> </w:t>
      </w:r>
      <w:r>
        <w:rPr>
          <w:spacing w:val="-66"/>
        </w:rPr>
      </w:r>
      <w:r>
        <w:rPr/>
        <w:t>务确认预计负债，计入当期投资损失。</w:t>
      </w:r>
    </w:p>
    <w:p>
      <w:pPr>
        <w:spacing w:after="0" w:line="319"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00" w:lineRule="auto" w:before="44"/>
        <w:ind w:left="513" w:right="4633"/>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316" w:lineRule="auto" w:before="31"/>
        <w:ind w:right="1130" w:firstLine="360"/>
        <w:jc w:val="both"/>
      </w:pPr>
      <w:r>
        <w:rPr>
          <w:spacing w:val="-2"/>
        </w:rPr>
        <w:t>采用权益法核算的长期股权投资，在处置该项投资时，采用与被投资单位直接处置相关资产或负债相同的基础，按相应</w:t>
      </w:r>
      <w:r>
        <w:rPr/>
        <w:t> 比例对原计入其他综合收益的部分进行会计处理。因被投资单位除净损益、其他综合收</w:t>
      </w:r>
      <w:r>
        <w:rPr>
          <w:spacing w:val="6"/>
        </w:rPr>
        <w:t> </w:t>
      </w:r>
      <w:r>
        <w:rPr/>
        <w:t>益和利润分配以外的其他所有者权</w:t>
      </w:r>
      <w:r>
        <w:rPr>
          <w:spacing w:val="-88"/>
        </w:rPr>
        <w:t> </w:t>
      </w:r>
      <w:r>
        <w:rPr>
          <w:spacing w:val="-88"/>
        </w:rPr>
      </w:r>
      <w:r>
        <w:rPr>
          <w:spacing w:val="-2"/>
        </w:rPr>
        <w:t>益变动而确认的所有者权益，按比例结转入当期损益，由于被投资方重新计量设定受益计划净负债或净资产变动而产生的其</w:t>
      </w:r>
      <w:r>
        <w:rPr>
          <w:spacing w:val="-63"/>
        </w:rPr>
        <w:t> </w:t>
      </w:r>
      <w:r>
        <w:rPr>
          <w:spacing w:val="-63"/>
        </w:rPr>
      </w:r>
      <w:r>
        <w:rPr/>
        <w:t>他综合收益除外。</w:t>
      </w:r>
    </w:p>
    <w:p>
      <w:pPr>
        <w:pStyle w:val="BodyText"/>
        <w:spacing w:line="316" w:lineRule="auto" w:before="19"/>
        <w:ind w:right="1034" w:firstLine="360"/>
        <w:jc w:val="left"/>
      </w:pPr>
      <w:r>
        <w:rPr>
          <w:spacing w:val="-2"/>
        </w:rPr>
        <w:t>因处置部分股权投资等原因丧失了对被投资单位的共同控制或重大影响的，处置后的剩余股权改按金融工具确认和计量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因被投资方除净损益、其他综合收益和利润分配以外的其他所有者权益变动而确认的所有者权益，在终止采用权益法核算时</w:t>
      </w:r>
      <w:r>
        <w:rPr>
          <w:spacing w:val="-62"/>
        </w:rPr>
        <w:t> </w:t>
      </w:r>
      <w:r>
        <w:rPr>
          <w:spacing w:val="-62"/>
        </w:rPr>
      </w:r>
      <w:r>
        <w:rPr/>
        <w:t>全部转入当期损益。</w:t>
      </w:r>
    </w:p>
    <w:p>
      <w:pPr>
        <w:pStyle w:val="BodyText"/>
        <w:spacing w:line="316" w:lineRule="auto" w:before="19"/>
        <w:ind w:right="1132" w:firstLine="360"/>
        <w:jc w:val="both"/>
      </w:pPr>
      <w:r>
        <w:rPr>
          <w:spacing w:val="-2"/>
        </w:rPr>
        <w:t>因处置部分股权投资等原因丧失了对被投资单位控制权的，在编制个别财务报表时，处置后的剩余股权能够对被投资单</w:t>
      </w:r>
      <w:r>
        <w:rPr/>
        <w:t> </w:t>
      </w:r>
      <w:r>
        <w:rPr>
          <w:spacing w:val="-2"/>
        </w:rPr>
        <w:t>位实施共同控制或重大影响的，改按权益法核算，并对该剩余股权视同自取得时即采用权益法核算进行调整；处置后的剩余</w:t>
      </w:r>
      <w:r>
        <w:rPr>
          <w:spacing w:val="-66"/>
        </w:rPr>
        <w:t> </w:t>
      </w:r>
      <w:r>
        <w:rPr>
          <w:spacing w:val="-66"/>
        </w:rPr>
      </w:r>
      <w:r>
        <w:rPr>
          <w:spacing w:val="-2"/>
        </w:rPr>
        <w:t>股权不能对被投资单位实施共同控制或施加重大影响的，改按金融工具确认和计量准则的有关规定进行会计处理，其在丧失</w:t>
      </w:r>
      <w:r>
        <w:rPr>
          <w:spacing w:val="-64"/>
        </w:rPr>
        <w:t> </w:t>
      </w:r>
      <w:r>
        <w:rPr>
          <w:spacing w:val="-64"/>
        </w:rPr>
      </w:r>
      <w:r>
        <w:rPr/>
        <w:t>控制之日的公允价值与账面价值间的差额计入当期损益。</w:t>
      </w:r>
    </w:p>
    <w:p>
      <w:pPr>
        <w:pStyle w:val="BodyText"/>
        <w:spacing w:line="316" w:lineRule="auto" w:before="19"/>
        <w:ind w:right="1132" w:firstLine="360"/>
        <w:jc w:val="both"/>
      </w:pPr>
      <w:r>
        <w:rPr>
          <w:spacing w:val="-2"/>
        </w:rPr>
        <w:t>处置的股权是因追加投资等原因通过企业合并取得的，在编制个别财务报表时，处置后的剩余股权采用成本法或权益法</w:t>
      </w:r>
      <w:r>
        <w:rPr/>
        <w:t> </w:t>
      </w:r>
      <w:r>
        <w:rPr>
          <w:spacing w:val="-2"/>
        </w:rPr>
        <w:t>核算的，购买日之前持有的股权投资因采用权益法核算而确认的其他综合收益和其他所有者权益按比例结转；处置后的剩余</w:t>
      </w:r>
      <w:r>
        <w:rPr>
          <w:spacing w:val="-64"/>
        </w:rPr>
        <w:t> </w:t>
      </w:r>
      <w:r>
        <w:rPr>
          <w:spacing w:val="-64"/>
        </w:rPr>
      </w:r>
      <w:r>
        <w:rPr/>
        <w:t>股权改按金融工具确认和计量准则进行会计处理的，其他综合收益和其他所有者权益全部结转。</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23</w:t>
      </w:r>
      <w:r>
        <w:rPr/>
        <w:t>、投资性房地产</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8954"/>
        <w:jc w:val="left"/>
      </w:pPr>
      <w:r>
        <w:rPr/>
        <w:t>投资性房地产计量模式 成本法计量 折旧或摊销方法</w:t>
      </w:r>
    </w:p>
    <w:p>
      <w:pPr>
        <w:pStyle w:val="BodyText"/>
        <w:spacing w:line="357" w:lineRule="auto" w:before="29"/>
        <w:ind w:right="2294"/>
        <w:jc w:val="left"/>
      </w:pPr>
      <w:r>
        <w:rPr/>
        <w:t>对已出租的建筑物，按其账面价值及房屋建筑物的估计使用年限，扣除残值后，采用直线法按月计提折旧。 对已出租的土地使用权，按其账面价值及土地使用权的尚可使用年限，采用直线法按月进行摊销。</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24</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34"/>
        <w:jc w:val="left"/>
      </w:pPr>
      <w:r>
        <w:rPr>
          <w:spacing w:val="-2"/>
        </w:rPr>
        <w:t>固定资产是指为生产商品、提供劳务、出租或经营管理而持有的，使用寿命超过一个会计年度的有形资产。固定资产同时满</w:t>
      </w:r>
      <w:r>
        <w:rPr>
          <w:spacing w:val="-64"/>
        </w:rPr>
        <w:t> </w:t>
      </w:r>
      <w:r>
        <w:rPr>
          <w:spacing w:val="-64"/>
        </w:rPr>
      </w:r>
      <w:r>
        <w:rPr/>
        <w:t>足下列条件的，本公司予以确认：①与该固定资产有关的经济利益很可能流入企业；②该固定资产的成本能够可靠地计量。</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2.11%</w:t>
            </w:r>
            <w:r>
              <w:rPr>
                <w:rFonts w:ascii="宋体" w:hAnsi="宋体" w:cs="宋体" w:eastAsia="宋体" w:hint="default"/>
                <w:sz w:val="18"/>
                <w:szCs w:val="18"/>
              </w:rPr>
              <w:t>～</w:t>
            </w:r>
            <w:r>
              <w:rPr>
                <w:rFonts w:ascii="Times New Roman" w:hAnsi="Times New Roman" w:cs="Times New Roman" w:eastAsia="Times New Roman" w:hint="default"/>
                <w:sz w:val="18"/>
                <w:szCs w:val="18"/>
              </w:rPr>
              <w:t>3.80%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8-12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7.92%</w:t>
            </w:r>
            <w:r>
              <w:rPr>
                <w:rFonts w:ascii="宋体" w:hAnsi="宋体" w:cs="宋体" w:eastAsia="宋体" w:hint="default"/>
                <w:sz w:val="18"/>
                <w:szCs w:val="18"/>
              </w:rPr>
              <w:t>～</w:t>
            </w:r>
            <w:r>
              <w:rPr>
                <w:rFonts w:ascii="Times New Roman" w:hAnsi="Times New Roman" w:cs="Times New Roman" w:eastAsia="Times New Roman" w:hint="default"/>
                <w:sz w:val="18"/>
                <w:szCs w:val="18"/>
              </w:rPr>
              <w:t>11.88%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9.50%</w:t>
            </w:r>
            <w:r>
              <w:rPr>
                <w:rFonts w:ascii="宋体" w:hAnsi="宋体" w:cs="宋体" w:eastAsia="宋体" w:hint="default"/>
                <w:sz w:val="18"/>
                <w:szCs w:val="18"/>
              </w:rPr>
              <w:t>～</w:t>
            </w:r>
            <w:r>
              <w:rPr>
                <w:rFonts w:ascii="Times New Roman" w:hAnsi="Times New Roman" w:cs="Times New Roman" w:eastAsia="Times New Roman" w:hint="default"/>
                <w:sz w:val="18"/>
                <w:szCs w:val="18"/>
              </w:rPr>
              <w:t>19.00%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b/>
          <w:bCs/>
          <w:sz w:val="20"/>
          <w:szCs w:val="20"/>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6"/>
          <w:szCs w:val="26"/>
        </w:rPr>
      </w:pPr>
    </w:p>
    <w:p>
      <w:pPr>
        <w:pStyle w:val="BodyText"/>
        <w:spacing w:line="304" w:lineRule="auto"/>
        <w:ind w:right="1130" w:firstLine="362"/>
        <w:jc w:val="both"/>
      </w:pPr>
      <w:r>
        <w:rPr>
          <w:spacing w:val="-4"/>
        </w:rPr>
        <w:t>公司与租赁方所签订的租赁协议条款中规定了下列条件之一的，确认为融资租入资产：（</w:t>
      </w:r>
      <w:r>
        <w:rPr>
          <w:rFonts w:ascii="Times New Roman" w:hAnsi="Times New Roman" w:cs="Times New Roman" w:eastAsia="Times New Roman" w:hint="default"/>
          <w:spacing w:val="-4"/>
        </w:rPr>
        <w:t>1</w:t>
      </w:r>
      <w:r>
        <w:rPr>
          <w:spacing w:val="-4"/>
        </w:rPr>
        <w:t>）租赁期满后租赁资产的所有</w:t>
      </w:r>
      <w:r>
        <w:rPr/>
        <w:t> </w:t>
      </w:r>
      <w:r>
        <w:rPr>
          <w:spacing w:val="-5"/>
        </w:rPr>
        <w:t>权归属于本公司；（</w:t>
      </w:r>
      <w:r>
        <w:rPr>
          <w:rFonts w:ascii="Times New Roman" w:hAnsi="Times New Roman" w:cs="Times New Roman" w:eastAsia="Times New Roman" w:hint="default"/>
          <w:spacing w:val="-5"/>
        </w:rPr>
        <w:t>2</w:t>
      </w:r>
      <w:r>
        <w:rPr>
          <w:spacing w:val="-5"/>
        </w:rPr>
        <w:t>）公司具有购买资产的选择权，购买价款远低于行使选择权时该资产的公允价值；（</w:t>
      </w:r>
      <w:r>
        <w:rPr>
          <w:rFonts w:ascii="Times New Roman" w:hAnsi="Times New Roman" w:cs="Times New Roman" w:eastAsia="Times New Roman" w:hint="default"/>
          <w:spacing w:val="-5"/>
        </w:rPr>
        <w:t>3</w:t>
      </w:r>
      <w:r>
        <w:rPr>
          <w:spacing w:val="-5"/>
        </w:rPr>
        <w:t>）租赁期占所租赁</w:t>
      </w:r>
      <w:r>
        <w:rPr>
          <w:spacing w:val="-74"/>
        </w:rPr>
        <w:t> </w:t>
      </w:r>
      <w:r>
        <w:rPr>
          <w:spacing w:val="-74"/>
        </w:rPr>
      </w:r>
      <w:r>
        <w:rPr>
          <w:spacing w:val="-4"/>
        </w:rPr>
        <w:t>资产使用寿命的大部分；（</w:t>
      </w:r>
      <w:r>
        <w:rPr>
          <w:rFonts w:ascii="Times New Roman" w:hAnsi="Times New Roman" w:cs="Times New Roman" w:eastAsia="Times New Roman" w:hint="default"/>
          <w:spacing w:val="-4"/>
        </w:rPr>
        <w:t>4</w:t>
      </w:r>
      <w:r>
        <w:rPr>
          <w:spacing w:val="-4"/>
        </w:rPr>
        <w:t>）租赁开始日的最低租赁付款额现值，与该资产的公允价值不存在较大的差异。公司在租赁开始</w:t>
      </w:r>
      <w:r>
        <w:rPr>
          <w:spacing w:val="-42"/>
        </w:rPr>
        <w:t> </w:t>
      </w:r>
      <w:r>
        <w:rPr>
          <w:spacing w:val="-42"/>
        </w:rPr>
      </w:r>
      <w:r>
        <w:rPr>
          <w:spacing w:val="-2"/>
        </w:rPr>
        <w:t>日，将租赁资产公允价值与最低租赁付款额现值两者中较低者作为融资租入固定资产的入账价值，将最低租赁付款额作为长</w:t>
      </w:r>
      <w:r>
        <w:rPr>
          <w:spacing w:val="-62"/>
        </w:rPr>
        <w:t> </w:t>
      </w:r>
      <w:r>
        <w:rPr>
          <w:spacing w:val="-62"/>
        </w:rPr>
      </w:r>
      <w:r>
        <w:rPr/>
        <w:t>期应付款的入账价值，其差额作为未确认的融资费用。</w:t>
      </w:r>
    </w:p>
    <w:p>
      <w:pPr>
        <w:spacing w:line="240" w:lineRule="auto" w:before="4"/>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25</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33" w:firstLine="360"/>
        <w:jc w:val="both"/>
      </w:pPr>
      <w:r>
        <w:rPr>
          <w:rFonts w:ascii="Times New Roman" w:hAnsi="Times New Roman" w:cs="Times New Roman" w:eastAsia="Times New Roman" w:hint="default"/>
        </w:rPr>
        <w:t>1</w:t>
      </w:r>
      <w:r>
        <w:rPr/>
        <w:t>、在建工程的类别：本公司在建工程指为建造或更新改造固定资产而进行的各项建筑和安装工程，包括自营的在建工 程和发包的在建工程；</w:t>
      </w:r>
    </w:p>
    <w:p>
      <w:pPr>
        <w:pStyle w:val="BodyText"/>
        <w:spacing w:line="300" w:lineRule="auto" w:before="72"/>
        <w:ind w:right="1133" w:firstLine="360"/>
        <w:jc w:val="both"/>
      </w:pPr>
      <w:r>
        <w:rPr>
          <w:rFonts w:ascii="Times New Roman" w:hAnsi="Times New Roman" w:cs="Times New Roman" w:eastAsia="Times New Roman" w:hint="default"/>
        </w:rPr>
        <w:t>2</w:t>
      </w:r>
      <w:r>
        <w:rPr/>
        <w:t>、在建工程的计价：在建工程按成本进行初始计量，工程成本包括在建期间发生的各项工程支出以及符合资本化条件 的借款费用等；</w:t>
      </w:r>
    </w:p>
    <w:p>
      <w:pPr>
        <w:pStyle w:val="BodyText"/>
        <w:spacing w:line="309" w:lineRule="auto" w:before="70"/>
        <w:ind w:right="1129" w:firstLine="360"/>
        <w:jc w:val="both"/>
      </w:pPr>
      <w:r>
        <w:rPr>
          <w:rFonts w:ascii="Times New Roman" w:hAnsi="Times New Roman" w:cs="Times New Roman" w:eastAsia="Times New Roman" w:hint="default"/>
        </w:rPr>
        <w:t>3</w:t>
      </w:r>
      <w:r>
        <w:rPr/>
        <w:t>、在建工程结转固定资产的时点：本公司在工程完工、验收合格交付使用的当月结转固定资产。对已达到预定可使用 </w:t>
      </w:r>
      <w:r>
        <w:rPr>
          <w:spacing w:val="-2"/>
        </w:rPr>
        <w:t>状态但尚未办理竣工决算的固定资产，按照估计价值确定其成本，并计提折旧；待办理竣工结算后，按实际成本调整原来的</w:t>
      </w:r>
      <w:r>
        <w:rPr>
          <w:spacing w:val="-63"/>
        </w:rPr>
        <w:t> </w:t>
      </w:r>
      <w:r>
        <w:rPr>
          <w:spacing w:val="-63"/>
        </w:rPr>
      </w:r>
      <w:r>
        <w:rPr/>
        <w:t>暂估价值，但不调整原已计提的折旧额。</w:t>
      </w:r>
    </w:p>
    <w:p>
      <w:pPr>
        <w:spacing w:line="240" w:lineRule="auto" w:before="3"/>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26</w:t>
      </w:r>
      <w:r>
        <w:rPr/>
        <w:t>、借款费用</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131" w:firstLine="360"/>
        <w:jc w:val="both"/>
      </w:pPr>
      <w:r>
        <w:rPr>
          <w:rFonts w:ascii="Times New Roman" w:hAnsi="Times New Roman" w:cs="Times New Roman" w:eastAsia="Times New Roman" w:hint="default"/>
        </w:rPr>
        <w:t>1</w:t>
      </w:r>
      <w:r>
        <w:rPr/>
        <w:t>、借款费用资本化的确认原则：借款费用包括因借款而发生的利息、折价或溢价的摊销和辅助费用，以及因外币借款 </w:t>
      </w:r>
      <w:r>
        <w:rPr>
          <w:spacing w:val="-2"/>
        </w:rPr>
        <w:t>而发生的汇兑差额等。本公司发生的借款费用，可直接归属于符合资本化条件的资产的购建或者生产的，予以资本化，计入</w:t>
      </w:r>
      <w:r>
        <w:rPr>
          <w:spacing w:val="-64"/>
        </w:rPr>
        <w:t> </w:t>
      </w:r>
      <w:r>
        <w:rPr>
          <w:spacing w:val="-64"/>
        </w:rPr>
      </w:r>
      <w:r>
        <w:rPr/>
        <w:t>相关资产的成本；其他借款费用，在发生时根据其发生额确认为费用，计入当期损益。</w:t>
      </w:r>
    </w:p>
    <w:p>
      <w:pPr>
        <w:pStyle w:val="BodyText"/>
        <w:spacing w:line="240" w:lineRule="auto" w:before="65"/>
        <w:ind w:left="513" w:right="1133"/>
        <w:jc w:val="left"/>
      </w:pPr>
      <w:r>
        <w:rPr>
          <w:rFonts w:ascii="Times New Roman" w:hAnsi="Times New Roman" w:cs="Times New Roman" w:eastAsia="Times New Roman" w:hint="default"/>
        </w:rPr>
        <w:t>2</w:t>
      </w:r>
      <w:r>
        <w:rPr/>
        <w:t>、借款费用资本化的开始：本公司对同时满足以下三个条件的借款费用，开始资本化：</w:t>
      </w:r>
    </w:p>
    <w:p>
      <w:pPr>
        <w:pStyle w:val="BodyText"/>
        <w:spacing w:line="300" w:lineRule="auto" w:before="101"/>
        <w:ind w:right="1132" w:firstLine="360"/>
        <w:jc w:val="both"/>
      </w:pPr>
      <w:r>
        <w:rPr/>
        <w:t>（</w:t>
      </w:r>
      <w:r>
        <w:rPr>
          <w:rFonts w:ascii="Times New Roman" w:hAnsi="Times New Roman" w:cs="Times New Roman" w:eastAsia="Times New Roman" w:hint="default"/>
        </w:rPr>
        <w:t>1</w:t>
      </w:r>
      <w:r>
        <w:rPr/>
        <w:t>）资产支出（资产支出包括为购建固定资产或者生产符合资本化条件的资产而以支付现金、转移非现金资产或者承 担带息债务形式发生的支出）已经发生；</w:t>
      </w:r>
    </w:p>
    <w:p>
      <w:pPr>
        <w:pStyle w:val="BodyText"/>
        <w:spacing w:line="240" w:lineRule="auto" w:before="72"/>
        <w:ind w:left="513" w:right="1133"/>
        <w:jc w:val="left"/>
      </w:pPr>
      <w:r>
        <w:rPr/>
        <w:t>（</w:t>
      </w:r>
      <w:r>
        <w:rPr>
          <w:rFonts w:ascii="Times New Roman" w:hAnsi="Times New Roman" w:cs="Times New Roman" w:eastAsia="Times New Roman" w:hint="default"/>
        </w:rPr>
        <w:t>2</w:t>
      </w:r>
      <w:r>
        <w:rPr/>
        <w:t>）借款费用已经发生；</w:t>
      </w:r>
    </w:p>
    <w:p>
      <w:pPr>
        <w:pStyle w:val="BodyText"/>
        <w:spacing w:line="240" w:lineRule="auto" w:before="103"/>
        <w:ind w:left="513" w:right="1133"/>
        <w:jc w:val="left"/>
      </w:pPr>
      <w:r>
        <w:rPr/>
        <w:t>（</w:t>
      </w:r>
      <w:r>
        <w:rPr>
          <w:rFonts w:ascii="Times New Roman" w:hAnsi="Times New Roman" w:cs="Times New Roman" w:eastAsia="Times New Roman" w:hint="default"/>
        </w:rPr>
        <w:t>3</w:t>
      </w:r>
      <w:r>
        <w:rPr/>
        <w:t>）为使资产达到预定可使用状态或者可销售状态所必要的购建活动或者生产活动已经开始。</w:t>
      </w:r>
    </w:p>
    <w:p>
      <w:pPr>
        <w:pStyle w:val="BodyText"/>
        <w:spacing w:line="240" w:lineRule="auto" w:before="101"/>
        <w:ind w:left="513" w:right="986"/>
        <w:jc w:val="left"/>
      </w:pPr>
      <w:r>
        <w:rPr>
          <w:rFonts w:ascii="Times New Roman" w:hAnsi="Times New Roman" w:cs="Times New Roman" w:eastAsia="Times New Roman" w:hint="default"/>
        </w:rPr>
        <w:t>3</w:t>
      </w:r>
      <w:r>
        <w:rPr/>
        <w:t>、资本化期间：是指从借款费用开始资本化时点到停止资本化时点的期间，借款费用暂停资本化的期间不包括在内。</w:t>
      </w:r>
    </w:p>
    <w:p>
      <w:pPr>
        <w:pStyle w:val="BodyText"/>
        <w:spacing w:line="312" w:lineRule="auto" w:before="103"/>
        <w:ind w:right="1131" w:firstLine="360"/>
        <w:jc w:val="both"/>
      </w:pPr>
      <w:r>
        <w:rPr>
          <w:rFonts w:ascii="Times New Roman" w:hAnsi="Times New Roman" w:cs="Times New Roman" w:eastAsia="Times New Roman" w:hint="default"/>
        </w:rPr>
        <w:t>4</w:t>
      </w:r>
      <w:r>
        <w:rPr/>
        <w:t>、借款费用资本化的暂停和停止：本公司对符合资本化条件的资产在购建或者生产过程中发生非正常中断，并且中断 </w:t>
      </w:r>
      <w:r>
        <w:rPr>
          <w:spacing w:val="-2"/>
        </w:rPr>
        <w:t>时间连续超过三个月，暂停借款费用的资本化。在中断期间发生的借款费用确认为费用，计入当期损益，直至资产的购建或</w:t>
      </w:r>
      <w:r>
        <w:rPr>
          <w:spacing w:val="-66"/>
        </w:rPr>
        <w:t> </w:t>
      </w:r>
      <w:r>
        <w:rPr>
          <w:spacing w:val="-66"/>
        </w:rPr>
      </w:r>
      <w:r>
        <w:rPr/>
        <w:t>者生产活动重新开始。如果中断是使所购建或者生产的符合资本化条件的资产达到预定可使用或者可销售状态所必要的程</w:t>
      </w:r>
      <w:r>
        <w:rPr>
          <w:spacing w:val="-11"/>
        </w:rPr>
        <w:t> </w:t>
      </w:r>
      <w:r>
        <w:rPr>
          <w:spacing w:val="-11"/>
        </w:rPr>
      </w:r>
      <w:r>
        <w:rPr/>
        <w:t>序，则借款费用的资本化继续进行。</w:t>
      </w:r>
    </w:p>
    <w:p>
      <w:pPr>
        <w:pStyle w:val="BodyText"/>
        <w:spacing w:line="316" w:lineRule="auto" w:before="63"/>
        <w:ind w:right="1132" w:firstLine="360"/>
        <w:jc w:val="both"/>
      </w:pPr>
      <w:r>
        <w:rPr>
          <w:spacing w:val="-2"/>
        </w:rPr>
        <w:t>当购建或者生产符合资本化条件的资产达到预定可使用或者可销售状态时，停止借款费用的资本化，以后发生的费用于</w:t>
      </w:r>
      <w:r>
        <w:rPr/>
        <w:t> 发生当期确认为费用。</w:t>
      </w:r>
    </w:p>
    <w:p>
      <w:pPr>
        <w:pStyle w:val="BodyText"/>
        <w:spacing w:line="340" w:lineRule="auto" w:before="57"/>
        <w:ind w:left="513" w:right="3913"/>
        <w:jc w:val="left"/>
      </w:pPr>
      <w:r>
        <w:rPr>
          <w:rFonts w:ascii="Times New Roman" w:hAnsi="Times New Roman" w:cs="Times New Roman" w:eastAsia="Times New Roman" w:hint="default"/>
        </w:rPr>
        <w:t>5</w:t>
      </w:r>
      <w:r>
        <w:rPr/>
        <w:t>、借款费用资本化金额的计算方法 在资本化期间内，本公司对每一会计期间的利息资本化金额，按照下列方法确定：</w:t>
      </w:r>
    </w:p>
    <w:p>
      <w:pPr>
        <w:pStyle w:val="BodyText"/>
        <w:spacing w:line="300" w:lineRule="auto" w:before="41"/>
        <w:ind w:right="1133" w:firstLine="360"/>
        <w:jc w:val="both"/>
      </w:pPr>
      <w:r>
        <w:rPr/>
        <w:t>（</w:t>
      </w:r>
      <w:r>
        <w:rPr>
          <w:rFonts w:ascii="Times New Roman" w:hAnsi="Times New Roman" w:cs="Times New Roman" w:eastAsia="Times New Roman" w:hint="default"/>
        </w:rPr>
        <w:t>1</w:t>
      </w:r>
      <w:r>
        <w:rPr/>
        <w:t>）为购建或者生产符合资本化条件的资产而借入专门借款的，以专门借款当期实际发生的利息费用，减去将尚未动 用的借款资金存入银行取得的利息收入或进行暂时性投资取得的投资收益后的金额确定；</w:t>
      </w:r>
    </w:p>
    <w:p>
      <w:pPr>
        <w:pStyle w:val="BodyText"/>
        <w:spacing w:line="309" w:lineRule="auto" w:before="70"/>
        <w:ind w:right="1133" w:firstLine="360"/>
        <w:jc w:val="both"/>
      </w:pPr>
      <w:r>
        <w:rPr/>
        <w:t>（</w:t>
      </w:r>
      <w:r>
        <w:rPr>
          <w:rFonts w:ascii="Times New Roman" w:hAnsi="Times New Roman" w:cs="Times New Roman" w:eastAsia="Times New Roman" w:hint="default"/>
        </w:rPr>
        <w:t>2</w:t>
      </w:r>
      <w:r>
        <w:rPr/>
        <w:t>）为购建或者生产符合资本化条件的资产而占用了一般借款的，根据累计资产支出超过专门借款部分的资产支出加 </w:t>
      </w:r>
      <w:r>
        <w:rPr>
          <w:spacing w:val="-2"/>
        </w:rPr>
        <w:t>权平均数乘以所占用一般借款的资本化率，计算确定一般借款应予资本化的利息金额。资本化率根据一般借款加权平均利率</w:t>
      </w:r>
      <w:r>
        <w:rPr>
          <w:spacing w:val="-64"/>
        </w:rPr>
        <w:t> </w:t>
      </w:r>
      <w:r>
        <w:rPr>
          <w:spacing w:val="-64"/>
        </w:rPr>
      </w:r>
      <w:r>
        <w:rPr/>
        <w:t>计算确定。</w:t>
      </w:r>
    </w:p>
    <w:p>
      <w:pPr>
        <w:spacing w:after="0" w:line="309" w:lineRule="auto"/>
        <w:jc w:val="both"/>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rFonts w:ascii="Times New Roman" w:hAnsi="Times New Roman" w:cs="Times New Roman" w:eastAsia="Times New Roman" w:hint="default"/>
        </w:rPr>
        <w:t>27</w:t>
      </w:r>
      <w:r>
        <w:rPr/>
        <w:t>、生物资产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28</w:t>
      </w:r>
      <w:r>
        <w:rPr/>
        <w:t>、油气资产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29</w:t>
      </w:r>
      <w:r>
        <w:rPr/>
        <w:t>、使用权资产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30</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rFonts w:ascii="Times New Roman" w:hAnsi="Times New Roman" w:cs="Times New Roman" w:eastAsia="Times New Roman" w:hint="default"/>
        </w:rPr>
        <w:t>1</w:t>
      </w:r>
      <w:r>
        <w:rPr/>
        <w:t>、本公司对无形资产按照成本进行初始计量，具体方法如下：</w:t>
      </w:r>
    </w:p>
    <w:p>
      <w:pPr>
        <w:pStyle w:val="BodyText"/>
        <w:spacing w:line="300" w:lineRule="auto" w:before="102"/>
        <w:ind w:right="1034" w:firstLine="360"/>
        <w:jc w:val="left"/>
      </w:pPr>
      <w:r>
        <w:rPr/>
        <w:t>（</w:t>
      </w:r>
      <w:r>
        <w:rPr>
          <w:rFonts w:ascii="Times New Roman" w:hAnsi="Times New Roman" w:cs="Times New Roman" w:eastAsia="Times New Roman" w:hint="default"/>
        </w:rPr>
        <w:t>1</w:t>
      </w:r>
      <w:r>
        <w:rPr/>
        <w:t>）购入的无形资产的成本，包括购买价款、相关税费及直接归属于使该项资产达到预定用途所发生的其他支出；购 买无形资产的价款超过正常信用条件延期支付，且实质上具有融资性质的，无形资产的成本以购买价款的现值为基础确定；</w:t>
      </w:r>
    </w:p>
    <w:p>
      <w:pPr>
        <w:pStyle w:val="BodyText"/>
        <w:spacing w:line="300" w:lineRule="auto" w:before="72"/>
        <w:ind w:right="1124" w:firstLine="360"/>
        <w:jc w:val="left"/>
      </w:pPr>
      <w:r>
        <w:rPr/>
        <w:t>（</w:t>
      </w:r>
      <w:r>
        <w:rPr>
          <w:rFonts w:ascii="Times New Roman" w:hAnsi="Times New Roman" w:cs="Times New Roman" w:eastAsia="Times New Roman" w:hint="default"/>
        </w:rPr>
        <w:t>2</w:t>
      </w:r>
      <w:r>
        <w:rPr/>
        <w:t>）自行开发的无形资产的成本，按满足资本化条件的时点至达到预定用途前发生的支出总额确定，但对于以前期间 已经费用化的支出不再调整；</w:t>
      </w:r>
    </w:p>
    <w:p>
      <w:pPr>
        <w:pStyle w:val="BodyText"/>
        <w:spacing w:line="240" w:lineRule="auto" w:before="72"/>
        <w:ind w:left="513" w:right="1133"/>
        <w:jc w:val="left"/>
      </w:pPr>
      <w:r>
        <w:rPr/>
        <w:t>（</w:t>
      </w:r>
      <w:r>
        <w:rPr>
          <w:rFonts w:ascii="Times New Roman" w:hAnsi="Times New Roman" w:cs="Times New Roman" w:eastAsia="Times New Roman" w:hint="default"/>
        </w:rPr>
        <w:t>3</w:t>
      </w:r>
      <w:r>
        <w:rPr/>
        <w:t>）投资者投入的无形资产的成本，按投资合同或协议约定的价值确定，但合同或协议约定价值不公允的除外；</w:t>
      </w:r>
    </w:p>
    <w:p>
      <w:pPr>
        <w:pStyle w:val="BodyText"/>
        <w:spacing w:line="300" w:lineRule="auto" w:before="101"/>
        <w:ind w:right="1131" w:firstLine="360"/>
        <w:jc w:val="both"/>
      </w:pPr>
      <w:r>
        <w:rPr>
          <w:spacing w:val="-2"/>
        </w:rPr>
        <w:t>（</w:t>
      </w:r>
      <w:r>
        <w:rPr>
          <w:rFonts w:ascii="Times New Roman" w:hAnsi="Times New Roman" w:cs="Times New Roman" w:eastAsia="Times New Roman" w:hint="default"/>
          <w:spacing w:val="-2"/>
        </w:rPr>
        <w:t>4</w:t>
      </w:r>
      <w:r>
        <w:rPr>
          <w:spacing w:val="-2"/>
        </w:rPr>
        <w:t>）非货币性资产交换、债务重组、政府补助和企业合并取得的无形资产的成本，分别按《企业会计准则第</w:t>
      </w:r>
      <w:r>
        <w:rPr>
          <w:rFonts w:ascii="Times New Roman" w:hAnsi="Times New Roman" w:cs="Times New Roman" w:eastAsia="Times New Roman" w:hint="default"/>
          <w:spacing w:val="-2"/>
        </w:rPr>
        <w:t>7</w:t>
      </w:r>
      <w:r>
        <w:rPr>
          <w:spacing w:val="-2"/>
        </w:rPr>
        <w:t>号</w:t>
      </w:r>
      <w:r>
        <w:rPr>
          <w:rFonts w:ascii="Times New Roman" w:hAnsi="Times New Roman" w:cs="Times New Roman" w:eastAsia="Times New Roman" w:hint="default"/>
          <w:spacing w:val="-2"/>
        </w:rPr>
        <w:t>—</w:t>
      </w:r>
      <w:r>
        <w:rPr>
          <w:spacing w:val="-2"/>
        </w:rPr>
        <w:t>非货</w:t>
      </w:r>
      <w:r>
        <w:rPr/>
        <w:t> </w:t>
      </w:r>
      <w:r>
        <w:rPr>
          <w:spacing w:val="-2"/>
        </w:rPr>
        <w:t>币性资产交换》、《企业会计准则第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债务重组》、《企业会计准则第</w:t>
      </w:r>
      <w:r>
        <w:rPr>
          <w:rFonts w:ascii="Times New Roman" w:hAnsi="Times New Roman" w:cs="Times New Roman" w:eastAsia="Times New Roman" w:hint="default"/>
          <w:spacing w:val="-2"/>
        </w:rPr>
        <w:t>16</w:t>
      </w:r>
      <w:r>
        <w:rPr>
          <w:spacing w:val="-2"/>
        </w:rPr>
        <w:t>号</w:t>
      </w:r>
      <w:r>
        <w:rPr>
          <w:rFonts w:ascii="Times New Roman" w:hAnsi="Times New Roman" w:cs="Times New Roman" w:eastAsia="Times New Roman" w:hint="default"/>
          <w:spacing w:val="-2"/>
        </w:rPr>
        <w:t>—</w:t>
      </w:r>
      <w:r>
        <w:rPr>
          <w:spacing w:val="-2"/>
        </w:rPr>
        <w:t>政府补助》和《企业会计准则第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w:t>
      </w:r>
      <w:r>
        <w:rPr>
          <w:spacing w:val="-64"/>
        </w:rPr>
        <w:t> </w:t>
      </w:r>
      <w:r>
        <w:rPr/>
        <w:t>业合并》的相关规定确定。</w:t>
      </w:r>
    </w:p>
    <w:p>
      <w:pPr>
        <w:pStyle w:val="BodyText"/>
        <w:spacing w:line="340" w:lineRule="auto" w:before="72"/>
        <w:ind w:left="513" w:right="1118"/>
        <w:jc w:val="left"/>
      </w:pPr>
      <w:r>
        <w:rPr>
          <w:rFonts w:ascii="Times New Roman" w:hAnsi="Times New Roman" w:cs="Times New Roman" w:eastAsia="Times New Roman" w:hint="default"/>
        </w:rPr>
        <w:t>2</w:t>
      </w:r>
      <w:r>
        <w:rPr/>
        <w:t>、本公司对无形资产使用寿命的估计情况如下： </w:t>
      </w:r>
      <w:r>
        <w:rPr>
          <w:spacing w:val="-2"/>
        </w:rPr>
        <w:t>本公司对来源于合同性权利或其他法定权利的无形资产，认定其使用寿命不超过合同性权利或其他法定权利的期限；对</w:t>
      </w:r>
    </w:p>
    <w:p>
      <w:pPr>
        <w:pStyle w:val="BodyText"/>
        <w:spacing w:line="316" w:lineRule="auto" w:before="1"/>
        <w:ind w:right="1118"/>
        <w:jc w:val="left"/>
      </w:pPr>
      <w:r>
        <w:rPr>
          <w:spacing w:val="-2"/>
        </w:rPr>
        <w:t>合同或法律没有规定使用寿命的无形资产，通常综合各方面因素判断（如与同行业比较、参考历史经验，或聘用相关专家进</w:t>
      </w:r>
      <w:r>
        <w:rPr>
          <w:spacing w:val="-64"/>
        </w:rPr>
        <w:t> </w:t>
      </w:r>
      <w:r>
        <w:rPr>
          <w:spacing w:val="-64"/>
        </w:rPr>
      </w:r>
      <w:r>
        <w:rPr/>
        <w:t>行论证等），确定无形资产为公司带来经济利益的期限。本公司确定无形资产使用寿命通常考虑如下因素：</w:t>
      </w:r>
    </w:p>
    <w:p>
      <w:pPr>
        <w:pStyle w:val="BodyText"/>
        <w:spacing w:line="240" w:lineRule="auto" w:before="57"/>
        <w:ind w:left="513" w:right="1133"/>
        <w:jc w:val="left"/>
      </w:pPr>
      <w:r>
        <w:rPr/>
        <w:t>（</w:t>
      </w:r>
      <w:r>
        <w:rPr>
          <w:rFonts w:ascii="Times New Roman" w:hAnsi="Times New Roman" w:cs="Times New Roman" w:eastAsia="Times New Roman" w:hint="default"/>
        </w:rPr>
        <w:t>1</w:t>
      </w:r>
      <w:r>
        <w:rPr/>
        <w:t>）运用该资产生产的产品通常的寿命周期、可获得的类似资产使用寿命的信息；</w:t>
      </w:r>
    </w:p>
    <w:p>
      <w:pPr>
        <w:pStyle w:val="BodyText"/>
        <w:spacing w:line="240" w:lineRule="auto" w:before="103"/>
        <w:ind w:left="513" w:right="1133"/>
        <w:jc w:val="left"/>
      </w:pPr>
      <w:r>
        <w:rPr/>
        <w:t>（</w:t>
      </w:r>
      <w:r>
        <w:rPr>
          <w:rFonts w:ascii="Times New Roman" w:hAnsi="Times New Roman" w:cs="Times New Roman" w:eastAsia="Times New Roman" w:hint="default"/>
        </w:rPr>
        <w:t>2</w:t>
      </w:r>
      <w:r>
        <w:rPr/>
        <w:t>）技术、工艺等方面的现阶段情况及对未来发展趋势的估计；</w:t>
      </w:r>
    </w:p>
    <w:p>
      <w:pPr>
        <w:pStyle w:val="BodyText"/>
        <w:spacing w:line="240" w:lineRule="auto" w:before="103"/>
        <w:ind w:left="513" w:right="1133"/>
        <w:jc w:val="left"/>
      </w:pPr>
      <w:r>
        <w:rPr/>
        <w:t>（</w:t>
      </w:r>
      <w:r>
        <w:rPr>
          <w:rFonts w:ascii="Times New Roman" w:hAnsi="Times New Roman" w:cs="Times New Roman" w:eastAsia="Times New Roman" w:hint="default"/>
        </w:rPr>
        <w:t>3</w:t>
      </w:r>
      <w:r>
        <w:rPr/>
        <w:t>）以该资产生产的产品或提供的服务的市场需求情况；</w:t>
      </w:r>
    </w:p>
    <w:p>
      <w:pPr>
        <w:pStyle w:val="BodyText"/>
        <w:spacing w:line="240" w:lineRule="auto" w:before="101"/>
        <w:ind w:left="513" w:right="1133"/>
        <w:jc w:val="left"/>
      </w:pPr>
      <w:r>
        <w:rPr/>
        <w:t>（</w:t>
      </w:r>
      <w:r>
        <w:rPr>
          <w:rFonts w:ascii="Times New Roman" w:hAnsi="Times New Roman" w:cs="Times New Roman" w:eastAsia="Times New Roman" w:hint="default"/>
        </w:rPr>
        <w:t>4</w:t>
      </w:r>
      <w:r>
        <w:rPr/>
        <w:t>）现在或潜在的竞争者预期采取的行动；</w:t>
      </w:r>
    </w:p>
    <w:p>
      <w:pPr>
        <w:pStyle w:val="BodyText"/>
        <w:spacing w:line="240" w:lineRule="auto" w:before="103"/>
        <w:ind w:left="513" w:right="1133"/>
        <w:jc w:val="left"/>
      </w:pPr>
      <w:r>
        <w:rPr/>
        <w:t>（</w:t>
      </w:r>
      <w:r>
        <w:rPr>
          <w:rFonts w:ascii="Times New Roman" w:hAnsi="Times New Roman" w:cs="Times New Roman" w:eastAsia="Times New Roman" w:hint="default"/>
        </w:rPr>
        <w:t>5</w:t>
      </w:r>
      <w:r>
        <w:rPr/>
        <w:t>）为维护该资产带来经济利益能力的预期维护支出、以及公司预计支付有关支出的能力；</w:t>
      </w:r>
    </w:p>
    <w:p>
      <w:pPr>
        <w:pStyle w:val="BodyText"/>
        <w:spacing w:line="240" w:lineRule="auto" w:before="103"/>
        <w:ind w:left="513" w:right="1133"/>
        <w:jc w:val="left"/>
      </w:pPr>
      <w:r>
        <w:rPr/>
        <w:t>（</w:t>
      </w:r>
      <w:r>
        <w:rPr>
          <w:rFonts w:ascii="Times New Roman" w:hAnsi="Times New Roman" w:cs="Times New Roman" w:eastAsia="Times New Roman" w:hint="default"/>
        </w:rPr>
        <w:t>6</w:t>
      </w:r>
      <w:r>
        <w:rPr/>
        <w:t>）对该资产控制期限的相关法律规定或类似限制；</w:t>
      </w:r>
    </w:p>
    <w:p>
      <w:pPr>
        <w:pStyle w:val="BodyText"/>
        <w:spacing w:line="350" w:lineRule="auto" w:before="101"/>
        <w:ind w:left="513" w:right="1123"/>
        <w:jc w:val="left"/>
      </w:pPr>
      <w:r>
        <w:rPr/>
        <w:t>（</w:t>
      </w:r>
      <w:r>
        <w:rPr>
          <w:rFonts w:ascii="Times New Roman" w:hAnsi="Times New Roman" w:cs="Times New Roman" w:eastAsia="Times New Roman" w:hint="default"/>
        </w:rPr>
        <w:t>7</w:t>
      </w:r>
      <w:r>
        <w:rPr/>
        <w:t>）与公司持有的其他资产使用寿命的关联性等。 按照上述方法仍无法合理确定无形资产为公司带来经济利益期限的，本公司将其视为使用寿命不确定的无形资产。 </w:t>
      </w:r>
      <w:r>
        <w:rPr>
          <w:rFonts w:ascii="Times New Roman" w:hAnsi="Times New Roman" w:cs="Times New Roman" w:eastAsia="Times New Roman" w:hint="default"/>
        </w:rPr>
        <w:t>3</w:t>
      </w:r>
      <w:r>
        <w:rPr/>
        <w:t>、本公司对使用寿命有限的无形资产自其可供使用时起至不再作为无形资产确认时止在无形资产使用寿命内采用直线</w:t>
      </w:r>
    </w:p>
    <w:p>
      <w:pPr>
        <w:pStyle w:val="BodyText"/>
        <w:spacing w:line="207" w:lineRule="exact"/>
        <w:ind w:right="986"/>
        <w:jc w:val="left"/>
      </w:pPr>
      <w:r>
        <w:rPr/>
        <w:t>法摊销。即按预计使用年限、合同规定的受益年限和法律规定的有效年限三者中最短者分期平均摊销。摊销金额按其受益对</w:t>
      </w:r>
    </w:p>
    <w:p>
      <w:pPr>
        <w:pStyle w:val="BodyText"/>
        <w:spacing w:line="316" w:lineRule="auto" w:before="76"/>
        <w:ind w:right="1118"/>
        <w:jc w:val="left"/>
      </w:pPr>
      <w:r>
        <w:rPr>
          <w:spacing w:val="-2"/>
        </w:rPr>
        <w:t>象计入相关资产成本和当期损益。本公司对已提减值准备的无形资产计算应摊销金额时，还需扣除该无形资产已计提的减值</w:t>
      </w:r>
      <w:r>
        <w:rPr>
          <w:spacing w:val="-64"/>
        </w:rPr>
        <w:t> </w:t>
      </w:r>
      <w:r>
        <w:rPr>
          <w:spacing w:val="-64"/>
        </w:rPr>
      </w:r>
      <w:r>
        <w:rPr/>
        <w:t>准备累计金额；</w:t>
      </w:r>
    </w:p>
    <w:p>
      <w:pPr>
        <w:pStyle w:val="BodyText"/>
        <w:spacing w:line="316" w:lineRule="auto" w:before="57"/>
        <w:ind w:right="986" w:firstLine="360"/>
        <w:jc w:val="left"/>
      </w:pPr>
      <w:r>
        <w:rPr>
          <w:spacing w:val="-4"/>
        </w:rPr>
        <w:t>对于使用寿命不确定的无形资产，本公司不对其进行摊销，但在每个会计期末，对该部分无形资产的使用寿命进行复核，</w:t>
      </w:r>
      <w:r>
        <w:rPr/>
        <w:t> 如使用寿命仍不能确定，则对其进行减值测试。</w:t>
      </w:r>
    </w:p>
    <w:p>
      <w:pPr>
        <w:pStyle w:val="BodyText"/>
        <w:spacing w:line="340" w:lineRule="auto" w:before="59"/>
        <w:ind w:left="513" w:right="1118"/>
        <w:jc w:val="left"/>
      </w:pPr>
      <w:r>
        <w:rPr>
          <w:rFonts w:ascii="Times New Roman" w:hAnsi="Times New Roman" w:cs="Times New Roman" w:eastAsia="Times New Roman" w:hint="default"/>
        </w:rPr>
        <w:t>4</w:t>
      </w:r>
      <w:r>
        <w:rPr/>
        <w:t>、无形资产减值准备的确认标准和计提方法 </w:t>
      </w:r>
      <w:r>
        <w:rPr>
          <w:spacing w:val="-2"/>
        </w:rPr>
        <w:t>本公司对商标等受益年限不确定的无形资产，每年末均需进行减值测试，估计其可收回金额，按其可收回金额低于账面</w:t>
      </w:r>
    </w:p>
    <w:p>
      <w:pPr>
        <w:pStyle w:val="BodyText"/>
        <w:spacing w:line="357" w:lineRule="auto" w:before="1"/>
        <w:ind w:left="513" w:right="1118" w:hanging="361"/>
        <w:jc w:val="left"/>
      </w:pPr>
      <w:r>
        <w:rPr/>
        <w:t>价值的差额计提无形资产减值准备，确认资产减值损失。 </w:t>
      </w:r>
      <w:r>
        <w:rPr>
          <w:spacing w:val="-2"/>
        </w:rPr>
        <w:t>对其他无形资产，期末进行检查，当存在下述减值迹象时估计其可收回金额，按其可收回金额低于账面价值的差额计提</w:t>
      </w:r>
    </w:p>
    <w:p>
      <w:pPr>
        <w:pStyle w:val="BodyText"/>
        <w:spacing w:line="224" w:lineRule="exact"/>
        <w:ind w:right="1133"/>
        <w:jc w:val="left"/>
      </w:pPr>
      <w:r>
        <w:rPr/>
        <w:t>无形资产减值准备，确认资产减值损失：</w:t>
      </w:r>
    </w:p>
    <w:p>
      <w:pPr>
        <w:spacing w:after="0" w:line="224" w:lineRule="exact"/>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left="513" w:right="1133"/>
        <w:jc w:val="left"/>
      </w:pPr>
      <w:r>
        <w:rPr/>
        <w:t>（</w:t>
      </w:r>
      <w:r>
        <w:rPr>
          <w:rFonts w:ascii="Times New Roman" w:hAnsi="Times New Roman" w:cs="Times New Roman" w:eastAsia="Times New Roman" w:hint="default"/>
        </w:rPr>
        <w:t>1</w:t>
      </w:r>
      <w:r>
        <w:rPr/>
        <w:t>）已被其他新技术所代替，使其为本公司创造经济利益的能力受到重大不利影响；</w:t>
      </w:r>
    </w:p>
    <w:p>
      <w:pPr>
        <w:pStyle w:val="BodyText"/>
        <w:spacing w:line="240" w:lineRule="auto" w:before="103"/>
        <w:ind w:left="513" w:right="1133"/>
        <w:jc w:val="left"/>
      </w:pPr>
      <w:r>
        <w:rPr/>
        <w:t>（</w:t>
      </w:r>
      <w:r>
        <w:rPr>
          <w:rFonts w:ascii="Times New Roman" w:hAnsi="Times New Roman" w:cs="Times New Roman" w:eastAsia="Times New Roman" w:hint="default"/>
        </w:rPr>
        <w:t>2</w:t>
      </w:r>
      <w:r>
        <w:rPr/>
        <w:t>）市价在当期大幅下跌，在剩余摊销年限内预期不会恢复；</w:t>
      </w:r>
    </w:p>
    <w:p>
      <w:pPr>
        <w:pStyle w:val="BodyText"/>
        <w:spacing w:line="240" w:lineRule="auto" w:before="101"/>
        <w:ind w:left="513" w:right="1133"/>
        <w:jc w:val="left"/>
      </w:pPr>
      <w:r>
        <w:rPr/>
        <w:t>（</w:t>
      </w:r>
      <w:r>
        <w:rPr>
          <w:rFonts w:ascii="Times New Roman" w:hAnsi="Times New Roman" w:cs="Times New Roman" w:eastAsia="Times New Roman" w:hint="default"/>
        </w:rPr>
        <w:t>3</w:t>
      </w:r>
      <w:r>
        <w:rPr/>
        <w:t>）已超过法律保护期限，但仍然具有部分使用价值；</w:t>
      </w:r>
    </w:p>
    <w:p>
      <w:pPr>
        <w:pStyle w:val="BodyText"/>
        <w:spacing w:line="340" w:lineRule="auto" w:before="103"/>
        <w:ind w:left="513" w:right="5713"/>
        <w:jc w:val="left"/>
      </w:pPr>
      <w:r>
        <w:rPr/>
        <w:t>（</w:t>
      </w:r>
      <w:r>
        <w:rPr>
          <w:rFonts w:ascii="Times New Roman" w:hAnsi="Times New Roman" w:cs="Times New Roman" w:eastAsia="Times New Roman" w:hint="default"/>
        </w:rPr>
        <w:t>4</w:t>
      </w:r>
      <w:r>
        <w:rPr/>
        <w:t>）其他足以证明实际上已经发生减值的情形。 无形资产减值损失一经确认，在以后的会计期间不再转回。</w:t>
      </w:r>
    </w:p>
    <w:p>
      <w:pPr>
        <w:spacing w:line="240" w:lineRule="auto" w:before="3"/>
        <w:rPr>
          <w:rFonts w:ascii="宋体" w:hAnsi="宋体" w:cs="宋体" w:eastAsia="宋体" w:hint="default"/>
          <w:sz w:val="21"/>
          <w:szCs w:val="21"/>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本公司对内部研究开发无形资产的计量原则和会计处理如下：</w:t>
      </w:r>
    </w:p>
    <w:p>
      <w:pPr>
        <w:pStyle w:val="BodyText"/>
        <w:spacing w:line="309" w:lineRule="auto" w:before="117"/>
        <w:ind w:right="1133" w:firstLine="360"/>
        <w:jc w:val="both"/>
      </w:pPr>
      <w:r>
        <w:rPr/>
        <w:t>（</w:t>
      </w:r>
      <w:r>
        <w:rPr>
          <w:rFonts w:ascii="Times New Roman" w:hAnsi="Times New Roman" w:cs="Times New Roman" w:eastAsia="Times New Roman" w:hint="default"/>
        </w:rPr>
        <w:t>1</w:t>
      </w:r>
      <w:r>
        <w:rPr/>
        <w:t>）本公司将企业内部研究开发项目的支出区分为研究阶段支出和开发阶段支出，研究阶段支出是指为获取并理解新 </w:t>
      </w:r>
      <w:r>
        <w:rPr>
          <w:spacing w:val="-2"/>
        </w:rPr>
        <w:t>的科学或技术知识而进行的独创性的有计划调查阶段而发生的支出；开发阶段支出是指在进行商业性生产或使用前，将研究</w:t>
      </w:r>
      <w:r>
        <w:rPr>
          <w:spacing w:val="-64"/>
        </w:rPr>
        <w:t> </w:t>
      </w:r>
      <w:r>
        <w:rPr>
          <w:spacing w:val="-64"/>
        </w:rPr>
      </w:r>
      <w:r>
        <w:rPr/>
        <w:t>成果或其他知识应用于某项计划或设计，以生产出新的或具有实质性改进的材料、装置、产品等阶段而发生的支出。</w:t>
      </w:r>
    </w:p>
    <w:p>
      <w:pPr>
        <w:pStyle w:val="BodyText"/>
        <w:spacing w:line="300" w:lineRule="auto" w:before="65"/>
        <w:ind w:right="1040" w:firstLine="360"/>
        <w:jc w:val="both"/>
      </w:pPr>
      <w:r>
        <w:rPr>
          <w:spacing w:val="-2"/>
        </w:rPr>
        <w:t>（</w:t>
      </w:r>
      <w:r>
        <w:rPr>
          <w:rFonts w:ascii="Times New Roman" w:hAnsi="Times New Roman" w:cs="Times New Roman" w:eastAsia="Times New Roman" w:hint="default"/>
          <w:spacing w:val="-2"/>
        </w:rPr>
        <w:t>2</w:t>
      </w:r>
      <w:r>
        <w:rPr>
          <w:spacing w:val="-2"/>
        </w:rPr>
        <w:t>）本公司对研究阶段的支出，于发生时计入当期损益；对开发阶段的支出，在同时满足下列条件时确认为无形资产，</w:t>
      </w:r>
      <w:r>
        <w:rPr/>
        <w:t> 不同时满足下列条件的确认为损益：</w:t>
      </w:r>
    </w:p>
    <w:p>
      <w:pPr>
        <w:pStyle w:val="BodyText"/>
        <w:spacing w:line="240" w:lineRule="auto" w:before="70"/>
        <w:ind w:left="513" w:right="1133"/>
        <w:jc w:val="left"/>
      </w:pPr>
      <w:r>
        <w:rPr/>
        <w:t>①完成该无形资产以使其能够使用或出售在技术上具有可行性；</w:t>
      </w:r>
    </w:p>
    <w:p>
      <w:pPr>
        <w:pStyle w:val="BodyText"/>
        <w:spacing w:line="240" w:lineRule="auto" w:before="117"/>
        <w:ind w:left="513" w:right="1133"/>
        <w:jc w:val="left"/>
      </w:pPr>
      <w:r>
        <w:rPr/>
        <w:t>②具有完成该无形资产并使用或出售的意图；</w:t>
      </w:r>
    </w:p>
    <w:p>
      <w:pPr>
        <w:pStyle w:val="BodyText"/>
        <w:spacing w:line="316" w:lineRule="auto" w:before="117"/>
        <w:ind w:right="1132" w:firstLine="360"/>
        <w:jc w:val="both"/>
      </w:pPr>
      <w:r>
        <w:rPr>
          <w:spacing w:val="-2"/>
        </w:rPr>
        <w:t>③无形资产产生经济利益的方式，包括能够证明运用该无形资产生产的产品存在市场或无形资产自身存在市场，无形资</w:t>
      </w:r>
      <w:r>
        <w:rPr/>
        <w:t> 产将在内部使用的，应当证明其有用性：</w:t>
      </w:r>
    </w:p>
    <w:p>
      <w:pPr>
        <w:pStyle w:val="BodyText"/>
        <w:spacing w:line="240" w:lineRule="auto" w:before="57"/>
        <w:ind w:left="513" w:right="1133"/>
        <w:jc w:val="left"/>
      </w:pPr>
      <w:r>
        <w:rPr/>
        <w:t>④有足够的技术、财务资源和其他资源支持，以完成该无形资产的开发，并有能力使用或出售该无形资产；</w:t>
      </w:r>
    </w:p>
    <w:p>
      <w:pPr>
        <w:pStyle w:val="BodyText"/>
        <w:spacing w:line="240" w:lineRule="auto" w:before="117"/>
        <w:ind w:left="513" w:right="1133"/>
        <w:jc w:val="left"/>
      </w:pPr>
      <w:r>
        <w:rPr/>
        <w:t>⑤归属于该无形资产开发阶段的支出能够可靠地计量。</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31</w:t>
      </w:r>
      <w:r>
        <w:rPr/>
        <w:t>、长期资产减值</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1" w:firstLine="360"/>
        <w:jc w:val="both"/>
      </w:pPr>
      <w:r>
        <w:rPr>
          <w:spacing w:val="-2"/>
        </w:rPr>
        <w:t>在每个资产负债表日判断长期股权投资等是否存在减值迹象，对存在减值迹象的，估计其可收回金额，可收回金额低于</w:t>
      </w:r>
      <w:r>
        <w:rPr/>
        <w:t> </w:t>
      </w:r>
      <w:r>
        <w:rPr>
          <w:spacing w:val="-2"/>
        </w:rPr>
        <w:t>其账面价值的，将资产的账面价值减记至可收回金额，减记的金额确认相应的减值损失，计入当期损益，同时计提相应的减</w:t>
      </w:r>
      <w:r>
        <w:rPr>
          <w:spacing w:val="-65"/>
        </w:rPr>
        <w:t> </w:t>
      </w:r>
      <w:r>
        <w:rPr>
          <w:spacing w:val="-65"/>
        </w:rPr>
      </w:r>
      <w:r>
        <w:rPr/>
        <w:t>值准备。</w:t>
      </w:r>
    </w:p>
    <w:p>
      <w:pPr>
        <w:pStyle w:val="BodyText"/>
        <w:spacing w:line="316" w:lineRule="auto" w:before="59"/>
        <w:ind w:right="1132" w:firstLine="360"/>
        <w:jc w:val="both"/>
      </w:pPr>
      <w:r>
        <w:rPr>
          <w:spacing w:val="-2"/>
        </w:rPr>
        <w:t>资产可收回金额的估计，根据其公允价值减去处置费用后的净额与其预计未来现金流量的现值两者之间较高者确定。企</w:t>
      </w:r>
      <w:r>
        <w:rPr/>
        <w:t> </w:t>
      </w:r>
      <w:r>
        <w:rPr>
          <w:spacing w:val="-2"/>
        </w:rPr>
        <w:t>业以单项资产为基础估计其可收回金额，在难以对单项资产可回收金额进行估计的情况下，以资产所属的资产组为基础确定</w:t>
      </w:r>
      <w:r>
        <w:rPr>
          <w:spacing w:val="-64"/>
        </w:rPr>
        <w:t> </w:t>
      </w:r>
      <w:r>
        <w:rPr>
          <w:spacing w:val="-64"/>
        </w:rPr>
      </w:r>
      <w:r>
        <w:rPr/>
        <w:t>资产组的可收回金额。</w:t>
      </w:r>
    </w:p>
    <w:p>
      <w:pPr>
        <w:pStyle w:val="BodyText"/>
        <w:spacing w:line="319" w:lineRule="auto" w:before="59"/>
        <w:ind w:right="1128" w:firstLine="360"/>
        <w:jc w:val="both"/>
      </w:pPr>
      <w:r>
        <w:rPr>
          <w:spacing w:val="-2"/>
        </w:rPr>
        <w:t>资产减值损失确认后，减值资产的折旧或者摊销费用在未来期间做相应调整，使资产在剩余寿命内，系统地分摊调整后</w:t>
      </w:r>
      <w:r>
        <w:rPr/>
        <w:t> 的资产账面价值。</w:t>
      </w:r>
    </w:p>
    <w:p>
      <w:pPr>
        <w:pStyle w:val="BodyText"/>
        <w:spacing w:line="360" w:lineRule="auto" w:before="55"/>
        <w:ind w:left="513" w:right="1118"/>
        <w:jc w:val="left"/>
      </w:pPr>
      <w:r>
        <w:rPr/>
        <w:t>对于合并所形成的商誉每年年度终了进行减值测试。 </w:t>
      </w:r>
      <w:r>
        <w:rPr>
          <w:spacing w:val="-2"/>
        </w:rPr>
        <w:t>关于商誉减值测试，对于因企业合并形成的商誉的账面价值，自购买日起按照合理的方法分摊至相关的资产组；难以分</w:t>
      </w:r>
    </w:p>
    <w:p>
      <w:pPr>
        <w:pStyle w:val="BodyText"/>
        <w:spacing w:line="222" w:lineRule="exact"/>
        <w:ind w:right="0"/>
        <w:jc w:val="both"/>
      </w:pPr>
      <w:r>
        <w:rPr/>
        <w:t>摊至相关的资产组的，将其分摊至相关的资产组组合。在将商誉的账面价值分摊至相关的资产组或者资产组组合时，按照各</w:t>
      </w:r>
    </w:p>
    <w:p>
      <w:pPr>
        <w:pStyle w:val="BodyText"/>
        <w:spacing w:line="316" w:lineRule="auto" w:before="76"/>
        <w:ind w:right="1051"/>
        <w:jc w:val="both"/>
      </w:pPr>
      <w:r>
        <w:rPr/>
        <w:t>资产组或者资产组组合的公允价值占相关资产组或者资产组组合公允价值总额的比例进行分摊。公允价值难以可靠计量的， 按照各资产组或者资产组组合的账面价值占相关资产组或者资产组组合账面价值总额的比例进行分摊。</w:t>
      </w:r>
    </w:p>
    <w:p>
      <w:pPr>
        <w:pStyle w:val="BodyText"/>
        <w:spacing w:line="316" w:lineRule="auto" w:before="59"/>
        <w:ind w:right="1131"/>
        <w:jc w:val="both"/>
      </w:pPr>
      <w:r>
        <w:rPr>
          <w:spacing w:val="-2"/>
        </w:rPr>
        <w:t>在对包含商誉的相关资产组或者资产组组合进行减值测试时，如与商誉相关的资产组或者资产组组合存在减值迹象的，先对</w:t>
      </w:r>
      <w:r>
        <w:rPr>
          <w:spacing w:val="-64"/>
        </w:rPr>
        <w:t> </w:t>
      </w:r>
      <w:r>
        <w:rPr>
          <w:spacing w:val="-64"/>
        </w:rPr>
      </w:r>
      <w:r>
        <w:rPr>
          <w:spacing w:val="-2"/>
        </w:rPr>
        <w:t>不包含商誉的资产组或者资产组组合进行减值测试，计算可收回金额，并与相关账面价值相比较，确认相应的减值损失。再</w:t>
      </w:r>
      <w:r>
        <w:rPr>
          <w:spacing w:val="-64"/>
        </w:rPr>
        <w:t> </w:t>
      </w:r>
      <w:r>
        <w:rPr>
          <w:spacing w:val="-64"/>
        </w:rPr>
      </w:r>
      <w:r>
        <w:rPr>
          <w:spacing w:val="-2"/>
        </w:rPr>
        <w:t>对包含商誉的资产组或者资产组组合进行减值测试，比较这些相关资产组或者资产组组合的账面价值（包括所分摊的商誉的</w:t>
      </w:r>
      <w:r>
        <w:rPr>
          <w:spacing w:val="-64"/>
        </w:rPr>
        <w:t> </w:t>
      </w:r>
      <w:r>
        <w:rPr>
          <w:spacing w:val="-64"/>
        </w:rPr>
      </w:r>
      <w:r>
        <w:rPr/>
        <w:t>账面价值部分）与其可收回金额，如相关资产组或者资产组组合的可收回金额低于其账面价值的，确认商誉的减值损失。</w:t>
      </w:r>
    </w:p>
    <w:p>
      <w:pPr>
        <w:spacing w:after="0" w:line="316" w:lineRule="auto"/>
        <w:jc w:val="both"/>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rFonts w:ascii="Times New Roman" w:hAnsi="Times New Roman" w:cs="Times New Roman" w:eastAsia="Times New Roman" w:hint="default"/>
        </w:rPr>
        <w:t>32</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131" w:firstLine="360"/>
        <w:jc w:val="both"/>
      </w:pPr>
      <w:r>
        <w:rPr>
          <w:spacing w:val="-1"/>
        </w:rPr>
        <w:t>长期待摊费用核算已经发生，但应由当期及以后各期负担的分摊期限在一年以上</w:t>
      </w:r>
      <w:r>
        <w:rPr>
          <w:rFonts w:ascii="Times New Roman" w:hAnsi="Times New Roman" w:cs="Times New Roman" w:eastAsia="Times New Roman" w:hint="default"/>
          <w:spacing w:val="-1"/>
        </w:rPr>
        <w:t>(</w:t>
      </w:r>
      <w:r>
        <w:rPr>
          <w:spacing w:val="-1"/>
        </w:rPr>
        <w:t>不含一年</w:t>
      </w:r>
      <w:r>
        <w:rPr>
          <w:rFonts w:ascii="Times New Roman" w:hAnsi="Times New Roman" w:cs="Times New Roman" w:eastAsia="Times New Roman" w:hint="default"/>
          <w:spacing w:val="-1"/>
        </w:rPr>
        <w:t>)</w:t>
      </w:r>
      <w:r>
        <w:rPr>
          <w:spacing w:val="-1"/>
        </w:rPr>
        <w:t>的各项费用，本公司对该等</w:t>
      </w:r>
      <w:r>
        <w:rPr/>
        <w:t> </w:t>
      </w:r>
      <w:r>
        <w:rPr>
          <w:spacing w:val="-2"/>
        </w:rPr>
        <w:t>费用采用直线法在其受益期内平均摊销，如果长期待摊费用项目不能使以后会计期间受益，则将尚未摊销的该项目的摊余价</w:t>
      </w:r>
      <w:r>
        <w:rPr>
          <w:spacing w:val="-64"/>
        </w:rPr>
        <w:t> </w:t>
      </w:r>
      <w:r>
        <w:rPr>
          <w:spacing w:val="-64"/>
        </w:rPr>
      </w:r>
      <w:r>
        <w:rPr/>
        <w:t>值全部转入当期损益。</w:t>
      </w:r>
    </w:p>
    <w:p>
      <w:pPr>
        <w:spacing w:line="240" w:lineRule="auto" w:before="0"/>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33</w:t>
      </w:r>
      <w:r>
        <w:rPr/>
        <w:t>、合同负债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34</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在职工为公司提供服务的会计期间，将实际发生的短期薪酬确认为负债，并计入当期损益或相关资产成本。</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left="513" w:right="1118"/>
        <w:jc w:val="left"/>
      </w:pPr>
      <w:r>
        <w:rPr/>
        <w:t>离职后福利计划分类为设定提存计划和设定受益计划。 </w:t>
      </w:r>
      <w:r>
        <w:rPr>
          <w:spacing w:val="-2"/>
        </w:rPr>
        <w:t>在职工为公司提供服务的会计期间，将根据设定提存计划计算的应缴存金额确认为负债，并计入当期损益或相关资产成</w:t>
      </w:r>
    </w:p>
    <w:p>
      <w:pPr>
        <w:pStyle w:val="BodyText"/>
        <w:spacing w:line="224" w:lineRule="exact"/>
        <w:ind w:right="986"/>
        <w:jc w:val="left"/>
      </w:pPr>
      <w:r>
        <w:rPr/>
        <w:t>本。根据设定提存计划，预期不会在职工提供相关服务的年度报告期结束后十二个月内支付全部应缴存金额的，根据资产负</w:t>
      </w:r>
    </w:p>
    <w:p>
      <w:pPr>
        <w:pStyle w:val="BodyText"/>
        <w:spacing w:line="316" w:lineRule="auto" w:before="76"/>
        <w:ind w:right="1118"/>
        <w:jc w:val="left"/>
      </w:pPr>
      <w:r>
        <w:rPr>
          <w:spacing w:val="-2"/>
        </w:rPr>
        <w:t>债表日与设定受益计划义务期限和币种相匹配的国债或活跃市场上的高质量公司债券的市场收益率，将全部应缴存金额以折</w:t>
      </w:r>
      <w:r>
        <w:rPr>
          <w:spacing w:val="-64"/>
        </w:rPr>
        <w:t> </w:t>
      </w:r>
      <w:r>
        <w:rPr>
          <w:spacing w:val="-64"/>
        </w:rPr>
      </w:r>
      <w:r>
        <w:rPr/>
        <w:t>现后的金额计量应付职工薪酬。</w:t>
      </w:r>
    </w:p>
    <w:p>
      <w:pPr>
        <w:pStyle w:val="BodyText"/>
        <w:spacing w:line="316" w:lineRule="auto" w:before="60"/>
        <w:ind w:right="1125" w:firstLine="360"/>
        <w:jc w:val="both"/>
      </w:pPr>
      <w:r>
        <w:rPr/>
        <w:t>公司根据资产负债表日与设定受益计划义务期限和币种相匹配的国债或活跃市场上的高质量公司债券的市场收益率对</w:t>
      </w:r>
      <w:r>
        <w:rPr>
          <w:spacing w:val="2"/>
        </w:rPr>
        <w:t> </w:t>
      </w:r>
      <w:r>
        <w:rPr/>
        <w:t>所有设定受益计划义务予以折现，包括预期在职工提供服务的年度报告期间结束后的十二个月内支付的义务。</w:t>
      </w:r>
    </w:p>
    <w:p>
      <w:pPr>
        <w:pStyle w:val="BodyText"/>
        <w:spacing w:line="316" w:lineRule="auto" w:before="59"/>
        <w:ind w:right="1131" w:firstLine="360"/>
        <w:jc w:val="both"/>
      </w:pPr>
      <w:r>
        <w:rPr>
          <w:spacing w:val="-2"/>
        </w:rPr>
        <w:t>设定受益计划存在资产的，将设定受益计划义务现值减去设定受益计划资产公允价值所形成的赤字或盈余确认为一项设</w:t>
      </w:r>
      <w:r>
        <w:rPr/>
        <w:t> </w:t>
      </w:r>
      <w:r>
        <w:rPr>
          <w:spacing w:val="-2"/>
        </w:rPr>
        <w:t>定受益计划净负债或净资产。设定受益计划存在盈余的，企业以设定受益计划的盈余和资产上限两项的孰低者计量设定受益</w:t>
      </w:r>
      <w:r>
        <w:rPr>
          <w:spacing w:val="-64"/>
        </w:rPr>
        <w:t> </w:t>
      </w:r>
      <w:r>
        <w:rPr>
          <w:spacing w:val="-64"/>
        </w:rPr>
      </w:r>
      <w:r>
        <w:rPr>
          <w:spacing w:val="-2"/>
        </w:rPr>
        <w:t>计划净资产。其中，资产上限，是指企业可从设定受益计划退款或减少未来对设定受益计划缴存资金而获得的经济利益的现</w:t>
      </w:r>
      <w:r>
        <w:rPr>
          <w:spacing w:val="-65"/>
        </w:rPr>
        <w:t> </w:t>
      </w:r>
      <w:r>
        <w:rPr>
          <w:spacing w:val="-65"/>
        </w:rPr>
      </w:r>
      <w:r>
        <w:rPr/>
        <w:t>值。</w:t>
      </w:r>
    </w:p>
    <w:p>
      <w:pPr>
        <w:pStyle w:val="BodyText"/>
        <w:spacing w:line="316" w:lineRule="auto" w:before="57"/>
        <w:ind w:right="1130" w:firstLine="360"/>
        <w:jc w:val="both"/>
      </w:pPr>
      <w:r>
        <w:rPr>
          <w:spacing w:val="-2"/>
        </w:rPr>
        <w:t>报告期末，将设定受益计划产生的职工薪酬成本中的服务成本和设定受益计划净负债或净资产的利息净额部分计入当期</w:t>
      </w:r>
      <w:r>
        <w:rPr/>
        <w:t> </w:t>
      </w:r>
      <w:r>
        <w:rPr>
          <w:spacing w:val="-2"/>
        </w:rPr>
        <w:t>损益或资产成本；重新计量设定受益计划净负债或净资产所产生的变动。计入其他综合收益，并且在后续会计期间不允许转</w:t>
      </w:r>
      <w:r>
        <w:rPr>
          <w:spacing w:val="-63"/>
        </w:rPr>
        <w:t> </w:t>
      </w:r>
      <w:r>
        <w:rPr>
          <w:spacing w:val="-63"/>
        </w:rPr>
      </w:r>
      <w:r>
        <w:rPr/>
        <w:t>回至损益，可以在权益范围内转移。</w:t>
      </w:r>
    </w:p>
    <w:p>
      <w:pPr>
        <w:pStyle w:val="BodyText"/>
        <w:spacing w:line="360" w:lineRule="auto" w:before="59"/>
        <w:ind w:right="1044" w:firstLine="360"/>
        <w:jc w:val="both"/>
      </w:pPr>
      <w:r>
        <w:rPr/>
        <w:t>在设定受益计划下，在修改设定受益计划与确认相关重组费用或辞退福利孰早日将过去服务成本确认为当期费用。 </w:t>
      </w:r>
      <w:r>
        <w:rPr>
          <w:spacing w:val="-4"/>
        </w:rPr>
        <w:t>企业在设定受益计划结算时，确认结算利得或损失。该利得或损失是在结算日确定的设定受益计划义务现值与结算价格的差。</w:t>
      </w:r>
    </w:p>
    <w:p>
      <w:pPr>
        <w:spacing w:line="240" w:lineRule="auto" w:before="2"/>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在下列两者孰早日确认辞退福利产生的职工薪酬负债，并计入当期损益：</w:t>
      </w:r>
    </w:p>
    <w:p>
      <w:pPr>
        <w:pStyle w:val="BodyText"/>
        <w:spacing w:line="240" w:lineRule="auto" w:before="117"/>
        <w:ind w:left="513" w:right="1133"/>
        <w:jc w:val="left"/>
      </w:pPr>
      <w:r>
        <w:rPr/>
        <w:t>（</w:t>
      </w:r>
      <w:r>
        <w:rPr>
          <w:rFonts w:ascii="Times New Roman" w:hAnsi="Times New Roman" w:cs="Times New Roman" w:eastAsia="Times New Roman" w:hint="default"/>
        </w:rPr>
        <w:t>1</w:t>
      </w:r>
      <w:r>
        <w:rPr/>
        <w:t>）企业不能单方面撤回因解除劳动关系计划或裁减建议所提供的辞退福利时；</w:t>
      </w:r>
    </w:p>
    <w:p>
      <w:pPr>
        <w:pStyle w:val="BodyText"/>
        <w:spacing w:line="338" w:lineRule="auto" w:before="103"/>
        <w:ind w:left="513" w:right="1118"/>
        <w:jc w:val="left"/>
      </w:pPr>
      <w:r>
        <w:rPr/>
        <w:t>（</w:t>
      </w:r>
      <w:r>
        <w:rPr>
          <w:rFonts w:ascii="Times New Roman" w:hAnsi="Times New Roman" w:cs="Times New Roman" w:eastAsia="Times New Roman" w:hint="default"/>
        </w:rPr>
        <w:t>2</w:t>
      </w:r>
      <w:r>
        <w:rPr/>
        <w:t>）企业确认与涉及支付辞退福利的重组相关的成本或费用时。 </w:t>
      </w:r>
      <w:r>
        <w:rPr>
          <w:spacing w:val="-2"/>
        </w:rPr>
        <w:t>辞退福利预期在其确认的年度报告期结束后十二个月内完全支付的，适用短期薪酬的相关规定；辞退福利预期在年度报</w:t>
      </w:r>
    </w:p>
    <w:p>
      <w:pPr>
        <w:pStyle w:val="BodyText"/>
        <w:spacing w:line="240" w:lineRule="auto" w:before="2"/>
        <w:ind w:right="1133"/>
        <w:jc w:val="left"/>
      </w:pPr>
      <w:r>
        <w:rPr/>
        <w:t>告期结束后十二个月内不能完全支付的，适用其他长期职工福利的有关规定。</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86"/>
        <w:jc w:val="left"/>
      </w:pPr>
      <w:r>
        <w:rPr/>
        <w:t>其他长期职工福利，符合设定提存计划条件的，根据上述</w:t>
      </w:r>
      <w:r>
        <w:rPr>
          <w:rFonts w:ascii="Times New Roman" w:hAnsi="Times New Roman" w:cs="Times New Roman" w:eastAsia="Times New Roman" w:hint="default"/>
        </w:rPr>
        <w:t>2</w:t>
      </w:r>
      <w:r>
        <w:rPr/>
        <w:t>、处理。不符合设定提存计划的，适用关于设定受益计划的</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4"/>
        <w:ind w:right="1118"/>
        <w:jc w:val="left"/>
      </w:pPr>
      <w:r>
        <w:rPr>
          <w:spacing w:val="-2"/>
        </w:rPr>
        <w:t>有关规定，确认和计量其他长期职工福利净负债或净资产。在报告期末，将其他长期职工福利中的服务成本、净负债或净资</w:t>
      </w:r>
      <w:r>
        <w:rPr>
          <w:spacing w:val="-65"/>
        </w:rPr>
        <w:t> </w:t>
      </w:r>
      <w:r>
        <w:rPr>
          <w:spacing w:val="-65"/>
        </w:rPr>
      </w:r>
      <w:r>
        <w:rPr/>
        <w:t>产的利息净额、重新计量其他长期职工福利净负债或净资产所产生的变动的总净额计入当期损益或相关资产成本。</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35</w:t>
      </w:r>
      <w:r>
        <w:rPr/>
        <w:t>、租赁负债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36</w:t>
      </w:r>
      <w:r>
        <w:rPr/>
        <w:t>、预计负债</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2" w:firstLine="360"/>
        <w:jc w:val="both"/>
      </w:pPr>
      <w:r>
        <w:rPr>
          <w:spacing w:val="-2"/>
        </w:rPr>
        <w:t>因产品质量保证、对外提供担保、已贴现商业承兑汇票、未决诉讼等事项形成的现时义务，其履行很可能导致经济利益</w:t>
      </w:r>
      <w:r>
        <w:rPr/>
        <w:t> 的流出，在该义务的金额能够可靠计量时，确认为预计负债。对于未来经营亏损，不确认预计负债。</w:t>
      </w:r>
    </w:p>
    <w:p>
      <w:pPr>
        <w:pStyle w:val="BodyText"/>
        <w:spacing w:line="319" w:lineRule="auto" w:before="59"/>
        <w:ind w:right="1130" w:firstLine="360"/>
        <w:jc w:val="both"/>
      </w:pPr>
      <w:r>
        <w:rPr>
          <w:spacing w:val="-2"/>
        </w:rPr>
        <w:t>预计负债按照履行相关现时义务所需支出的最佳估计数进行初始计量，并综合考虑与或有事项有关的风险、不确定性和</w:t>
      </w:r>
      <w:r>
        <w:rPr/>
        <w:t> </w:t>
      </w:r>
      <w:r>
        <w:rPr>
          <w:spacing w:val="-2"/>
        </w:rPr>
        <w:t>货币时间价值等因素。货币时间价值影响重大的，通过对相关未来现金流出进行折现后确定最佳估计数；因随着时间推移所</w:t>
      </w:r>
      <w:r>
        <w:rPr>
          <w:spacing w:val="-63"/>
        </w:rPr>
        <w:t> </w:t>
      </w:r>
      <w:r>
        <w:rPr>
          <w:spacing w:val="-63"/>
        </w:rPr>
      </w:r>
      <w:r>
        <w:rPr/>
        <w:t>进行的折现还原而导致的预计负债账面价值的增加金额，确认为利息费用。</w:t>
      </w:r>
    </w:p>
    <w:p>
      <w:pPr>
        <w:pStyle w:val="BodyText"/>
        <w:spacing w:line="240" w:lineRule="auto" w:before="55"/>
        <w:ind w:left="513" w:right="1133"/>
        <w:jc w:val="left"/>
      </w:pPr>
      <w:r>
        <w:rPr/>
        <w:t>于资产负债表日，对预计负债的账面价值进行复核并作适当调整，以反映当前的最佳估计数。</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37</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513" w:right="4813"/>
        <w:jc w:val="left"/>
      </w:pPr>
      <w:r>
        <w:rPr/>
        <w:t>（</w:t>
      </w:r>
      <w:r>
        <w:rPr>
          <w:rFonts w:ascii="Times New Roman" w:hAnsi="Times New Roman" w:cs="Times New Roman" w:eastAsia="Times New Roman" w:hint="default"/>
        </w:rPr>
        <w:t>1</w:t>
      </w:r>
      <w:r>
        <w:rPr/>
        <w:t>）股份支付的种类 本公司股份支付分为以权益结算的股份支付和以现金结算的股份支付。</w:t>
      </w:r>
    </w:p>
    <w:p>
      <w:pPr>
        <w:pStyle w:val="BodyText"/>
        <w:spacing w:line="340" w:lineRule="auto" w:before="39"/>
        <w:ind w:left="513" w:right="1118"/>
        <w:jc w:val="left"/>
      </w:pPr>
      <w:r>
        <w:rPr/>
        <w:t>（</w:t>
      </w:r>
      <w:r>
        <w:rPr>
          <w:rFonts w:ascii="Times New Roman" w:hAnsi="Times New Roman" w:cs="Times New Roman" w:eastAsia="Times New Roman" w:hint="default"/>
        </w:rPr>
        <w:t>2</w:t>
      </w:r>
      <w:r>
        <w:rPr/>
        <w:t>）权益工具公允价值的确定方法 </w:t>
      </w:r>
      <w:r>
        <w:rPr>
          <w:spacing w:val="-2"/>
        </w:rPr>
        <w:t>对于授予的存在活跃市场的期权等权益工具，按照活跃市场中的报价确定其公允价值。对于授予的不存在活跃市场的期</w:t>
      </w:r>
    </w:p>
    <w:p>
      <w:pPr>
        <w:pStyle w:val="BodyText"/>
        <w:spacing w:line="319" w:lineRule="auto" w:before="1"/>
        <w:ind w:right="1118"/>
        <w:jc w:val="left"/>
      </w:pPr>
      <w:r>
        <w:rPr>
          <w:spacing w:val="-2"/>
        </w:rPr>
        <w:t>权等权益工具，采用期权定价模型等确定其公允价值，选用的期权定价模型至少考虑以下因素：①期权的行权价格；②期权</w:t>
      </w:r>
      <w:r>
        <w:rPr>
          <w:spacing w:val="-64"/>
        </w:rPr>
        <w:t> </w:t>
      </w:r>
      <w:r>
        <w:rPr>
          <w:spacing w:val="-64"/>
        </w:rPr>
      </w:r>
      <w:r>
        <w:rPr/>
        <w:t>期限；③基础股份的现行价格；④股价的预计波动率；⑤股份的预计股利；⑥期权期限内的无风险利率。</w:t>
      </w:r>
    </w:p>
    <w:p>
      <w:pPr>
        <w:pStyle w:val="BodyText"/>
        <w:spacing w:line="338" w:lineRule="auto" w:before="58"/>
        <w:ind w:left="513" w:right="1118"/>
        <w:jc w:val="left"/>
      </w:pPr>
      <w:r>
        <w:rPr/>
        <w:t>（</w:t>
      </w:r>
      <w:r>
        <w:rPr>
          <w:rFonts w:ascii="Times New Roman" w:hAnsi="Times New Roman" w:cs="Times New Roman" w:eastAsia="Times New Roman" w:hint="default"/>
        </w:rPr>
        <w:t>3</w:t>
      </w:r>
      <w:r>
        <w:rPr/>
        <w:t>）确认可行权权益工具最佳估计的依据 </w:t>
      </w:r>
      <w:r>
        <w:rPr>
          <w:spacing w:val="-2"/>
        </w:rPr>
        <w:t>在等待期内的每个资产负债表日，以根据最新取得的可行权职工人数变动等后续信息对可行权权益工具数量做出最佳估</w:t>
      </w:r>
    </w:p>
    <w:p>
      <w:pPr>
        <w:pStyle w:val="BodyText"/>
        <w:spacing w:line="240" w:lineRule="auto" w:before="2"/>
        <w:ind w:right="1133"/>
        <w:jc w:val="left"/>
      </w:pPr>
      <w:r>
        <w:rPr/>
        <w:t>计。</w:t>
      </w:r>
    </w:p>
    <w:p>
      <w:pPr>
        <w:pStyle w:val="BodyText"/>
        <w:spacing w:line="240" w:lineRule="auto" w:before="117"/>
        <w:ind w:left="513" w:right="1133"/>
        <w:jc w:val="left"/>
      </w:pPr>
      <w:r>
        <w:rPr/>
        <w:t>（</w:t>
      </w:r>
      <w:r>
        <w:rPr>
          <w:rFonts w:ascii="Times New Roman" w:hAnsi="Times New Roman" w:cs="Times New Roman" w:eastAsia="Times New Roman" w:hint="default"/>
        </w:rPr>
        <w:t>4</w:t>
      </w:r>
      <w:r>
        <w:rPr/>
        <w:t>）实施、修改、终止股份支付计划的相关会计处理</w:t>
      </w:r>
    </w:p>
    <w:p>
      <w:pPr>
        <w:pStyle w:val="BodyText"/>
        <w:spacing w:line="240" w:lineRule="auto" w:before="103"/>
        <w:ind w:left="513" w:right="1133"/>
        <w:jc w:val="left"/>
      </w:pPr>
      <w:r>
        <w:rPr/>
        <w:t>①以权益结算的股份支付</w:t>
      </w:r>
    </w:p>
    <w:p>
      <w:pPr>
        <w:pStyle w:val="BodyText"/>
        <w:spacing w:line="240" w:lineRule="auto" w:before="115"/>
        <w:ind w:left="513" w:right="986"/>
        <w:jc w:val="left"/>
      </w:pPr>
      <w:r>
        <w:rPr>
          <w:rFonts w:ascii="Times New Roman" w:hAnsi="Times New Roman" w:cs="Times New Roman" w:eastAsia="Times New Roman" w:hint="default"/>
        </w:rPr>
        <w:t>A</w:t>
      </w:r>
      <w:r>
        <w:rPr/>
        <w:t>、对于换取职工服务的股份支付，本公司以股份支付所授予的权益工具的公允价值计量。在等待期内的每个资产负债</w:t>
      </w:r>
    </w:p>
    <w:p>
      <w:pPr>
        <w:pStyle w:val="BodyText"/>
        <w:spacing w:line="316" w:lineRule="auto" w:before="63"/>
        <w:ind w:right="1118"/>
        <w:jc w:val="left"/>
      </w:pPr>
      <w:r>
        <w:rPr>
          <w:spacing w:val="-2"/>
        </w:rPr>
        <w:t>表日，以根据最新取得的可行权职工人数变动等后续信息对可行权权益工具数量做出的最佳估计为基础，按照权益工具在授</w:t>
      </w:r>
      <w:r>
        <w:rPr>
          <w:spacing w:val="-64"/>
        </w:rPr>
        <w:t> </w:t>
      </w:r>
      <w:r>
        <w:rPr>
          <w:spacing w:val="-64"/>
        </w:rPr>
      </w:r>
      <w:r>
        <w:rPr/>
        <w:t>予日的公允价值，将当期取得的服务计入相关资产成本或当期费用，同时计入资本公积中的其他资本公积；</w:t>
      </w:r>
    </w:p>
    <w:p>
      <w:pPr>
        <w:pStyle w:val="BodyText"/>
        <w:spacing w:line="300" w:lineRule="auto" w:before="60"/>
        <w:ind w:right="1132" w:firstLine="360"/>
        <w:jc w:val="both"/>
      </w:pPr>
      <w:r>
        <w:rPr>
          <w:rFonts w:ascii="Times New Roman" w:hAnsi="Times New Roman" w:cs="Times New Roman" w:eastAsia="Times New Roman" w:hint="default"/>
          <w:spacing w:val="-1"/>
        </w:rPr>
        <w:t>B</w:t>
      </w:r>
      <w:r>
        <w:rPr>
          <w:spacing w:val="-1"/>
        </w:rPr>
        <w:t>、对于授予后立即可行权的换取职工提供服务的权益结算的股份支付，在授予日按照权益工具的公允价值，将取得的</w:t>
      </w:r>
      <w:r>
        <w:rPr/>
        <w:t> 服务计入相关资产成本或当期费用，同时计入资本公积中的股本溢价。</w:t>
      </w:r>
    </w:p>
    <w:p>
      <w:pPr>
        <w:pStyle w:val="BodyText"/>
        <w:spacing w:line="240" w:lineRule="auto" w:before="72"/>
        <w:ind w:left="513" w:right="1133"/>
        <w:jc w:val="left"/>
      </w:pPr>
      <w:r>
        <w:rPr/>
        <w:t>②以现金结算的股份支付</w:t>
      </w:r>
    </w:p>
    <w:p>
      <w:pPr>
        <w:pStyle w:val="BodyText"/>
        <w:spacing w:line="309" w:lineRule="auto" w:before="115"/>
        <w:ind w:right="1130" w:firstLine="360"/>
        <w:jc w:val="both"/>
      </w:pPr>
      <w:r>
        <w:rPr>
          <w:rFonts w:ascii="Times New Roman" w:hAnsi="Times New Roman" w:cs="Times New Roman" w:eastAsia="Times New Roman" w:hint="default"/>
          <w:spacing w:val="-1"/>
        </w:rPr>
        <w:t>A</w:t>
      </w:r>
      <w:r>
        <w:rPr>
          <w:spacing w:val="-1"/>
        </w:rPr>
        <w:t>、本公司在等待期内的每个资产负债表日，以对可行权情况的最佳估计（如根据最新取得的可行权职工人数变动等后</w:t>
      </w:r>
      <w:r>
        <w:rPr/>
        <w:t> </w:t>
      </w:r>
      <w:r>
        <w:rPr>
          <w:spacing w:val="-2"/>
        </w:rPr>
        <w:t>续信息做出）为基础，按照公司承担负债的公允价值，将当期取得的服务计入相关资产成本或当期费用，同时计入负债（应</w:t>
      </w:r>
      <w:r>
        <w:rPr>
          <w:spacing w:val="-67"/>
        </w:rPr>
        <w:t> </w:t>
      </w:r>
      <w:r>
        <w:rPr>
          <w:spacing w:val="-67"/>
        </w:rPr>
      </w:r>
      <w:r>
        <w:rPr/>
        <w:t>付职工薪酬），并在结算前的每个资产负债表日和结算日对负债的公允价值重新计量，将其变动计入损益；</w:t>
      </w:r>
    </w:p>
    <w:p>
      <w:pPr>
        <w:pStyle w:val="BodyText"/>
        <w:spacing w:line="309" w:lineRule="auto" w:before="65"/>
        <w:ind w:right="1131" w:firstLine="360"/>
        <w:jc w:val="both"/>
      </w:pPr>
      <w:r>
        <w:rPr>
          <w:rFonts w:ascii="Times New Roman" w:hAnsi="Times New Roman" w:cs="Times New Roman" w:eastAsia="Times New Roman" w:hint="default"/>
          <w:spacing w:val="-1"/>
        </w:rPr>
        <w:t>B</w:t>
      </w:r>
      <w:r>
        <w:rPr>
          <w:spacing w:val="-1"/>
        </w:rPr>
        <w:t>、对于授予后立即可行权的现金结算的股份支付，在授予日按照公司承担负债的公允价值计入相关资产成本或当期费</w:t>
      </w:r>
      <w:r>
        <w:rPr/>
        <w:t> </w:t>
      </w:r>
      <w:r>
        <w:rPr>
          <w:spacing w:val="-2"/>
        </w:rPr>
        <w:t>用，同时计入负债（应付职工薪酬），并在结算前的每个资产负债表日和结算日对负债的公允价值重新计量，将其变动计入</w:t>
      </w:r>
      <w:r>
        <w:rPr>
          <w:spacing w:val="-67"/>
        </w:rPr>
        <w:t> </w:t>
      </w:r>
      <w:r>
        <w:rPr>
          <w:spacing w:val="-67"/>
        </w:rPr>
      </w:r>
      <w:r>
        <w:rPr/>
        <w:t>损益。</w:t>
      </w:r>
    </w:p>
    <w:p>
      <w:pPr>
        <w:spacing w:after="0" w:line="309" w:lineRule="auto"/>
        <w:jc w:val="both"/>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rFonts w:ascii="Times New Roman" w:hAnsi="Times New Roman" w:cs="Times New Roman" w:eastAsia="Times New Roman" w:hint="default"/>
        </w:rPr>
        <w:t>38</w:t>
      </w:r>
      <w:r>
        <w:rPr/>
        <w:t>、优先股、永续债等其他金融工具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39</w:t>
      </w:r>
      <w:r>
        <w:rPr/>
        <w:t>、收入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1"/>
        <w:ind w:left="573" w:right="1133"/>
        <w:jc w:val="left"/>
      </w:pPr>
      <w:r>
        <w:rPr>
          <w:rFonts w:ascii="Times New Roman" w:hAnsi="Times New Roman" w:cs="Times New Roman" w:eastAsia="Times New Roman" w:hint="default"/>
        </w:rPr>
        <w:t>1</w:t>
      </w:r>
      <w:r>
        <w:rPr/>
        <w:t>、本公司在同时满足下列条件时，确认商品销售收入：</w:t>
      </w:r>
    </w:p>
    <w:p>
      <w:pPr>
        <w:pStyle w:val="BodyText"/>
        <w:spacing w:line="240" w:lineRule="auto" w:before="63"/>
        <w:ind w:left="573" w:right="1133"/>
        <w:jc w:val="left"/>
      </w:pPr>
      <w:r>
        <w:rPr/>
        <w:t>（</w:t>
      </w:r>
      <w:r>
        <w:rPr>
          <w:rFonts w:ascii="Times New Roman" w:hAnsi="Times New Roman" w:cs="Times New Roman" w:eastAsia="Times New Roman" w:hint="default"/>
        </w:rPr>
        <w:t>1</w:t>
      </w:r>
      <w:r>
        <w:rPr/>
        <w:t>）公司已将商品所有权上的主要风险和报酬转移给购买方；</w:t>
      </w:r>
    </w:p>
    <w:p>
      <w:pPr>
        <w:pStyle w:val="BodyText"/>
        <w:spacing w:line="240" w:lineRule="auto" w:before="63"/>
        <w:ind w:left="573" w:right="1133"/>
        <w:jc w:val="left"/>
      </w:pPr>
      <w:r>
        <w:rPr/>
        <w:t>（</w:t>
      </w:r>
      <w:r>
        <w:rPr>
          <w:rFonts w:ascii="Times New Roman" w:hAnsi="Times New Roman" w:cs="Times New Roman" w:eastAsia="Times New Roman" w:hint="default"/>
        </w:rPr>
        <w:t>2</w:t>
      </w:r>
      <w:r>
        <w:rPr/>
        <w:t>）不再保留通常与商品所有权相联系的继续管理权，也没有对已售出的商品实施有效控制；</w:t>
      </w:r>
    </w:p>
    <w:p>
      <w:pPr>
        <w:pStyle w:val="BodyText"/>
        <w:spacing w:line="240" w:lineRule="auto" w:before="63"/>
        <w:ind w:left="573" w:right="1133"/>
        <w:jc w:val="left"/>
      </w:pPr>
      <w:r>
        <w:rPr/>
        <w:t>（</w:t>
      </w:r>
      <w:r>
        <w:rPr>
          <w:rFonts w:ascii="Times New Roman" w:hAnsi="Times New Roman" w:cs="Times New Roman" w:eastAsia="Times New Roman" w:hint="default"/>
        </w:rPr>
        <w:t>3</w:t>
      </w:r>
      <w:r>
        <w:rPr/>
        <w:t>）收入的金额能够可靠地计量；</w:t>
      </w:r>
    </w:p>
    <w:p>
      <w:pPr>
        <w:pStyle w:val="BodyText"/>
        <w:spacing w:line="240" w:lineRule="auto" w:before="63"/>
        <w:ind w:left="573" w:right="1133"/>
        <w:jc w:val="left"/>
      </w:pPr>
      <w:r>
        <w:rPr/>
        <w:t>（</w:t>
      </w:r>
      <w:r>
        <w:rPr>
          <w:rFonts w:ascii="Times New Roman" w:hAnsi="Times New Roman" w:cs="Times New Roman" w:eastAsia="Times New Roman" w:hint="default"/>
        </w:rPr>
        <w:t>4</w:t>
      </w:r>
      <w:r>
        <w:rPr/>
        <w:t>）相关的经济利益很可能流入本公司；</w:t>
      </w:r>
    </w:p>
    <w:p>
      <w:pPr>
        <w:pStyle w:val="BodyText"/>
        <w:spacing w:line="240" w:lineRule="auto" w:before="63"/>
        <w:ind w:left="573" w:right="1133"/>
        <w:jc w:val="left"/>
      </w:pPr>
      <w:r>
        <w:rPr/>
        <w:t>（</w:t>
      </w:r>
      <w:r>
        <w:rPr>
          <w:rFonts w:ascii="Times New Roman" w:hAnsi="Times New Roman" w:cs="Times New Roman" w:eastAsia="Times New Roman" w:hint="default"/>
        </w:rPr>
        <w:t>5</w:t>
      </w:r>
      <w:r>
        <w:rPr/>
        <w:t>）相关的已发生或将发生的成本能够可靠地计量。</w:t>
      </w:r>
    </w:p>
    <w:p>
      <w:pPr>
        <w:pStyle w:val="BodyText"/>
        <w:spacing w:line="240" w:lineRule="auto" w:before="63"/>
        <w:ind w:left="573" w:right="1133"/>
        <w:jc w:val="left"/>
      </w:pPr>
      <w:r>
        <w:rPr>
          <w:rFonts w:ascii="Times New Roman" w:hAnsi="Times New Roman" w:cs="Times New Roman" w:eastAsia="Times New Roman" w:hint="default"/>
        </w:rPr>
        <w:t>2</w:t>
      </w:r>
      <w:r>
        <w:rPr/>
        <w:t>、本公司对外提供劳务时，按以下方法确定收入：</w:t>
      </w:r>
    </w:p>
    <w:p>
      <w:pPr>
        <w:pStyle w:val="BodyText"/>
        <w:spacing w:line="300" w:lineRule="auto" w:before="63"/>
        <w:ind w:left="573" w:right="1783"/>
        <w:jc w:val="left"/>
      </w:pPr>
      <w:r>
        <w:rPr/>
        <w:t>（</w:t>
      </w:r>
      <w:r>
        <w:rPr>
          <w:rFonts w:ascii="Times New Roman" w:hAnsi="Times New Roman" w:cs="Times New Roman" w:eastAsia="Times New Roman" w:hint="default"/>
        </w:rPr>
        <w:t>1</w:t>
      </w:r>
      <w:r>
        <w:rPr/>
        <w:t>）在提供劳务交易的结果能够可靠估计的情况下，于资产负债表日按完工百分比法确认相关的劳务收入； 提供劳务交易的结果能够可靠估计，是指同时满足下列条件：</w:t>
      </w:r>
    </w:p>
    <w:p>
      <w:pPr>
        <w:pStyle w:val="BodyText"/>
        <w:spacing w:line="240" w:lineRule="auto" w:before="31"/>
        <w:ind w:left="573" w:right="1133"/>
        <w:jc w:val="left"/>
      </w:pPr>
      <w:r>
        <w:rPr/>
        <w:t>①收入的金额能够可靠地计量；</w:t>
      </w:r>
    </w:p>
    <w:p>
      <w:pPr>
        <w:pStyle w:val="BodyText"/>
        <w:spacing w:line="240" w:lineRule="auto" w:before="76"/>
        <w:ind w:left="573" w:right="1133"/>
        <w:jc w:val="left"/>
      </w:pPr>
      <w:r>
        <w:rPr/>
        <w:t>②相关的经济利益很可能流入本公司；</w:t>
      </w:r>
    </w:p>
    <w:p>
      <w:pPr>
        <w:pStyle w:val="BodyText"/>
        <w:spacing w:line="240" w:lineRule="auto" w:before="76"/>
        <w:ind w:left="573" w:right="1133"/>
        <w:jc w:val="left"/>
      </w:pPr>
      <w:r>
        <w:rPr/>
        <w:t>③交易的完工进度能够可靠地确定；</w:t>
      </w:r>
    </w:p>
    <w:p>
      <w:pPr>
        <w:pStyle w:val="BodyText"/>
        <w:spacing w:line="316" w:lineRule="auto" w:before="76"/>
        <w:ind w:left="573" w:right="6013"/>
        <w:jc w:val="left"/>
      </w:pPr>
      <w:r>
        <w:rPr/>
        <w:t>④交易中已发生和将发生的成本能够可靠地计量。 本公司确定提供劳务交易的完工进度时选用下列方法：</w:t>
      </w:r>
    </w:p>
    <w:p>
      <w:pPr>
        <w:pStyle w:val="BodyText"/>
        <w:spacing w:line="240" w:lineRule="auto" w:before="19"/>
        <w:ind w:left="573" w:right="1133"/>
        <w:jc w:val="left"/>
      </w:pPr>
      <w:r>
        <w:rPr/>
        <w:t>①已完工作的测量；</w:t>
      </w:r>
    </w:p>
    <w:p>
      <w:pPr>
        <w:pStyle w:val="BodyText"/>
        <w:spacing w:line="240" w:lineRule="auto" w:before="77"/>
        <w:ind w:left="573" w:right="1133"/>
        <w:jc w:val="left"/>
      </w:pPr>
      <w:r>
        <w:rPr/>
        <w:t>②已经提供的劳务占应提供劳务总量的比例；</w:t>
      </w:r>
    </w:p>
    <w:p>
      <w:pPr>
        <w:pStyle w:val="BodyText"/>
        <w:spacing w:line="240" w:lineRule="auto" w:before="76"/>
        <w:ind w:left="573" w:right="1133"/>
        <w:jc w:val="left"/>
      </w:pPr>
      <w:r>
        <w:rPr/>
        <w:t>③已经发生的成本占估计总成本的比例。</w:t>
      </w:r>
    </w:p>
    <w:p>
      <w:pPr>
        <w:pStyle w:val="BodyText"/>
        <w:spacing w:line="300" w:lineRule="auto" w:before="76"/>
        <w:ind w:right="1116" w:firstLine="420"/>
        <w:jc w:val="left"/>
      </w:pPr>
      <w:r>
        <w:rPr>
          <w:spacing w:val="-1"/>
        </w:rPr>
        <w:t>（</w:t>
      </w:r>
      <w:r>
        <w:rPr>
          <w:rFonts w:ascii="Times New Roman" w:hAnsi="Times New Roman" w:cs="Times New Roman" w:eastAsia="Times New Roman" w:hint="default"/>
          <w:spacing w:val="-1"/>
        </w:rPr>
        <w:t>2</w:t>
      </w:r>
      <w:r>
        <w:rPr>
          <w:spacing w:val="-1"/>
        </w:rPr>
        <w:t>）在提供劳务交易的结果不能可靠估计的情况下，于资产负债表日按已经发生并预计能够补偿的劳务成本金额确认</w:t>
      </w:r>
      <w:r>
        <w:rPr/>
        <w:t> 收入，并按相同金额结转成本；</w:t>
      </w:r>
    </w:p>
    <w:p>
      <w:pPr>
        <w:pStyle w:val="BodyText"/>
        <w:spacing w:line="240" w:lineRule="auto" w:before="31"/>
        <w:ind w:left="573" w:right="1133"/>
        <w:jc w:val="left"/>
      </w:pPr>
      <w:r>
        <w:rPr/>
        <w:t>如预计已经发生的劳务成本不能得到补偿，则将已经发生的劳务成本计入当期损益，不确认提供劳务收入。</w:t>
      </w:r>
    </w:p>
    <w:p>
      <w:pPr>
        <w:pStyle w:val="BodyText"/>
        <w:spacing w:line="300" w:lineRule="auto" w:before="76"/>
        <w:ind w:right="1133" w:firstLine="420"/>
        <w:jc w:val="left"/>
      </w:pPr>
      <w:r>
        <w:rPr>
          <w:rFonts w:ascii="Times New Roman" w:hAnsi="Times New Roman" w:cs="Times New Roman" w:eastAsia="Times New Roman" w:hint="default"/>
          <w:spacing w:val="-2"/>
        </w:rPr>
        <w:t>3</w:t>
      </w:r>
      <w:r>
        <w:rPr>
          <w:spacing w:val="-2"/>
        </w:rPr>
        <w:t>、让渡资产使用权：公司预计相关的经济利益很可能流入本公司、收入的金额能够可靠地计量时，按有关合同或协议</w:t>
      </w:r>
      <w:r>
        <w:rPr/>
        <w:t> 规定的收费时间和方法计算确定。</w:t>
      </w:r>
    </w:p>
    <w:p>
      <w:pPr>
        <w:pStyle w:val="BodyText"/>
        <w:spacing w:line="300" w:lineRule="auto" w:before="31"/>
        <w:ind w:left="573" w:right="5113"/>
        <w:jc w:val="left"/>
      </w:pPr>
      <w:r>
        <w:rPr>
          <w:rFonts w:ascii="Times New Roman" w:hAnsi="Times New Roman" w:cs="Times New Roman" w:eastAsia="Times New Roman" w:hint="default"/>
        </w:rPr>
        <w:t>4</w:t>
      </w:r>
      <w:r>
        <w:rPr/>
        <w:t>、本公司收入具体确认标准： 本公司业务分为芯片产品销售、技术服务、商品销售及房屋出租。</w:t>
      </w:r>
    </w:p>
    <w:p>
      <w:pPr>
        <w:pStyle w:val="BodyText"/>
        <w:spacing w:line="240" w:lineRule="auto" w:before="31"/>
        <w:ind w:left="426" w:right="1133"/>
        <w:jc w:val="left"/>
      </w:pPr>
      <w:r>
        <w:rPr/>
        <w:t>（</w:t>
      </w:r>
      <w:r>
        <w:rPr>
          <w:rFonts w:ascii="Times New Roman" w:hAnsi="Times New Roman" w:cs="Times New Roman" w:eastAsia="Times New Roman" w:hint="default"/>
        </w:rPr>
        <w:t>1</w:t>
      </w:r>
      <w:r>
        <w:rPr/>
        <w:t>）芯片产品销售及商品销售：在货物发出后取得客户签收、验收资料时确认收入；</w:t>
      </w:r>
    </w:p>
    <w:p>
      <w:pPr>
        <w:pStyle w:val="BodyText"/>
        <w:spacing w:line="240" w:lineRule="auto" w:before="63"/>
        <w:ind w:left="406" w:right="7150"/>
        <w:jc w:val="center"/>
      </w:pPr>
      <w:r>
        <w:rPr/>
        <w:t>（</w:t>
      </w:r>
      <w:r>
        <w:rPr>
          <w:rFonts w:ascii="Times New Roman" w:hAnsi="Times New Roman" w:cs="Times New Roman" w:eastAsia="Times New Roman" w:hint="default"/>
        </w:rPr>
        <w:t>2</w:t>
      </w:r>
      <w:r>
        <w:rPr/>
        <w:t>）技术服务：在服务完成时确认收入；</w:t>
      </w:r>
    </w:p>
    <w:p>
      <w:pPr>
        <w:pStyle w:val="BodyText"/>
        <w:spacing w:line="240" w:lineRule="auto" w:before="63"/>
        <w:ind w:left="406" w:right="7150"/>
        <w:jc w:val="center"/>
      </w:pPr>
      <w:r>
        <w:rPr/>
        <w:t>（</w:t>
      </w:r>
      <w:r>
        <w:rPr>
          <w:rFonts w:ascii="Times New Roman" w:hAnsi="Times New Roman" w:cs="Times New Roman" w:eastAsia="Times New Roman" w:hint="default"/>
        </w:rPr>
        <w:t>3</w:t>
      </w:r>
      <w:r>
        <w:rPr/>
        <w:t>）房屋出租：按租赁期分月确认收入。</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40</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left="573" w:right="1133"/>
        <w:jc w:val="left"/>
      </w:pPr>
      <w:r>
        <w:rPr/>
        <w:t>公司取得的、用于购建或以其他方式形成长期资产的政府补助作为与资产相关的政府补助。 与资产相关的政府补助，确认为递延收益，并在相关资产使用寿命内按照合理、系统的方法分期计入损益。按照名义</w:t>
      </w:r>
    </w:p>
    <w:p>
      <w:pPr>
        <w:pStyle w:val="BodyText"/>
        <w:spacing w:line="222" w:lineRule="exact"/>
        <w:ind w:right="1133"/>
        <w:jc w:val="left"/>
      </w:pPr>
      <w:r>
        <w:rPr/>
        <w:t>金额计量的政府补助，直接计入当期损益。</w:t>
      </w:r>
    </w:p>
    <w:p>
      <w:pPr>
        <w:pStyle w:val="BodyText"/>
        <w:spacing w:line="319" w:lineRule="auto" w:before="115"/>
        <w:ind w:right="1133" w:firstLine="420"/>
        <w:jc w:val="left"/>
      </w:pPr>
      <w:r>
        <w:rPr/>
        <w:t>相关资产在使用寿命结束前被出售、转让、报废或发生毁损的，将尚未分配的相关递延收益余额转入资产处置当期的 损益。</w:t>
      </w:r>
    </w:p>
    <w:p>
      <w:pPr>
        <w:spacing w:after="0" w:line="319" w:lineRule="auto"/>
        <w:jc w:val="left"/>
        <w:sectPr>
          <w:pgSz w:w="11910" w:h="16840"/>
          <w:pgMar w:header="877" w:footer="979" w:top="1100" w:bottom="1160" w:left="980" w:right="0"/>
        </w:sectPr>
      </w:pPr>
    </w:p>
    <w:p>
      <w:pPr>
        <w:spacing w:line="240" w:lineRule="auto" w:before="1"/>
        <w:rPr>
          <w:rFonts w:ascii="宋体" w:hAnsi="宋体" w:cs="宋体" w:eastAsia="宋体" w:hint="default"/>
          <w:sz w:val="21"/>
          <w:szCs w:val="21"/>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2"/>
          <w:szCs w:val="22"/>
        </w:rPr>
      </w:pPr>
    </w:p>
    <w:p>
      <w:pPr>
        <w:pStyle w:val="BodyText"/>
        <w:spacing w:line="360" w:lineRule="auto" w:before="44"/>
        <w:ind w:left="513" w:right="1033"/>
        <w:jc w:val="left"/>
      </w:pPr>
      <w:r>
        <w:rPr/>
        <w:t>公司取得的与资产相关之外的其他政府补助作为与收益相关的政府补助。与收益相关的政府补助，分别下列情况处理： </w:t>
      </w:r>
      <w:r>
        <w:rPr>
          <w:spacing w:val="-2"/>
        </w:rPr>
        <w:t>用于补偿公司以后期间的相关成本费用或损失的，确认为递延收益，并在确认相关成本费用或损失的期间，计入当期损</w:t>
      </w:r>
    </w:p>
    <w:p>
      <w:pPr>
        <w:pStyle w:val="BodyText"/>
        <w:spacing w:line="222" w:lineRule="exact"/>
        <w:ind w:right="1133"/>
        <w:jc w:val="left"/>
      </w:pPr>
      <w:r>
        <w:rPr/>
        <w:t>益。</w:t>
      </w:r>
    </w:p>
    <w:p>
      <w:pPr>
        <w:pStyle w:val="BodyText"/>
        <w:spacing w:line="360" w:lineRule="auto" w:before="115"/>
        <w:ind w:left="513" w:right="1118"/>
        <w:jc w:val="left"/>
      </w:pPr>
      <w:r>
        <w:rPr/>
        <w:t>用于补偿公司已发生的相关成本费用或损失的，直接计入当期损益。 </w:t>
      </w:r>
      <w:r>
        <w:rPr>
          <w:spacing w:val="-2"/>
        </w:rPr>
        <w:t>对于同时包含与资产相关部分和与收益相关部分的政府补助，区分不同部分分别进行会计处理；难以区分的，整体归类</w:t>
      </w:r>
    </w:p>
    <w:p>
      <w:pPr>
        <w:pStyle w:val="BodyText"/>
        <w:spacing w:line="222" w:lineRule="exact"/>
        <w:ind w:right="1133"/>
        <w:jc w:val="left"/>
      </w:pPr>
      <w:r>
        <w:rPr/>
        <w:t>为与收益相关的政府补助。</w:t>
      </w:r>
    </w:p>
    <w:p>
      <w:pPr>
        <w:pStyle w:val="BodyText"/>
        <w:spacing w:line="240" w:lineRule="auto" w:before="117"/>
        <w:ind w:left="513" w:right="986"/>
        <w:jc w:val="left"/>
      </w:pPr>
      <w:r>
        <w:rPr/>
        <w:t>与公司日常活动相关的政府补助，按照经济业务实质，计入其他收益。与公司日常活动无关的政府补助，计入营业外收</w:t>
      </w:r>
    </w:p>
    <w:p>
      <w:pPr>
        <w:pStyle w:val="BodyText"/>
        <w:spacing w:line="240" w:lineRule="auto" w:before="76"/>
        <w:ind w:right="1133"/>
        <w:jc w:val="left"/>
      </w:pPr>
      <w:r>
        <w:rPr/>
        <w:t>支。</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41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31" w:firstLine="360"/>
        <w:jc w:val="both"/>
      </w:pPr>
      <w:r>
        <w:rPr>
          <w:spacing w:val="-1"/>
        </w:rPr>
        <w:t>递延所得税资产和递延所得税负债根据资产和负债的计税基础与其账面价值的差额</w:t>
      </w:r>
      <w:r>
        <w:rPr>
          <w:rFonts w:ascii="Times New Roman" w:hAnsi="Times New Roman" w:cs="Times New Roman" w:eastAsia="Times New Roman" w:hint="default"/>
          <w:spacing w:val="-1"/>
        </w:rPr>
        <w:t>(</w:t>
      </w:r>
      <w:r>
        <w:rPr>
          <w:spacing w:val="-1"/>
        </w:rPr>
        <w:t>暂时性差异</w:t>
      </w:r>
      <w:r>
        <w:rPr>
          <w:rFonts w:ascii="Times New Roman" w:hAnsi="Times New Roman" w:cs="Times New Roman" w:eastAsia="Times New Roman" w:hint="default"/>
          <w:spacing w:val="-1"/>
        </w:rPr>
        <w:t>)</w:t>
      </w:r>
      <w:r>
        <w:rPr>
          <w:spacing w:val="-1"/>
        </w:rPr>
        <w:t>计算确认。对于按照税</w:t>
      </w:r>
      <w:r>
        <w:rPr/>
        <w:t> 法规定能够于以后年度抵减应纳税所得额的可抵扣亏损，视同暂时性差异确认相应的递延所得税资产。</w:t>
      </w:r>
    </w:p>
    <w:p>
      <w:pPr>
        <w:pStyle w:val="BodyText"/>
        <w:spacing w:line="309" w:lineRule="auto" w:before="72"/>
        <w:ind w:right="1044" w:firstLine="360"/>
        <w:jc w:val="both"/>
      </w:pPr>
      <w:r>
        <w:rPr>
          <w:spacing w:val="-2"/>
        </w:rPr>
        <w:t>对于商誉的初始确认产生的暂时性差异，不确认相应的递延所得税负债。对于既不影响会计利润也不影响应纳税所得额</w:t>
      </w:r>
      <w:r>
        <w:rPr/>
        <w:t> </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的非企业合并的交易中产生的资产或负债的初始确认形成的暂时性差异，不确认相应的递延所得税资产和递 </w:t>
      </w:r>
      <w:r>
        <w:rPr>
          <w:spacing w:val="-4"/>
        </w:rPr>
        <w:t>延所得税负债。在资产负债表日，递延所得税资产和递延所得税负债按照预期收回该资产或清偿该负债期间的适用税率计量。</w:t>
      </w:r>
    </w:p>
    <w:p>
      <w:pPr>
        <w:pStyle w:val="BodyText"/>
        <w:spacing w:line="319" w:lineRule="auto" w:before="65"/>
        <w:ind w:right="1132" w:firstLine="360"/>
        <w:jc w:val="both"/>
      </w:pPr>
      <w:r>
        <w:rPr>
          <w:spacing w:val="-2"/>
        </w:rPr>
        <w:t>递延所得税资产的确认以公司很可能取得用来抵扣可抵扣暂时性差异、可抵扣亏损和税款抵减的应纳税所得额为限。对</w:t>
      </w:r>
      <w:r>
        <w:rPr/>
        <w:t> </w:t>
      </w:r>
      <w:r>
        <w:rPr>
          <w:spacing w:val="-2"/>
        </w:rPr>
        <w:t>子公司及联营企业投资相关的暂时性差异产生的递延所得税资产和递延所得税负债，予以确认。但公司能够控制暂时性差异</w:t>
      </w:r>
      <w:r>
        <w:rPr>
          <w:spacing w:val="-64"/>
        </w:rPr>
        <w:t> </w:t>
      </w:r>
      <w:r>
        <w:rPr>
          <w:spacing w:val="-64"/>
        </w:rPr>
      </w:r>
      <w:r>
        <w:rPr/>
        <w:t>转回的时间且该暂时性差异在可预见的未来很可能不会转回的，不予确认。</w:t>
      </w:r>
    </w:p>
    <w:p>
      <w:pPr>
        <w:spacing w:line="240" w:lineRule="auto" w:before="6"/>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42</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经营租赁的租金在租赁期内的各个期间按直线法计入相关资产成本或当期损益。</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32" w:firstLine="360"/>
        <w:jc w:val="both"/>
      </w:pPr>
      <w:r>
        <w:rPr>
          <w:spacing w:val="-2"/>
        </w:rPr>
        <w:t>在租赁期开始日，公司将租赁开始日租赁资产公允价值与最低租赁付款额现值中较低者作为租入资产的入账价值，将最</w:t>
      </w:r>
      <w:r>
        <w:rPr/>
        <w:t> 低租赁付款额作为长期应付款的入账价值，其差额作为未确认融资费用。</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43</w:t>
      </w:r>
      <w:r>
        <w:rPr/>
        <w:t>、其他重要的会计政策和会计估计</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left="513" w:right="1393"/>
        <w:jc w:val="left"/>
      </w:pPr>
      <w:r>
        <w:rPr/>
        <w:t>终止经营 终止经营，是指满足下列条件之一的、能够单独区分的组成部分，且该组成部分已经处置或划分为持有待售类别： </w:t>
      </w:r>
      <w:r>
        <w:rPr>
          <w:rFonts w:ascii="Times New Roman" w:hAnsi="Times New Roman" w:cs="Times New Roman" w:eastAsia="Times New Roman" w:hint="default"/>
        </w:rPr>
        <w:t>1</w:t>
      </w:r>
      <w:r>
        <w:rPr/>
        <w:t>、该组成部分代表一项独立的主要业务或一个单独的主要经营地区；</w:t>
      </w:r>
    </w:p>
    <w:p>
      <w:pPr>
        <w:pStyle w:val="BodyText"/>
        <w:spacing w:line="240" w:lineRule="auto" w:before="6"/>
        <w:ind w:left="513" w:right="1133"/>
        <w:jc w:val="left"/>
      </w:pPr>
      <w:r>
        <w:rPr>
          <w:rFonts w:ascii="Times New Roman" w:hAnsi="Times New Roman" w:cs="Times New Roman" w:eastAsia="Times New Roman" w:hint="default"/>
        </w:rPr>
        <w:t>2</w:t>
      </w:r>
      <w:r>
        <w:rPr/>
        <w:t>、该组成部分是拟对一项独立的主要业务或一个单独的主要经营地区进行处置的一项相关联计划的一部分；</w:t>
      </w:r>
    </w:p>
    <w:p>
      <w:pPr>
        <w:pStyle w:val="BodyText"/>
        <w:spacing w:line="340" w:lineRule="auto" w:before="101"/>
        <w:ind w:left="513" w:right="6883"/>
        <w:jc w:val="left"/>
      </w:pPr>
      <w:r>
        <w:rPr>
          <w:rFonts w:ascii="Times New Roman" w:hAnsi="Times New Roman" w:cs="Times New Roman" w:eastAsia="Times New Roman" w:hint="default"/>
        </w:rPr>
        <w:t>3</w:t>
      </w:r>
      <w:r>
        <w:rPr/>
        <w:t>、该组成部分是专为转售而取得的子公司。 符合持有待售的资产的会计处理见第</w:t>
      </w:r>
      <w:r>
        <w:rPr>
          <w:rFonts w:ascii="Times New Roman" w:hAnsi="Times New Roman" w:cs="Times New Roman" w:eastAsia="Times New Roman" w:hint="default"/>
        </w:rPr>
        <w:t>13</w:t>
      </w:r>
      <w:r>
        <w:rPr/>
        <w:t>条。 附回购条件的资产转让</w:t>
      </w:r>
    </w:p>
    <w:p>
      <w:pPr>
        <w:pStyle w:val="BodyText"/>
        <w:spacing w:line="240" w:lineRule="auto" w:before="39"/>
        <w:ind w:left="513" w:right="986"/>
        <w:jc w:val="left"/>
      </w:pPr>
      <w:r>
        <w:rPr/>
        <w:t>对于附回购条件的资产转让，如果未将资产所有权上的主要风险和报酬转移给购买方，不应当确认销售收入，也不应当</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60" w:lineRule="auto" w:before="44"/>
        <w:ind w:left="513" w:right="8774" w:hanging="361"/>
        <w:jc w:val="left"/>
      </w:pPr>
      <w:r>
        <w:rPr/>
        <w:t>终止确认所出售的资产。 关联方</w:t>
      </w:r>
    </w:p>
    <w:p>
      <w:pPr>
        <w:pStyle w:val="BodyText"/>
        <w:spacing w:line="316" w:lineRule="auto" w:before="25"/>
        <w:ind w:right="1118" w:firstLine="360"/>
        <w:jc w:val="left"/>
      </w:pPr>
      <w:r>
        <w:rPr>
          <w:spacing w:val="-2"/>
        </w:rPr>
        <w:t>一方控制、共同控制另一方或对另一方施加重大影响，以及两方或两方以上同受一方控制、共同控制的，构成本公司的</w:t>
      </w:r>
      <w:r>
        <w:rPr/>
        <w:t> 关联方。关联方可为个人或企业。仅仅同受国家控制而不存在其他关联方关系的企业，不构成的关联方。</w:t>
      </w:r>
    </w:p>
    <w:p>
      <w:pPr>
        <w:pStyle w:val="BodyText"/>
        <w:spacing w:line="240" w:lineRule="auto" w:before="59"/>
        <w:ind w:left="513" w:right="1133"/>
        <w:jc w:val="left"/>
      </w:pPr>
      <w:r>
        <w:rPr/>
        <w:t>本公司关联方包括但不限于：</w:t>
      </w:r>
    </w:p>
    <w:p>
      <w:pPr>
        <w:pStyle w:val="BodyText"/>
        <w:spacing w:line="240" w:lineRule="auto" w:before="117"/>
        <w:ind w:left="513" w:right="1133"/>
        <w:jc w:val="left"/>
      </w:pPr>
      <w:r>
        <w:rPr>
          <w:rFonts w:ascii="Times New Roman" w:hAnsi="Times New Roman" w:cs="Times New Roman" w:eastAsia="Times New Roman" w:hint="default"/>
        </w:rPr>
        <w:t>1</w:t>
      </w:r>
      <w:r>
        <w:rPr/>
        <w:t>、母公司；</w:t>
      </w:r>
    </w:p>
    <w:p>
      <w:pPr>
        <w:pStyle w:val="BodyText"/>
        <w:spacing w:line="240" w:lineRule="auto" w:before="101"/>
        <w:ind w:left="513" w:right="1133"/>
        <w:jc w:val="left"/>
      </w:pPr>
      <w:r>
        <w:rPr>
          <w:rFonts w:ascii="Times New Roman" w:hAnsi="Times New Roman" w:cs="Times New Roman" w:eastAsia="Times New Roman" w:hint="default"/>
        </w:rPr>
        <w:t>2</w:t>
      </w:r>
      <w:r>
        <w:rPr/>
        <w:t>、子公司；</w:t>
      </w:r>
    </w:p>
    <w:p>
      <w:pPr>
        <w:pStyle w:val="BodyText"/>
        <w:spacing w:line="240" w:lineRule="auto" w:before="103"/>
        <w:ind w:left="513" w:right="1133"/>
        <w:jc w:val="left"/>
      </w:pPr>
      <w:r>
        <w:rPr>
          <w:rFonts w:ascii="Times New Roman" w:hAnsi="Times New Roman" w:cs="Times New Roman" w:eastAsia="Times New Roman" w:hint="default"/>
        </w:rPr>
        <w:t>3</w:t>
      </w:r>
      <w:r>
        <w:rPr/>
        <w:t>、受同一母公司控制的其他企业；</w:t>
      </w:r>
    </w:p>
    <w:p>
      <w:pPr>
        <w:pStyle w:val="BodyText"/>
        <w:spacing w:line="240" w:lineRule="auto" w:before="103"/>
        <w:ind w:left="513" w:right="1133"/>
        <w:jc w:val="left"/>
      </w:pPr>
      <w:r>
        <w:rPr>
          <w:rFonts w:ascii="Times New Roman" w:hAnsi="Times New Roman" w:cs="Times New Roman" w:eastAsia="Times New Roman" w:hint="default"/>
        </w:rPr>
        <w:t>4</w:t>
      </w:r>
      <w:r>
        <w:rPr/>
        <w:t>、实施共同控制的投资方；</w:t>
      </w:r>
    </w:p>
    <w:p>
      <w:pPr>
        <w:pStyle w:val="BodyText"/>
        <w:spacing w:line="240" w:lineRule="auto" w:before="101"/>
        <w:ind w:left="513" w:right="1133"/>
        <w:jc w:val="left"/>
      </w:pPr>
      <w:r>
        <w:rPr>
          <w:rFonts w:ascii="Times New Roman" w:hAnsi="Times New Roman" w:cs="Times New Roman" w:eastAsia="Times New Roman" w:hint="default"/>
        </w:rPr>
        <w:t>5</w:t>
      </w:r>
      <w:r>
        <w:rPr/>
        <w:t>、施加重大影响的投资方；</w:t>
      </w:r>
    </w:p>
    <w:p>
      <w:pPr>
        <w:pStyle w:val="BodyText"/>
        <w:spacing w:line="240" w:lineRule="auto" w:before="104"/>
        <w:ind w:left="513" w:right="1133"/>
        <w:jc w:val="left"/>
      </w:pPr>
      <w:r>
        <w:rPr>
          <w:rFonts w:ascii="Times New Roman" w:hAnsi="Times New Roman" w:cs="Times New Roman" w:eastAsia="Times New Roman" w:hint="default"/>
        </w:rPr>
        <w:t>6</w:t>
      </w:r>
      <w:r>
        <w:rPr/>
        <w:t>、合营企业，包括合营企业的子公司；</w:t>
      </w:r>
    </w:p>
    <w:p>
      <w:pPr>
        <w:pStyle w:val="BodyText"/>
        <w:spacing w:line="240" w:lineRule="auto" w:before="103"/>
        <w:ind w:left="513" w:right="1133"/>
        <w:jc w:val="left"/>
      </w:pPr>
      <w:r>
        <w:rPr>
          <w:rFonts w:ascii="Times New Roman" w:hAnsi="Times New Roman" w:cs="Times New Roman" w:eastAsia="Times New Roman" w:hint="default"/>
        </w:rPr>
        <w:t>7</w:t>
      </w:r>
      <w:r>
        <w:rPr/>
        <w:t>、联营企业，包括联营企业的子公司；</w:t>
      </w:r>
    </w:p>
    <w:p>
      <w:pPr>
        <w:pStyle w:val="BodyText"/>
        <w:spacing w:line="240" w:lineRule="auto" w:before="101"/>
        <w:ind w:left="513" w:right="1133"/>
        <w:jc w:val="left"/>
      </w:pPr>
      <w:r>
        <w:rPr>
          <w:rFonts w:ascii="Times New Roman" w:hAnsi="Times New Roman" w:cs="Times New Roman" w:eastAsia="Times New Roman" w:hint="default"/>
        </w:rPr>
        <w:t>8</w:t>
      </w:r>
      <w:r>
        <w:rPr/>
        <w:t>、主要投资者个人及与其关系密切的家庭成员</w:t>
      </w:r>
      <w:r>
        <w:rPr>
          <w:spacing w:val="-17"/>
        </w:rPr>
        <w:t> </w:t>
      </w:r>
      <w:r>
        <w:rPr/>
        <w:t>；</w:t>
      </w:r>
    </w:p>
    <w:p>
      <w:pPr>
        <w:pStyle w:val="BodyText"/>
        <w:spacing w:line="240" w:lineRule="auto" w:before="103"/>
        <w:ind w:left="513" w:right="1133"/>
        <w:jc w:val="left"/>
      </w:pPr>
      <w:r>
        <w:rPr>
          <w:rFonts w:ascii="Times New Roman" w:hAnsi="Times New Roman" w:cs="Times New Roman" w:eastAsia="Times New Roman" w:hint="default"/>
        </w:rPr>
        <w:t>9</w:t>
      </w:r>
      <w:r>
        <w:rPr/>
        <w:t>、本公司或其母公司的关键管理人员及与其关系密切的家庭成员；</w:t>
      </w:r>
    </w:p>
    <w:p>
      <w:pPr>
        <w:pStyle w:val="BodyText"/>
        <w:spacing w:line="338" w:lineRule="auto" w:before="103"/>
        <w:ind w:left="513" w:right="1033"/>
        <w:jc w:val="left"/>
      </w:pPr>
      <w:r>
        <w:rPr>
          <w:rFonts w:ascii="Times New Roman" w:hAnsi="Times New Roman" w:cs="Times New Roman" w:eastAsia="Times New Roman" w:hint="default"/>
        </w:rPr>
        <w:t>10</w:t>
      </w:r>
      <w:r>
        <w:rPr/>
        <w:t>、本公司主要投资者个人、关键管理人员或与其关系密切的家庭成员控制、共同控制的其他企业。 除上述按照企业会计准则的有关要求被确定为本公司的关联方以外，根据证监会颁布的《上市公司信息披露管理办法》</w:t>
      </w:r>
    </w:p>
    <w:p>
      <w:pPr>
        <w:pStyle w:val="BodyText"/>
        <w:spacing w:line="240" w:lineRule="auto" w:before="2"/>
        <w:ind w:right="1133"/>
        <w:jc w:val="left"/>
      </w:pPr>
      <w:r>
        <w:rPr/>
        <w:t>的要求，以下企业或个人 </w:t>
      </w:r>
      <w:r>
        <w:rPr>
          <w:rFonts w:ascii="Times New Roman" w:hAnsi="Times New Roman" w:cs="Times New Roman" w:eastAsia="Times New Roman" w:hint="default"/>
        </w:rPr>
        <w:t>(</w:t>
      </w:r>
      <w:r>
        <w:rPr/>
        <w:t>包括但不限于</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t>也属于本公司的关联方：</w:t>
      </w:r>
    </w:p>
    <w:p>
      <w:pPr>
        <w:pStyle w:val="BodyText"/>
        <w:spacing w:line="240" w:lineRule="auto" w:before="103"/>
        <w:ind w:left="513" w:right="1133"/>
        <w:jc w:val="left"/>
      </w:pPr>
      <w:r>
        <w:rPr>
          <w:rFonts w:ascii="Times New Roman" w:hAnsi="Times New Roman" w:cs="Times New Roman" w:eastAsia="Times New Roman" w:hint="default"/>
        </w:rPr>
        <w:t>11</w:t>
      </w:r>
      <w:r>
        <w:rPr/>
        <w:t>、持有本公司</w:t>
      </w:r>
      <w:r>
        <w:rPr>
          <w:rFonts w:ascii="Times New Roman" w:hAnsi="Times New Roman" w:cs="Times New Roman" w:eastAsia="Times New Roman" w:hint="default"/>
        </w:rPr>
        <w:t>5%</w:t>
      </w:r>
      <w:r>
        <w:rPr>
          <w:rFonts w:ascii="Times New Roman" w:hAnsi="Times New Roman" w:cs="Times New Roman" w:eastAsia="Times New Roman" w:hint="default"/>
          <w:spacing w:val="24"/>
        </w:rPr>
        <w:t> </w:t>
      </w:r>
      <w:r>
        <w:rPr/>
        <w:t>以上股份的企业或者一致行动人；</w:t>
      </w:r>
    </w:p>
    <w:p>
      <w:pPr>
        <w:pStyle w:val="BodyText"/>
        <w:spacing w:line="240" w:lineRule="auto" w:before="103"/>
        <w:ind w:left="513" w:right="986"/>
        <w:jc w:val="left"/>
      </w:pPr>
      <w:r>
        <w:rPr>
          <w:rFonts w:ascii="Times New Roman" w:hAnsi="Times New Roman" w:cs="Times New Roman" w:eastAsia="Times New Roman" w:hint="default"/>
        </w:rPr>
        <w:t>12</w:t>
      </w:r>
      <w:r>
        <w:rPr/>
        <w:t>、直接或者间接持有本公司</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以上股份的个人及与其关系密切的家庭成员，上市公司监事及与其关系密切的家庭成</w:t>
      </w:r>
    </w:p>
    <w:p>
      <w:pPr>
        <w:pStyle w:val="BodyText"/>
        <w:spacing w:line="240" w:lineRule="auto" w:before="63"/>
        <w:ind w:right="1133"/>
        <w:jc w:val="left"/>
      </w:pPr>
      <w:r>
        <w:rPr/>
        <w:t>员；</w:t>
      </w:r>
    </w:p>
    <w:p>
      <w:pPr>
        <w:pStyle w:val="BodyText"/>
        <w:spacing w:line="240" w:lineRule="auto" w:before="115"/>
        <w:ind w:left="513" w:right="1133"/>
        <w:jc w:val="left"/>
      </w:pPr>
      <w:r>
        <w:rPr>
          <w:rFonts w:ascii="Times New Roman" w:hAnsi="Times New Roman" w:cs="Times New Roman" w:eastAsia="Times New Roman" w:hint="default"/>
        </w:rPr>
        <w:t>13</w:t>
      </w:r>
      <w:r>
        <w:rPr/>
        <w:t>、在过去</w:t>
      </w:r>
      <w:r>
        <w:rPr>
          <w:rFonts w:ascii="Times New Roman" w:hAnsi="Times New Roman" w:cs="Times New Roman" w:eastAsia="Times New Roman" w:hint="default"/>
        </w:rPr>
        <w:t>12</w:t>
      </w:r>
      <w:r>
        <w:rPr/>
        <w:t>个月内或者根据相关协议安排在未来</w:t>
      </w:r>
      <w:r>
        <w:rPr>
          <w:rFonts w:ascii="Times New Roman" w:hAnsi="Times New Roman" w:cs="Times New Roman" w:eastAsia="Times New Roman" w:hint="default"/>
        </w:rPr>
        <w:t>12</w:t>
      </w:r>
      <w:r>
        <w:rPr/>
        <w:t>月内，存在上述第</w:t>
      </w:r>
      <w:r>
        <w:rPr>
          <w:rFonts w:ascii="Times New Roman" w:hAnsi="Times New Roman" w:cs="Times New Roman" w:eastAsia="Times New Roman" w:hint="default"/>
        </w:rPr>
        <w:t>1</w:t>
      </w:r>
      <w:r>
        <w:rPr/>
        <w:t>、</w:t>
      </w:r>
      <w:r>
        <w:rPr>
          <w:rFonts w:ascii="Times New Roman" w:hAnsi="Times New Roman" w:cs="Times New Roman" w:eastAsia="Times New Roman" w:hint="default"/>
        </w:rPr>
        <w:t>3</w:t>
      </w:r>
      <w:r>
        <w:rPr/>
        <w:t>和</w:t>
      </w:r>
      <w:r>
        <w:rPr>
          <w:rFonts w:ascii="Times New Roman" w:hAnsi="Times New Roman" w:cs="Times New Roman" w:eastAsia="Times New Roman" w:hint="default"/>
        </w:rPr>
        <w:t>11</w:t>
      </w:r>
      <w:r>
        <w:rPr/>
        <w:t>项情形之一的企业；</w:t>
      </w:r>
    </w:p>
    <w:p>
      <w:pPr>
        <w:pStyle w:val="BodyText"/>
        <w:spacing w:line="240" w:lineRule="auto" w:before="103"/>
        <w:ind w:left="513" w:right="1133"/>
        <w:jc w:val="left"/>
      </w:pPr>
      <w:r>
        <w:rPr>
          <w:rFonts w:ascii="Times New Roman" w:hAnsi="Times New Roman" w:cs="Times New Roman" w:eastAsia="Times New Roman" w:hint="default"/>
        </w:rPr>
        <w:t>14</w:t>
      </w:r>
      <w:r>
        <w:rPr/>
        <w:t>、在过去</w:t>
      </w:r>
      <w:r>
        <w:rPr>
          <w:rFonts w:ascii="Times New Roman" w:hAnsi="Times New Roman" w:cs="Times New Roman" w:eastAsia="Times New Roman" w:hint="default"/>
        </w:rPr>
        <w:t>12</w:t>
      </w:r>
      <w:r>
        <w:rPr/>
        <w:t>个月内或者根据相关协议安排在未来</w:t>
      </w:r>
      <w:r>
        <w:rPr>
          <w:rFonts w:ascii="Times New Roman" w:hAnsi="Times New Roman" w:cs="Times New Roman" w:eastAsia="Times New Roman" w:hint="default"/>
        </w:rPr>
        <w:t>12</w:t>
      </w:r>
      <w:r>
        <w:rPr/>
        <w:t>月内，存在上述第</w:t>
      </w:r>
      <w:r>
        <w:rPr>
          <w:rFonts w:ascii="Times New Roman" w:hAnsi="Times New Roman" w:cs="Times New Roman" w:eastAsia="Times New Roman" w:hint="default"/>
        </w:rPr>
        <w:t>9</w:t>
      </w:r>
      <w:r>
        <w:rPr/>
        <w:t>、</w:t>
      </w:r>
      <w:r>
        <w:rPr>
          <w:rFonts w:ascii="Times New Roman" w:hAnsi="Times New Roman" w:cs="Times New Roman" w:eastAsia="Times New Roman" w:hint="default"/>
        </w:rPr>
        <w:t>12</w:t>
      </w:r>
      <w:r>
        <w:rPr/>
        <w:t>项情形之一的个人；</w:t>
      </w:r>
    </w:p>
    <w:p>
      <w:pPr>
        <w:pStyle w:val="BodyText"/>
        <w:spacing w:line="240" w:lineRule="auto" w:before="103"/>
        <w:ind w:left="513" w:right="986"/>
        <w:jc w:val="left"/>
      </w:pPr>
      <w:r>
        <w:rPr>
          <w:rFonts w:ascii="Times New Roman" w:hAnsi="Times New Roman" w:cs="Times New Roman" w:eastAsia="Times New Roman" w:hint="default"/>
        </w:rPr>
        <w:t>15</w:t>
      </w:r>
      <w:r>
        <w:rPr/>
        <w:t>、由上述第</w:t>
      </w:r>
      <w:r>
        <w:rPr>
          <w:rFonts w:ascii="Times New Roman" w:hAnsi="Times New Roman" w:cs="Times New Roman" w:eastAsia="Times New Roman" w:hint="default"/>
        </w:rPr>
        <w:t>9</w:t>
      </w:r>
      <w:r>
        <w:rPr/>
        <w:t>、</w:t>
      </w:r>
      <w:r>
        <w:rPr>
          <w:rFonts w:ascii="Times New Roman" w:hAnsi="Times New Roman" w:cs="Times New Roman" w:eastAsia="Times New Roman" w:hint="default"/>
        </w:rPr>
        <w:t>12</w:t>
      </w:r>
      <w:r>
        <w:rPr/>
        <w:t>和</w:t>
      </w:r>
      <w:r>
        <w:rPr>
          <w:rFonts w:ascii="Times New Roman" w:hAnsi="Times New Roman" w:cs="Times New Roman" w:eastAsia="Times New Roman" w:hint="default"/>
        </w:rPr>
        <w:t>14</w:t>
      </w:r>
      <w:r>
        <w:rPr/>
        <w:t>项直接或者间接控制的、或者担任董事、高级管理人员的，除本公司及其控股子公司以外的企</w:t>
      </w:r>
    </w:p>
    <w:p>
      <w:pPr>
        <w:pStyle w:val="BodyText"/>
        <w:spacing w:line="240" w:lineRule="auto" w:before="63"/>
        <w:ind w:right="1133"/>
        <w:jc w:val="left"/>
      </w:pPr>
      <w:r>
        <w:rPr/>
        <w:t>业。</w:t>
      </w:r>
    </w:p>
    <w:p>
      <w:pPr>
        <w:spacing w:line="240" w:lineRule="auto" w:before="3"/>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44</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2"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60" w:hRule="exact"/>
        </w:trPr>
        <w:tc>
          <w:tcPr>
            <w:tcW w:w="31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64"/>
                <w:sz w:val="18"/>
                <w:szCs w:val="18"/>
              </w:rPr>
              <w:t> </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日发</w:t>
            </w:r>
            <w:r>
              <w:rPr>
                <w:rFonts w:ascii="宋体" w:hAnsi="宋体" w:cs="宋体" w:eastAsia="宋体" w:hint="default"/>
                <w:spacing w:val="-3"/>
                <w:sz w:val="18"/>
                <w:szCs w:val="18"/>
              </w:rPr>
              <w:t>布</w:t>
            </w:r>
            <w:r>
              <w:rPr>
                <w:rFonts w:ascii="宋体" w:hAnsi="宋体" w:cs="宋体" w:eastAsia="宋体" w:hint="default"/>
                <w:spacing w:val="-92"/>
                <w:sz w:val="18"/>
                <w:szCs w:val="18"/>
              </w:rPr>
              <w:t>了</w:t>
            </w:r>
            <w:r>
              <w:rPr>
                <w:rFonts w:ascii="宋体" w:hAnsi="宋体" w:cs="宋体" w:eastAsia="宋体" w:hint="default"/>
                <w:sz w:val="18"/>
                <w:szCs w:val="18"/>
              </w:rPr>
              <w:t>《关</w:t>
            </w:r>
            <w:r>
              <w:rPr>
                <w:rFonts w:ascii="宋体" w:hAnsi="宋体" w:cs="宋体" w:eastAsia="宋体" w:hint="default"/>
                <w:spacing w:val="1"/>
                <w:sz w:val="18"/>
                <w:szCs w:val="18"/>
              </w:rPr>
              <w:t> </w:t>
            </w:r>
            <w:r>
              <w:rPr>
                <w:rFonts w:ascii="宋体" w:hAnsi="宋体" w:cs="宋体" w:eastAsia="宋体" w:hint="default"/>
                <w:sz w:val="18"/>
                <w:szCs w:val="18"/>
              </w:rPr>
              <w:t>于</w:t>
            </w:r>
          </w:p>
        </w:tc>
        <w:tc>
          <w:tcPr>
            <w:tcW w:w="3188" w:type="dxa"/>
            <w:tcBorders>
              <w:top w:val="single" w:sz="4" w:space="0" w:color="000000"/>
              <w:left w:val="single" w:sz="4" w:space="0" w:color="000000"/>
              <w:bottom w:val="nil" w:sz="6" w:space="0" w:color="auto"/>
              <w:right w:val="single" w:sz="4" w:space="0" w:color="000000"/>
            </w:tcBorders>
          </w:tcPr>
          <w:p>
            <w:pPr/>
          </w:p>
        </w:tc>
        <w:tc>
          <w:tcPr>
            <w:tcW w:w="3190" w:type="dxa"/>
            <w:vMerge w:val="restart"/>
            <w:tcBorders>
              <w:top w:val="single" w:sz="4" w:space="0" w:color="000000"/>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修订印发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年度一般企业财务报表格</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式的通知</w:t>
            </w:r>
            <w:r>
              <w:rPr>
                <w:rFonts w:ascii="宋体" w:hAnsi="宋体" w:cs="宋体" w:eastAsia="宋体" w:hint="default"/>
                <w:spacing w:val="-137"/>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pacing w:val="-49"/>
                <w:sz w:val="18"/>
                <w:szCs w:val="18"/>
              </w:rPr>
              <w:t>，</w:t>
            </w:r>
            <w:r>
              <w:rPr>
                <w:rFonts w:ascii="宋体" w:hAnsi="宋体" w:cs="宋体" w:eastAsia="宋体" w:hint="default"/>
                <w:sz w:val="18"/>
                <w:szCs w:val="18"/>
              </w:rPr>
              <w:t>对一般企</w:t>
            </w:r>
          </w:p>
        </w:tc>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日召开的第四届董事会第</w:t>
            </w:r>
          </w:p>
        </w:tc>
        <w:tc>
          <w:tcPr>
            <w:tcW w:w="3190" w:type="dxa"/>
            <w:vMerge/>
            <w:tcBorders>
              <w:left w:val="single" w:sz="4" w:space="0" w:color="000000"/>
              <w:right w:val="single" w:sz="4" w:space="0" w:color="000000"/>
            </w:tcBorders>
          </w:tcPr>
          <w:p>
            <w:pPr/>
          </w:p>
        </w:tc>
      </w:tr>
      <w:tr>
        <w:trPr>
          <w:trHeight w:val="30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业财务报表格式进行了修订。公司根据</w:t>
            </w:r>
          </w:p>
        </w:tc>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二次会议审议通过</w:t>
            </w:r>
          </w:p>
        </w:tc>
        <w:tc>
          <w:tcPr>
            <w:tcW w:w="3190"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上述文件要求，对财务报表格式的相关</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60" w:hRule="exact"/>
        </w:trPr>
        <w:tc>
          <w:tcPr>
            <w:tcW w:w="31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内容进行了相应的变更。</w:t>
            </w:r>
          </w:p>
        </w:tc>
        <w:tc>
          <w:tcPr>
            <w:tcW w:w="3188" w:type="dxa"/>
            <w:tcBorders>
              <w:top w:val="nil" w:sz="6" w:space="0" w:color="auto"/>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361" w:hRule="exact"/>
        </w:trPr>
        <w:tc>
          <w:tcPr>
            <w:tcW w:w="31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年发布了修订后的《企业</w:t>
            </w:r>
          </w:p>
        </w:tc>
        <w:tc>
          <w:tcPr>
            <w:tcW w:w="3188" w:type="dxa"/>
            <w:tcBorders>
              <w:top w:val="single" w:sz="4" w:space="0" w:color="000000"/>
              <w:left w:val="single" w:sz="4" w:space="0" w:color="000000"/>
              <w:bottom w:val="nil" w:sz="6" w:space="0" w:color="auto"/>
              <w:right w:val="single" w:sz="4" w:space="0" w:color="000000"/>
            </w:tcBorders>
          </w:tcPr>
          <w:p>
            <w:pPr/>
          </w:p>
        </w:tc>
        <w:tc>
          <w:tcPr>
            <w:tcW w:w="3190" w:type="dxa"/>
            <w:vMerge w:val="restart"/>
            <w:tcBorders>
              <w:top w:val="single" w:sz="4" w:space="0" w:color="000000"/>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金融工具确认和计</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936"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量</w:t>
            </w:r>
            <w:r>
              <w:rPr>
                <w:rFonts w:ascii="宋体" w:hAnsi="宋体" w:cs="宋体" w:eastAsia="宋体" w:hint="default"/>
                <w:spacing w:val="-92"/>
                <w:sz w:val="18"/>
                <w:szCs w:val="18"/>
              </w:rPr>
              <w:t>》、</w:t>
            </w:r>
            <w:r>
              <w:rPr>
                <w:rFonts w:ascii="宋体" w:hAnsi="宋体" w:cs="宋体" w:eastAsia="宋体" w:hint="default"/>
                <w:sz w:val="18"/>
                <w:szCs w:val="18"/>
              </w:rPr>
              <w:t>《企业会计准则第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金融资产</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转移</w:t>
            </w:r>
            <w:r>
              <w:rPr>
                <w:rFonts w:ascii="宋体" w:hAnsi="宋体" w:cs="宋体" w:eastAsia="宋体" w:hint="default"/>
                <w:spacing w:val="-92"/>
                <w:sz w:val="18"/>
                <w:szCs w:val="18"/>
              </w:rPr>
              <w:t>》、</w:t>
            </w:r>
            <w:r>
              <w:rPr>
                <w:rFonts w:ascii="宋体" w:hAnsi="宋体" w:cs="宋体" w:eastAsia="宋体" w:hint="default"/>
                <w:sz w:val="18"/>
                <w:szCs w:val="18"/>
              </w:rPr>
              <w:t>《企业会计准则第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套期会</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计</w:t>
            </w:r>
            <w:r>
              <w:rPr>
                <w:rFonts w:ascii="宋体" w:hAnsi="宋体" w:cs="宋体" w:eastAsia="宋体" w:hint="default"/>
                <w:spacing w:val="-92"/>
                <w:sz w:val="18"/>
                <w:szCs w:val="18"/>
              </w:rPr>
              <w:t>》、</w:t>
            </w:r>
            <w:r>
              <w:rPr>
                <w:rFonts w:ascii="宋体" w:hAnsi="宋体" w:cs="宋体" w:eastAsia="宋体" w:hint="default"/>
                <w:sz w:val="18"/>
                <w:szCs w:val="18"/>
              </w:rPr>
              <w:t>《企业会计准则第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w:t>
            </w:r>
          </w:p>
        </w:tc>
        <w:tc>
          <w:tcPr>
            <w:tcW w:w="3188" w:type="dxa"/>
            <w:tcBorders>
              <w:top w:val="nil" w:sz="6" w:space="0" w:color="auto"/>
              <w:left w:val="single" w:sz="4" w:space="0" w:color="000000"/>
              <w:bottom w:val="nil" w:sz="6" w:space="0" w:color="auto"/>
              <w:right w:val="single" w:sz="4" w:space="0" w:color="000000"/>
            </w:tcBorders>
          </w:tcPr>
          <w:p>
            <w:pPr>
              <w:pStyle w:val="TableParagraph"/>
              <w:spacing w:line="300" w:lineRule="auto" w:before="161"/>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日召开的第四届董事会第 三次会议审议通过</w:t>
            </w:r>
          </w:p>
        </w:tc>
        <w:tc>
          <w:tcPr>
            <w:tcW w:w="3190"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列报</w:t>
            </w:r>
            <w:r>
              <w:rPr>
                <w:rFonts w:ascii="宋体" w:hAnsi="宋体" w:cs="宋体" w:eastAsia="宋体" w:hint="default"/>
                <w:spacing w:val="-180"/>
                <w:sz w:val="18"/>
                <w:szCs w:val="18"/>
              </w:rPr>
              <w:t>》</w:t>
            </w:r>
            <w:r>
              <w:rPr>
                <w:rFonts w:ascii="宋体" w:hAnsi="宋体" w:cs="宋体" w:eastAsia="宋体" w:hint="default"/>
                <w:sz w:val="18"/>
                <w:szCs w:val="18"/>
              </w:rPr>
              <w:t>（上述四项准则以下统称</w:t>
            </w:r>
            <w:r>
              <w:rPr>
                <w:rFonts w:ascii="Times New Roman" w:hAnsi="Times New Roman" w:cs="Times New Roman" w:eastAsia="Times New Roman" w:hint="default"/>
                <w:w w:val="99"/>
                <w:sz w:val="18"/>
                <w:szCs w:val="18"/>
              </w:rPr>
              <w:t>"</w:t>
            </w:r>
            <w:r>
              <w:rPr>
                <w:rFonts w:ascii="宋体" w:hAnsi="宋体" w:cs="宋体" w:eastAsia="宋体" w:hint="default"/>
                <w:sz w:val="18"/>
                <w:szCs w:val="18"/>
              </w:rPr>
              <w:t>新金融工</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53" w:hRule="exact"/>
        </w:trPr>
        <w:tc>
          <w:tcPr>
            <w:tcW w:w="31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具准则</w:t>
            </w:r>
            <w:r>
              <w:rPr>
                <w:rFonts w:ascii="Times New Roman" w:hAnsi="Times New Roman" w:cs="Times New Roman" w:eastAsia="Times New Roman" w:hint="default"/>
                <w:spacing w:val="-2"/>
                <w:w w:val="9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r>
          </w:p>
        </w:tc>
        <w:tc>
          <w:tcPr>
            <w:tcW w:w="3188" w:type="dxa"/>
            <w:tcBorders>
              <w:top w:val="nil" w:sz="6" w:space="0" w:color="auto"/>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361" w:hRule="exact"/>
        </w:trPr>
        <w:tc>
          <w:tcPr>
            <w:tcW w:w="31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月发布了《关于修订</w:t>
            </w:r>
          </w:p>
        </w:tc>
        <w:tc>
          <w:tcPr>
            <w:tcW w:w="3188" w:type="dxa"/>
            <w:tcBorders>
              <w:top w:val="single" w:sz="4" w:space="0" w:color="000000"/>
              <w:left w:val="single" w:sz="4" w:space="0" w:color="000000"/>
              <w:bottom w:val="nil" w:sz="6" w:space="0" w:color="auto"/>
              <w:right w:val="single" w:sz="4" w:space="0" w:color="000000"/>
            </w:tcBorders>
          </w:tcPr>
          <w:p>
            <w:pPr/>
          </w:p>
        </w:tc>
        <w:tc>
          <w:tcPr>
            <w:tcW w:w="3190" w:type="dxa"/>
            <w:vMerge w:val="restart"/>
            <w:tcBorders>
              <w:top w:val="single" w:sz="4" w:space="0" w:color="000000"/>
              <w:left w:val="single" w:sz="4" w:space="0" w:color="000000"/>
              <w:right w:val="single" w:sz="4" w:space="0" w:color="000000"/>
            </w:tcBorders>
          </w:tcPr>
          <w:p>
            <w:pPr/>
          </w:p>
        </w:tc>
      </w:tr>
      <w:tr>
        <w:trPr>
          <w:trHeight w:val="311"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印发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年度一般企业财务报表格式的</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93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4" w:right="23"/>
              <w:jc w:val="both"/>
              <w:rPr>
                <w:rFonts w:ascii="宋体" w:hAnsi="宋体" w:cs="宋体" w:eastAsia="宋体" w:hint="default"/>
                <w:sz w:val="18"/>
                <w:szCs w:val="18"/>
              </w:rPr>
            </w:pPr>
            <w:r>
              <w:rPr>
                <w:rFonts w:ascii="宋体" w:hAnsi="宋体" w:cs="宋体" w:eastAsia="宋体" w:hint="default"/>
                <w:spacing w:val="-11"/>
                <w:sz w:val="18"/>
                <w:szCs w:val="18"/>
              </w:rPr>
              <w:t>通知》（财会</w:t>
            </w:r>
            <w:r>
              <w:rPr>
                <w:rFonts w:ascii="Times New Roman" w:hAnsi="Times New Roman" w:cs="Times New Roman" w:eastAsia="Times New Roman" w:hint="default"/>
                <w:spacing w:val="-11"/>
                <w:sz w:val="18"/>
                <w:szCs w:val="18"/>
              </w:rPr>
              <w:t>[2019]6</w:t>
            </w:r>
            <w:r>
              <w:rPr>
                <w:rFonts w:ascii="Times New Roman" w:hAnsi="Times New Roman" w:cs="Times New Roman" w:eastAsia="Times New Roman" w:hint="default"/>
                <w:spacing w:val="10"/>
                <w:sz w:val="18"/>
                <w:szCs w:val="18"/>
              </w:rPr>
              <w:t> </w:t>
            </w:r>
            <w:r>
              <w:rPr>
                <w:rFonts w:ascii="宋体" w:hAnsi="宋体" w:cs="宋体" w:eastAsia="宋体" w:hint="default"/>
                <w:spacing w:val="-13"/>
                <w:w w:val="99"/>
                <w:sz w:val="18"/>
                <w:szCs w:val="18"/>
              </w:rPr>
              <w:t>号）（以下简称</w:t>
            </w:r>
            <w:r>
              <w:rPr>
                <w:rFonts w:ascii="Times New Roman" w:hAnsi="Times New Roman" w:cs="Times New Roman" w:eastAsia="Times New Roman" w:hint="default"/>
                <w:spacing w:val="-13"/>
                <w:w w:val="99"/>
                <w:sz w:val="18"/>
                <w:szCs w:val="18"/>
              </w:rPr>
              <w:t>"</w:t>
            </w:r>
            <w:r>
              <w:rPr>
                <w:rFonts w:ascii="宋体" w:hAnsi="宋体" w:cs="宋体" w:eastAsia="宋体" w:hint="default"/>
                <w:spacing w:val="-13"/>
                <w:w w:val="99"/>
                <w:sz w:val="18"/>
                <w:szCs w:val="18"/>
              </w:rPr>
              <w:t>财务</w:t>
            </w:r>
            <w:r>
              <w:rPr>
                <w:rFonts w:ascii="宋体" w:hAnsi="宋体" w:cs="宋体" w:eastAsia="宋体" w:hint="default"/>
                <w:spacing w:val="-87"/>
                <w:w w:val="99"/>
                <w:sz w:val="18"/>
                <w:szCs w:val="18"/>
              </w:rPr>
              <w:t> </w:t>
            </w:r>
            <w:r>
              <w:rPr>
                <w:rFonts w:ascii="宋体" w:hAnsi="宋体" w:cs="宋体" w:eastAsia="宋体" w:hint="default"/>
                <w:spacing w:val="-10"/>
                <w:w w:val="99"/>
                <w:sz w:val="18"/>
                <w:szCs w:val="18"/>
              </w:rPr>
              <w:t>报表格式</w:t>
            </w:r>
            <w:r>
              <w:rPr>
                <w:rFonts w:ascii="Times New Roman" w:hAnsi="Times New Roman" w:cs="Times New Roman" w:eastAsia="Times New Roman" w:hint="default"/>
                <w:spacing w:val="-10"/>
                <w:w w:val="99"/>
                <w:sz w:val="18"/>
                <w:szCs w:val="18"/>
              </w:rPr>
              <w:t>"</w:t>
            </w:r>
            <w:r>
              <w:rPr>
                <w:rFonts w:ascii="宋体" w:hAnsi="宋体" w:cs="宋体" w:eastAsia="宋体" w:hint="default"/>
                <w:spacing w:val="-10"/>
                <w:w w:val="99"/>
                <w:sz w:val="18"/>
                <w:szCs w:val="18"/>
              </w:rPr>
              <w:t>），执行企业会计准则的企业应</w:t>
            </w:r>
            <w:r>
              <w:rPr>
                <w:rFonts w:ascii="宋体" w:hAnsi="宋体" w:cs="宋体" w:eastAsia="宋体" w:hint="default"/>
                <w:spacing w:val="-81"/>
                <w:w w:val="99"/>
                <w:sz w:val="18"/>
                <w:szCs w:val="18"/>
              </w:rPr>
              <w:t> </w:t>
            </w:r>
            <w:r>
              <w:rPr>
                <w:rFonts w:ascii="宋体" w:hAnsi="宋体" w:cs="宋体" w:eastAsia="宋体" w:hint="default"/>
                <w:spacing w:val="-81"/>
                <w:w w:val="99"/>
                <w:sz w:val="18"/>
                <w:szCs w:val="18"/>
              </w:rPr>
            </w:r>
            <w:r>
              <w:rPr>
                <w:rFonts w:ascii="宋体" w:hAnsi="宋体" w:cs="宋体" w:eastAsia="宋体" w:hint="default"/>
                <w:sz w:val="18"/>
                <w:szCs w:val="18"/>
              </w:rPr>
              <w:t>按照企业会计准则和该通知的要求编制</w:t>
            </w:r>
          </w:p>
        </w:tc>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97" w:lineRule="auto"/>
              <w:ind w:left="23"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日召开的第四届董事会第 八次会议审议通过</w:t>
            </w:r>
          </w:p>
        </w:tc>
        <w:tc>
          <w:tcPr>
            <w:tcW w:w="3190" w:type="dxa"/>
            <w:vMerge/>
            <w:tcBorders>
              <w:left w:val="single" w:sz="4" w:space="0" w:color="000000"/>
              <w:right w:val="single" w:sz="4" w:space="0" w:color="000000"/>
            </w:tcBorders>
          </w:tcPr>
          <w:p>
            <w:pPr/>
          </w:p>
        </w:tc>
      </w:tr>
      <w:tr>
        <w:trPr>
          <w:trHeight w:val="31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年度中期财务报表和年度财务报表</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55" w:hRule="exact"/>
        </w:trPr>
        <w:tc>
          <w:tcPr>
            <w:tcW w:w="31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及以后期间的财务报表。</w:t>
            </w:r>
          </w:p>
        </w:tc>
        <w:tc>
          <w:tcPr>
            <w:tcW w:w="3188" w:type="dxa"/>
            <w:tcBorders>
              <w:top w:val="nil" w:sz="6" w:space="0" w:color="auto"/>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bl>
    <w:p>
      <w:pPr>
        <w:pStyle w:val="BodyText"/>
        <w:spacing w:line="300" w:lineRule="auto" w:before="8"/>
        <w:ind w:right="1128" w:firstLine="360"/>
        <w:jc w:val="both"/>
      </w:pPr>
      <w:r>
        <w:rPr>
          <w:spacing w:val="-2"/>
        </w:rPr>
        <w:t>财政部于</w:t>
      </w:r>
      <w:r>
        <w:rPr>
          <w:rFonts w:ascii="Times New Roman" w:hAnsi="Times New Roman" w:cs="Times New Roman" w:eastAsia="Times New Roman" w:hint="default"/>
          <w:spacing w:val="-2"/>
        </w:rPr>
        <w:t>2017</w:t>
      </w:r>
      <w:r>
        <w:rPr>
          <w:spacing w:val="-2"/>
        </w:rPr>
        <w:t>年发布了修订后的《企业会计准则第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金融工具确认和计量》、《企业会计准则第</w:t>
      </w:r>
      <w:r>
        <w:rPr>
          <w:rFonts w:ascii="Times New Roman" w:hAnsi="Times New Roman" w:cs="Times New Roman" w:eastAsia="Times New Roman" w:hint="default"/>
          <w:spacing w:val="-2"/>
        </w:rPr>
        <w:t>23</w:t>
      </w:r>
      <w:r>
        <w:rPr>
          <w:spacing w:val="-2"/>
        </w:rPr>
        <w:t>号</w:t>
      </w:r>
      <w:r>
        <w:rPr>
          <w:rFonts w:ascii="Times New Roman" w:hAnsi="Times New Roman" w:cs="Times New Roman" w:eastAsia="Times New Roman" w:hint="default"/>
          <w:spacing w:val="-2"/>
        </w:rPr>
        <w:t>——</w:t>
      </w:r>
      <w:r>
        <w:rPr>
          <w:spacing w:val="-2"/>
        </w:rPr>
        <w:t>金融资</w:t>
      </w:r>
      <w:r>
        <w:rPr/>
        <w:t> </w:t>
      </w:r>
      <w:r>
        <w:rPr>
          <w:spacing w:val="-3"/>
        </w:rPr>
        <w:t>产转移》、《企业会计准则第</w:t>
      </w:r>
      <w:r>
        <w:rPr>
          <w:rFonts w:ascii="Times New Roman" w:hAnsi="Times New Roman" w:cs="Times New Roman" w:eastAsia="Times New Roman" w:hint="default"/>
          <w:spacing w:val="-3"/>
        </w:rPr>
        <w:t>24</w:t>
      </w:r>
      <w:r>
        <w:rPr>
          <w:spacing w:val="-3"/>
        </w:rPr>
        <w:t>号</w:t>
      </w:r>
      <w:r>
        <w:rPr>
          <w:rFonts w:ascii="Times New Roman" w:hAnsi="Times New Roman" w:cs="Times New Roman" w:eastAsia="Times New Roman" w:hint="default"/>
          <w:spacing w:val="-3"/>
        </w:rPr>
        <w:t>——</w:t>
      </w:r>
      <w:r>
        <w:rPr>
          <w:spacing w:val="-3"/>
        </w:rPr>
        <w:t>套期会计》、《企业会计准则第</w:t>
      </w:r>
      <w:r>
        <w:rPr>
          <w:rFonts w:ascii="Times New Roman" w:hAnsi="Times New Roman" w:cs="Times New Roman" w:eastAsia="Times New Roman" w:hint="default"/>
          <w:spacing w:val="-3"/>
        </w:rPr>
        <w:t>37</w:t>
      </w:r>
      <w:r>
        <w:rPr>
          <w:spacing w:val="-3"/>
        </w:rPr>
        <w:t>号</w:t>
      </w:r>
      <w:r>
        <w:rPr>
          <w:rFonts w:ascii="Times New Roman" w:hAnsi="Times New Roman" w:cs="Times New Roman" w:eastAsia="Times New Roman" w:hint="default"/>
          <w:spacing w:val="-3"/>
        </w:rPr>
        <w:t>——</w:t>
      </w:r>
      <w:r>
        <w:rPr>
          <w:spacing w:val="-3"/>
        </w:rPr>
        <w:t>金融工具列报》（上述四项准则以下统称</w:t>
      </w:r>
      <w:r>
        <w:rPr>
          <w:rFonts w:ascii="Times New Roman" w:hAnsi="Times New Roman" w:cs="Times New Roman" w:eastAsia="Times New Roman" w:hint="default"/>
          <w:spacing w:val="-3"/>
        </w:rPr>
        <w:t>“</w:t>
      </w:r>
      <w:r>
        <w:rPr>
          <w:spacing w:val="-3"/>
        </w:rPr>
        <w:t>新</w:t>
      </w:r>
      <w:r>
        <w:rPr>
          <w:spacing w:val="-86"/>
        </w:rPr>
        <w:t> </w:t>
      </w:r>
      <w:r>
        <w:rPr/>
        <w:t>金融工具准则</w:t>
      </w:r>
      <w:r>
        <w:rPr>
          <w:rFonts w:ascii="Times New Roman" w:hAnsi="Times New Roman" w:cs="Times New Roman" w:eastAsia="Times New Roman" w:hint="default"/>
        </w:rPr>
        <w:t>”</w:t>
      </w:r>
      <w:r>
        <w:rPr/>
        <w:t>）。</w:t>
      </w:r>
    </w:p>
    <w:p>
      <w:pPr>
        <w:pStyle w:val="BodyText"/>
        <w:spacing w:line="300" w:lineRule="auto" w:before="13"/>
        <w:ind w:right="1150" w:firstLine="360"/>
        <w:jc w:val="both"/>
      </w:pPr>
      <w:r>
        <w:rPr/>
        <w:t>财政部于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月发布了《关于修订印发</w:t>
      </w:r>
      <w:r>
        <w:rPr>
          <w:rFonts w:ascii="Times New Roman" w:hAnsi="Times New Roman" w:cs="Times New Roman" w:eastAsia="Times New Roman" w:hint="default"/>
        </w:rPr>
        <w:t>2019</w:t>
      </w:r>
      <w:r>
        <w:rPr/>
        <w:t>年度一般企业财务报表格式的通知》（财会</w:t>
      </w:r>
      <w:r>
        <w:rPr>
          <w:rFonts w:ascii="Times New Roman" w:hAnsi="Times New Roman" w:cs="Times New Roman" w:eastAsia="Times New Roman" w:hint="default"/>
        </w:rPr>
        <w:t>[2019]6</w:t>
      </w:r>
      <w:r>
        <w:rPr/>
        <w:t>号）（以下简称</w:t>
      </w:r>
      <w:r>
        <w:rPr>
          <w:rFonts w:ascii="Times New Roman" w:hAnsi="Times New Roman" w:cs="Times New Roman" w:eastAsia="Times New Roman" w:hint="default"/>
        </w:rPr>
        <w:t>“</w:t>
      </w:r>
      <w:r>
        <w:rPr/>
        <w:t>财 务报表格式</w:t>
      </w:r>
      <w:r>
        <w:rPr>
          <w:rFonts w:ascii="Times New Roman" w:hAnsi="Times New Roman" w:cs="Times New Roman" w:eastAsia="Times New Roman" w:hint="default"/>
        </w:rPr>
        <w:t>”</w:t>
      </w:r>
      <w:r>
        <w:rPr/>
        <w:t>），执行企业会计准则的企业应按照企业会计准则和该通知的要求编制</w:t>
      </w:r>
      <w:r>
        <w:rPr>
          <w:rFonts w:ascii="Times New Roman" w:hAnsi="Times New Roman" w:cs="Times New Roman" w:eastAsia="Times New Roman" w:hint="default"/>
        </w:rPr>
        <w:t>2019</w:t>
      </w:r>
      <w:r>
        <w:rPr/>
        <w:t>年度中期财务报表和年度财务报表 及以后期间的财务报表。</w:t>
      </w:r>
    </w:p>
    <w:p>
      <w:pPr>
        <w:pStyle w:val="BodyText"/>
        <w:spacing w:line="240" w:lineRule="auto" w:before="32"/>
        <w:ind w:left="513" w:right="1133"/>
        <w:jc w:val="left"/>
      </w:pPr>
      <w:r>
        <w:rPr/>
        <w:t>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日起执行上述修订后的准则和财务报表格式，对会计政策相关内容及财务报表格式进行调整。</w:t>
      </w:r>
    </w:p>
    <w:p>
      <w:pPr>
        <w:pStyle w:val="BodyText"/>
        <w:spacing w:line="300" w:lineRule="auto" w:before="63"/>
        <w:ind w:left="513" w:right="1133"/>
        <w:jc w:val="left"/>
      </w:pPr>
      <w:r>
        <w:rPr/>
        <w:t>（</w:t>
      </w:r>
      <w:r>
        <w:rPr>
          <w:rFonts w:ascii="Times New Roman" w:hAnsi="Times New Roman" w:cs="Times New Roman" w:eastAsia="Times New Roman" w:hint="default"/>
        </w:rPr>
        <w:t>1</w:t>
      </w:r>
      <w:r>
        <w:rPr/>
        <w:t>）新金融工具准则 </w:t>
      </w:r>
      <w:r>
        <w:rPr>
          <w:spacing w:val="-2"/>
        </w:rPr>
        <w:t>新金融工具准则将金融资产划分为三个类别：（</w:t>
      </w:r>
      <w:r>
        <w:rPr>
          <w:rFonts w:ascii="Times New Roman" w:hAnsi="Times New Roman" w:cs="Times New Roman" w:eastAsia="Times New Roman" w:hint="default"/>
          <w:spacing w:val="-2"/>
        </w:rPr>
        <w:t>1</w:t>
      </w:r>
      <w:r>
        <w:rPr>
          <w:spacing w:val="-2"/>
        </w:rPr>
        <w:t>）以摊余成本计量的金融资产；（</w:t>
      </w:r>
      <w:r>
        <w:rPr>
          <w:rFonts w:ascii="Times New Roman" w:hAnsi="Times New Roman" w:cs="Times New Roman" w:eastAsia="Times New Roman" w:hint="default"/>
          <w:spacing w:val="-2"/>
        </w:rPr>
        <w:t>2</w:t>
      </w:r>
      <w:r>
        <w:rPr>
          <w:spacing w:val="-2"/>
        </w:rPr>
        <w:t>）以公允价值计量且其变动计入其</w:t>
      </w:r>
    </w:p>
    <w:p>
      <w:pPr>
        <w:pStyle w:val="BodyText"/>
        <w:spacing w:line="307" w:lineRule="auto" w:before="13"/>
        <w:ind w:right="1131"/>
        <w:jc w:val="both"/>
      </w:pPr>
      <w:r>
        <w:rPr/>
        <w:t>他综合收益的金融资产；（</w:t>
      </w:r>
      <w:r>
        <w:rPr>
          <w:rFonts w:ascii="Times New Roman" w:hAnsi="Times New Roman" w:cs="Times New Roman" w:eastAsia="Times New Roman" w:hint="default"/>
        </w:rPr>
        <w:t>3</w:t>
      </w:r>
      <w:r>
        <w:rPr/>
        <w:t>）以公允价值计量且其变动计入当期损益的金融资产。在新金融工具准则下，金融资产的分类 </w:t>
      </w:r>
      <w:r>
        <w:rPr>
          <w:spacing w:val="-2"/>
        </w:rPr>
        <w:t>是基于本公司管理金融资产的业务模式及该资产的合同现金流量特征而确定。新金融工具准则取消了原金融工具准则中规定</w:t>
      </w:r>
      <w:r>
        <w:rPr>
          <w:spacing w:val="-64"/>
        </w:rPr>
        <w:t> </w:t>
      </w:r>
      <w:r>
        <w:rPr>
          <w:spacing w:val="-64"/>
        </w:rPr>
      </w:r>
      <w:r>
        <w:rPr>
          <w:spacing w:val="-2"/>
        </w:rPr>
        <w:t>的持有至到期投资、贷款和应收款项及可供出售金融资产三个分类类别。新金融工具准则以</w:t>
      </w:r>
      <w:r>
        <w:rPr>
          <w:rFonts w:ascii="Times New Roman" w:hAnsi="Times New Roman" w:cs="Times New Roman" w:eastAsia="Times New Roman" w:hint="default"/>
          <w:spacing w:val="-2"/>
        </w:rPr>
        <w:t>“</w:t>
      </w:r>
      <w:r>
        <w:rPr>
          <w:spacing w:val="-2"/>
        </w:rPr>
        <w:t>预期信用损失</w:t>
      </w:r>
      <w:r>
        <w:rPr>
          <w:rFonts w:ascii="Times New Roman" w:hAnsi="Times New Roman" w:cs="Times New Roman" w:eastAsia="Times New Roman" w:hint="default"/>
          <w:spacing w:val="-2"/>
        </w:rPr>
        <w:t>”</w:t>
      </w:r>
      <w:r>
        <w:rPr>
          <w:spacing w:val="-2"/>
        </w:rPr>
        <w:t>模型替代了原金</w:t>
      </w:r>
      <w:r>
        <w:rPr>
          <w:spacing w:val="-44"/>
        </w:rPr>
        <w:t> </w:t>
      </w:r>
      <w:r>
        <w:rPr>
          <w:spacing w:val="-44"/>
        </w:rPr>
      </w:r>
      <w:r>
        <w:rPr/>
        <w:t>融工具准则中的</w:t>
      </w:r>
      <w:r>
        <w:rPr>
          <w:rFonts w:ascii="Times New Roman" w:hAnsi="Times New Roman" w:cs="Times New Roman" w:eastAsia="Times New Roman" w:hint="default"/>
        </w:rPr>
        <w:t>“</w:t>
      </w:r>
      <w:r>
        <w:rPr/>
        <w:t>已发生损失</w:t>
      </w:r>
      <w:r>
        <w:rPr>
          <w:rFonts w:ascii="Times New Roman" w:hAnsi="Times New Roman" w:cs="Times New Roman" w:eastAsia="Times New Roman" w:hint="default"/>
        </w:rPr>
        <w:t>”</w:t>
      </w:r>
      <w:r>
        <w:rPr/>
        <w:t>模型。在新金融工具准则下，本公司具体会计政策见附注。</w:t>
      </w:r>
    </w:p>
    <w:p>
      <w:pPr>
        <w:pStyle w:val="BodyText"/>
        <w:spacing w:line="316" w:lineRule="auto" w:before="7"/>
        <w:ind w:right="1132" w:firstLine="360"/>
        <w:jc w:val="both"/>
      </w:pPr>
      <w:r>
        <w:rPr>
          <w:spacing w:val="-2"/>
        </w:rPr>
        <w:t>采用新金融工具准则，公司将其他流动资产中的理财产品调整至交易性金融资产列示，可供出售金融资产调整至其他权</w:t>
      </w:r>
      <w:r>
        <w:rPr/>
        <w:t> </w:t>
      </w:r>
      <w:r>
        <w:rPr>
          <w:spacing w:val="-2"/>
        </w:rPr>
        <w:t>益工具投资列示，期初比较数据不做调整，将按照新金融工具准则计提的各项金融工具减值准备形成的预期信用损失调整至</w:t>
      </w:r>
      <w:r>
        <w:rPr>
          <w:spacing w:val="-64"/>
        </w:rPr>
        <w:t> </w:t>
      </w:r>
      <w:r>
        <w:rPr>
          <w:spacing w:val="-64"/>
        </w:rPr>
      </w:r>
      <w:r>
        <w:rPr/>
        <w:t>信用减值损失科目，上期比较数据不做调整。</w:t>
      </w:r>
    </w:p>
    <w:p>
      <w:pPr>
        <w:pStyle w:val="BodyText"/>
        <w:spacing w:line="319" w:lineRule="auto" w:before="19"/>
        <w:ind w:left="513" w:right="1133"/>
        <w:jc w:val="left"/>
      </w:pPr>
      <w:r>
        <w:rPr/>
        <w:t>采用新金融工具准则对本公司金融负债的会计政策并无重大影响。 </w:t>
      </w:r>
      <w:r>
        <w:rPr>
          <w:spacing w:val="-2"/>
        </w:rPr>
        <w:t>本公司根据新金融工具准则的规定，除某些特定情形外，对金融工具的分类和计量（含减值）进行追溯调整，将金融工</w:t>
      </w:r>
    </w:p>
    <w:p>
      <w:pPr>
        <w:pStyle w:val="BodyText"/>
        <w:spacing w:line="300" w:lineRule="auto" w:before="17"/>
        <w:ind w:right="1127"/>
        <w:jc w:val="both"/>
      </w:pPr>
      <w:r>
        <w:rPr>
          <w:spacing w:val="-2"/>
        </w:rPr>
        <w:t>具原账面价值和在新金融工具准则施行日（即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日）的新账面价值之间的差额计入</w:t>
      </w:r>
      <w:r>
        <w:rPr>
          <w:rFonts w:ascii="Times New Roman" w:hAnsi="Times New Roman" w:cs="Times New Roman" w:eastAsia="Times New Roman" w:hint="default"/>
          <w:spacing w:val="-2"/>
        </w:rPr>
        <w:t>2019</w:t>
      </w:r>
      <w:r>
        <w:rPr>
          <w:spacing w:val="-2"/>
        </w:rPr>
        <w:t>年年初留存收益或其他综合</w:t>
      </w:r>
      <w:r>
        <w:rPr>
          <w:spacing w:val="-52"/>
        </w:rPr>
        <w:t> </w:t>
      </w:r>
      <w:r>
        <w:rPr>
          <w:spacing w:val="-2"/>
        </w:rPr>
        <w:t>收益。本公司执行新金融工具准则对</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日合并资产负债表及母公司资产负债表各项目的影响详见本章节</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3</w:t>
      </w:r>
      <w:r>
        <w:rPr>
          <w:spacing w:val="-2"/>
        </w:rPr>
        <w:t>）</w:t>
      </w:r>
      <w:r>
        <w:rPr>
          <w:rFonts w:ascii="宋体" w:hAnsi="宋体" w:cs="宋体" w:eastAsia="宋体" w:hint="default"/>
          <w:spacing w:val="-2"/>
        </w:rPr>
        <w:t>2019</w:t>
      </w:r>
      <w:r>
        <w:rPr>
          <w:rFonts w:ascii="宋体" w:hAnsi="宋体" w:cs="宋体" w:eastAsia="宋体" w:hint="default"/>
          <w:spacing w:val="-45"/>
        </w:rPr>
        <w:t> </w:t>
      </w:r>
      <w:r>
        <w:rPr>
          <w:rFonts w:ascii="宋体" w:hAnsi="宋体" w:cs="宋体" w:eastAsia="宋体" w:hint="default"/>
          <w:spacing w:val="-45"/>
        </w:rPr>
      </w:r>
      <w:r>
        <w:rPr/>
        <w:t>年起执行新金融工具准则、新收入准则或新租赁准则调整执行当年年初财务报表相关项目情况</w:t>
      </w:r>
      <w:r>
        <w:rPr>
          <w:rFonts w:ascii="Times New Roman" w:hAnsi="Times New Roman" w:cs="Times New Roman" w:eastAsia="Times New Roman" w:hint="default"/>
        </w:rPr>
        <w:t>”</w:t>
      </w:r>
      <w:r>
        <w:rPr/>
        <w:t>。</w:t>
      </w:r>
    </w:p>
    <w:p>
      <w:pPr>
        <w:pStyle w:val="BodyText"/>
        <w:spacing w:line="300" w:lineRule="auto" w:before="13"/>
        <w:ind w:left="513" w:right="1133"/>
        <w:jc w:val="left"/>
      </w:pPr>
      <w:r>
        <w:rPr/>
        <w:t>（</w:t>
      </w:r>
      <w:r>
        <w:rPr>
          <w:rFonts w:ascii="Times New Roman" w:hAnsi="Times New Roman" w:cs="Times New Roman" w:eastAsia="Times New Roman" w:hint="default"/>
        </w:rPr>
        <w:t>2</w:t>
      </w:r>
      <w:r>
        <w:rPr/>
        <w:t>）执行财务报表格式的影响 </w:t>
      </w:r>
      <w:r>
        <w:rPr>
          <w:spacing w:val="-2"/>
        </w:rPr>
        <w:t>根据财务报表格式的要求，除执行上述新金融工具准则产生的列报变化以外，本公司将</w:t>
      </w:r>
      <w:r>
        <w:rPr>
          <w:rFonts w:ascii="Times New Roman" w:hAnsi="Times New Roman" w:cs="Times New Roman" w:eastAsia="Times New Roman" w:hint="default"/>
          <w:spacing w:val="-2"/>
        </w:rPr>
        <w:t>“</w:t>
      </w:r>
      <w:r>
        <w:rPr>
          <w:spacing w:val="-2"/>
        </w:rPr>
        <w:t>应收票据及应收账款</w:t>
      </w:r>
      <w:r>
        <w:rPr>
          <w:rFonts w:ascii="Times New Roman" w:hAnsi="Times New Roman" w:cs="Times New Roman" w:eastAsia="Times New Roman" w:hint="default"/>
          <w:spacing w:val="-2"/>
        </w:rPr>
        <w:t>”</w:t>
      </w:r>
      <w:r>
        <w:rPr>
          <w:spacing w:val="-2"/>
        </w:rPr>
        <w:t>拆分列示</w:t>
      </w:r>
    </w:p>
    <w:p>
      <w:pPr>
        <w:pStyle w:val="BodyText"/>
        <w:spacing w:line="300" w:lineRule="auto" w:before="13"/>
        <w:ind w:right="1131"/>
        <w:jc w:val="both"/>
      </w:pPr>
      <w:r>
        <w:rPr>
          <w:spacing w:val="-2"/>
        </w:rPr>
        <w:t>为</w:t>
      </w:r>
      <w:r>
        <w:rPr>
          <w:rFonts w:ascii="Times New Roman" w:hAnsi="Times New Roman" w:cs="Times New Roman" w:eastAsia="Times New Roman" w:hint="default"/>
          <w:spacing w:val="-2"/>
        </w:rPr>
        <w:t>“</w:t>
      </w:r>
      <w:r>
        <w:rPr>
          <w:spacing w:val="-2"/>
        </w:rPr>
        <w:t>应收票据</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应收账款</w:t>
      </w:r>
      <w:r>
        <w:rPr>
          <w:rFonts w:ascii="Times New Roman" w:hAnsi="Times New Roman" w:cs="Times New Roman" w:eastAsia="Times New Roman" w:hint="default"/>
          <w:spacing w:val="-2"/>
        </w:rPr>
        <w:t>”</w:t>
      </w:r>
      <w:r>
        <w:rPr>
          <w:spacing w:val="-2"/>
        </w:rPr>
        <w:t>两个项目，将</w:t>
      </w:r>
      <w:r>
        <w:rPr/>
        <w:t> </w:t>
      </w:r>
      <w:r>
        <w:rPr>
          <w:rFonts w:ascii="Times New Roman" w:hAnsi="Times New Roman" w:cs="Times New Roman" w:eastAsia="Times New Roman" w:hint="default"/>
          <w:spacing w:val="-1"/>
        </w:rPr>
        <w:t>“</w:t>
      </w:r>
      <w:r>
        <w:rPr>
          <w:spacing w:val="-1"/>
        </w:rPr>
        <w:t>应付票据及应付账款</w:t>
      </w:r>
      <w:r>
        <w:rPr>
          <w:rFonts w:ascii="Times New Roman" w:hAnsi="Times New Roman" w:cs="Times New Roman" w:eastAsia="Times New Roman" w:hint="default"/>
          <w:spacing w:val="-1"/>
        </w:rPr>
        <w:t>”</w:t>
      </w:r>
      <w:r>
        <w:rPr>
          <w:spacing w:val="-1"/>
        </w:rPr>
        <w:t>拆分列示为</w:t>
      </w:r>
      <w:r>
        <w:rPr>
          <w:rFonts w:ascii="Times New Roman" w:hAnsi="Times New Roman" w:cs="Times New Roman" w:eastAsia="Times New Roman" w:hint="default"/>
          <w:spacing w:val="-1"/>
        </w:rPr>
        <w:t>“</w:t>
      </w:r>
      <w:r>
        <w:rPr>
          <w:spacing w:val="-1"/>
        </w:rPr>
        <w:t>应付票据</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应付账款</w:t>
      </w:r>
      <w:r>
        <w:rPr>
          <w:rFonts w:ascii="Times New Roman" w:hAnsi="Times New Roman" w:cs="Times New Roman" w:eastAsia="Times New Roman" w:hint="default"/>
          <w:spacing w:val="-1"/>
        </w:rPr>
        <w:t>”</w:t>
      </w:r>
      <w:r>
        <w:rPr>
          <w:spacing w:val="-1"/>
        </w:rPr>
        <w:t>两个项目。本公司相应</w:t>
      </w:r>
      <w:r>
        <w:rPr>
          <w:spacing w:val="-88"/>
        </w:rPr>
        <w:t> </w:t>
      </w:r>
      <w:r>
        <w:rPr>
          <w:spacing w:val="-88"/>
        </w:rPr>
      </w:r>
      <w:r>
        <w:rPr/>
        <w:t>追溯调整了比较期间报表，该会计政策变更对合并及公司净利润和股东权益无影响。</w:t>
      </w:r>
    </w:p>
    <w:p>
      <w:pPr>
        <w:spacing w:line="240" w:lineRule="auto" w:before="10"/>
        <w:rPr>
          <w:rFonts w:ascii="宋体" w:hAnsi="宋体" w:cs="宋体" w:eastAsia="宋体" w:hint="default"/>
          <w:sz w:val="23"/>
          <w:szCs w:val="23"/>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both"/>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79" w:top="1100" w:bottom="1160" w:left="980" w:right="0"/>
        </w:sectPr>
      </w:pPr>
    </w:p>
    <w:p>
      <w:pPr>
        <w:pStyle w:val="BodyText"/>
        <w:spacing w:line="338"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534" w:space="7387"/>
            <w:col w:w="2009"/>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160,601,847.85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160,601,847.85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635,000,000.00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635,000,000.00</w:t>
            </w: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22,320,655.84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22,320,800.70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144.86</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3,897,427.94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3,897,427.94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2,312,512.76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3,050,649.08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738,136.32</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44,663.01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44,663.01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80,247,961.33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80,247,961.33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646,627,010.19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11,627,010.19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-635,000,000.00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916,007,415.91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916,745,697.09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738,281.18</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134,841,177.68</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-134,841,177.68</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1,836,090.57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1,836,090.57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131,738,203.02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131,738,203.02</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31,494,198.71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31,494,198.71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36,298,487.04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36,298,487.04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35,139,195.18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35,139,195.18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32,702,013.93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32,702,013.93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1,175,881.37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1,175,881.37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5,475,326.50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5,880,026.46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404,699.96</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3,010,434.38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3,010,434.38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281,972,805.36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279,274,530.66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-2,698,274.70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1,197,980,221.27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1,196,020,227.75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-1,959,993.52</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5,849,756.14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5,849,756.14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2,090,320.60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2,090,320.60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6,677,906.54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6,677,906.54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4,441,376.97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4,441,376.97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4,158,600.49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4,158,600.49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23,217,960.74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23,217,960.74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32,835,347.44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32,835,347.44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32,835,347.44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32,835,347.44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56,053,308.18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56,053,308.18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200,664,195.00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200,664,195.00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205"/>
        <w:gridCol w:w="2453"/>
        <w:gridCol w:w="2456"/>
        <w:gridCol w:w="2453"/>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732,816,268.10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732,816,268.10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-835,719.37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-8,573,247.83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-7,737,528.46</w:t>
            </w: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36,019,790.87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36,602,463.74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582,672.87</w:t>
            </w: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173,262,378.49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178,457,240.56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5,194,862.07</w:t>
            </w:r>
          </w:p>
        </w:tc>
      </w:tr>
      <w:tr>
        <w:trPr>
          <w:trHeight w:val="71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1"/>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1,141,926,913.09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1,139,966,919.57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-1,959,993.52</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1,141,926,913.09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1,139,966,919.57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-1,959,993.52</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1,197,980,221.27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1,196,020,227.75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-1,959,993.52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pStyle w:val="BodyText"/>
        <w:spacing w:line="357" w:lineRule="auto" w:before="49"/>
        <w:ind w:right="-20"/>
        <w:jc w:val="left"/>
      </w:pPr>
      <w:r>
        <w:rPr/>
        <w:t>调整情况说明 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593" w:space="7327"/>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58,658,348.67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58,658,348.67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615,000,000.00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615,000,000.00</w:t>
            </w: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8,033,147.03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8,033,291.89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144.86</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2,603,852.23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2,603,852.23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8,963,260.12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9,818,090.19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854,830.07</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44,663.01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44,663.01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29,342,161.05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29,342,161.05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617,388,490.22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2,388,490.22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-615,000,000.00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724,989,259.32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725,844,234.25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854,974.93</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134,841,177.68</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-134,841,177.68</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275,536,961.98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275,536,961.98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131,738,203.02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131,738,203.02</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31,494,198.71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31,494,198.71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33,596,015.82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33,596,015.82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28,180,397.25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28,180,397.25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661,207.72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661,207.72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5,511,668.90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5,848,868.86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337,199.96</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509,821,628.06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507,055,853.36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-2,765,774.70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1,234,810,887.38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1,232,900,087.61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-1,910,799.77</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2,963,146.87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2,963,146.87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1,457,444.60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1,457,444.60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3,440,819.44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3,440,819.44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4,190,941.62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4,190,941.62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18,494,491.19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18,494,491.19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30,546,843.72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30,546,843.72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10,235,480.00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10,235,480.00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10,235,480.00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10,235,480.00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40,782,323.72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40,782,323.72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200,664,195.00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200,664,195.00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738,506,862.11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738,506,862.11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205"/>
        <w:gridCol w:w="2453"/>
        <w:gridCol w:w="2456"/>
        <w:gridCol w:w="2453"/>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-7,737,528.46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-7,737,528.46</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36,019,790.87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36,602,463.74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582,672.87</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218,837,715.68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224,081,771.50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5,244,055.82</w:t>
            </w: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1,194,028,563.66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1,192,117,763.89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-1,910,799.77</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1,234,810,887.38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1,232,900,087.61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-1,910,799.77</w:t>
            </w:r>
          </w:p>
        </w:tc>
      </w:tr>
    </w:tbl>
    <w:p>
      <w:pPr>
        <w:pStyle w:val="BodyText"/>
        <w:spacing w:line="240" w:lineRule="auto" w:before="49"/>
        <w:ind w:right="1133"/>
        <w:jc w:val="left"/>
      </w:pPr>
      <w:r>
        <w:rPr/>
        <w:t>调整情况说明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spacing w:line="487" w:lineRule="auto" w:before="0"/>
        <w:ind w:left="152" w:right="896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六、税项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4"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4" w:lineRule="auto" w:before="51"/>
              <w:ind w:left="17" w:right="94"/>
              <w:jc w:val="left"/>
              <w:rPr>
                <w:rFonts w:ascii="宋体" w:hAnsi="宋体" w:cs="宋体" w:eastAsia="宋体" w:hint="default"/>
                <w:sz w:val="18"/>
                <w:szCs w:val="18"/>
              </w:rPr>
            </w:pPr>
            <w:r>
              <w:rPr>
                <w:rFonts w:ascii="宋体" w:hAnsi="宋体" w:cs="宋体" w:eastAsia="宋体" w:hint="default"/>
                <w:sz w:val="18"/>
                <w:szCs w:val="18"/>
              </w:rPr>
              <w:t>销售货物或提供应税劳务收入、技术服 务收入</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应缴流转税额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应缴流转税额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1133"/>
        <w:jc w:val="left"/>
      </w:pPr>
      <w:r>
        <w:rPr/>
        <w:t>存在不同企业所得税税率纳税主体的，披露情况说明</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北京君正集成电路股份有限公司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北京君正集成电路（香港）集团有限公司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深圳君正时代集成电路有限公司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合肥君正科技有限公司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28" w:firstLine="360"/>
        <w:jc w:val="both"/>
      </w:pPr>
      <w:r>
        <w:rPr/>
        <w:t>根据国发〔</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4</w:t>
      </w:r>
      <w:r>
        <w:rPr/>
        <w:t>号文《国务院关于印发进一步鼓励软件产业和集成电路产业发展若干政策的通知》和财税（</w:t>
      </w:r>
      <w:r>
        <w:rPr>
          <w:rFonts w:ascii="Times New Roman" w:hAnsi="Times New Roman" w:cs="Times New Roman" w:eastAsia="Times New Roman" w:hint="default"/>
        </w:rPr>
        <w:t>2011</w:t>
      </w:r>
      <w:r>
        <w:rPr/>
        <w:t>） </w:t>
      </w:r>
      <w:r>
        <w:rPr>
          <w:rFonts w:ascii="Times New Roman" w:hAnsi="Times New Roman" w:cs="Times New Roman" w:eastAsia="Times New Roman" w:hint="default"/>
        </w:rPr>
        <w:t>100</w:t>
      </w:r>
      <w:r>
        <w:rPr/>
        <w:t>号文《财政部</w:t>
      </w:r>
      <w:r>
        <w:rPr>
          <w:spacing w:val="-67"/>
        </w:rPr>
        <w:t> </w:t>
      </w:r>
      <w:r>
        <w:rPr/>
        <w:t>国家税务总局关于软件产品增值说政策的通知》，本公司主营业务为</w:t>
      </w:r>
      <w:r>
        <w:rPr>
          <w:rFonts w:ascii="Times New Roman" w:hAnsi="Times New Roman" w:cs="Times New Roman" w:eastAsia="Times New Roman" w:hint="default"/>
        </w:rPr>
        <w:t>32</w:t>
      </w:r>
      <w:r>
        <w:rPr/>
        <w:t>位嵌入式</w:t>
      </w:r>
      <w:r>
        <w:rPr>
          <w:rFonts w:ascii="Times New Roman" w:hAnsi="Times New Roman" w:cs="Times New Roman" w:eastAsia="Times New Roman" w:hint="default"/>
        </w:rPr>
        <w:t>CPU</w:t>
      </w:r>
      <w:r>
        <w:rPr/>
        <w:t>芯片及配套软件平台 的研发和销售的，符合继续享受</w:t>
      </w:r>
      <w:r>
        <w:rPr>
          <w:rFonts w:ascii="Times New Roman" w:hAnsi="Times New Roman" w:cs="Times New Roman" w:eastAsia="Times New Roman" w:hint="default"/>
        </w:rPr>
        <w:t>“</w:t>
      </w:r>
      <w:r>
        <w:rPr/>
        <w:t>增值税一般纳税人销售其自行开发生产的软件产品，按法定税率征收增值税后，对其增值</w:t>
      </w:r>
      <w:r>
        <w:rPr>
          <w:spacing w:val="-76"/>
        </w:rPr>
        <w:t> </w:t>
      </w:r>
      <w:r>
        <w:rPr>
          <w:spacing w:val="-76"/>
        </w:rPr>
      </w:r>
      <w:r>
        <w:rPr/>
        <w:t>税实际税负超过</w:t>
      </w:r>
      <w:r>
        <w:rPr>
          <w:rFonts w:ascii="Times New Roman" w:hAnsi="Times New Roman" w:cs="Times New Roman" w:eastAsia="Times New Roman" w:hint="default"/>
        </w:rPr>
        <w:t>3%</w:t>
      </w:r>
      <w:r>
        <w:rPr/>
        <w:t>的部分实行即征即退政策</w:t>
      </w:r>
      <w:r>
        <w:rPr>
          <w:rFonts w:ascii="Times New Roman" w:hAnsi="Times New Roman" w:cs="Times New Roman" w:eastAsia="Times New Roman" w:hint="default"/>
        </w:rPr>
        <w:t>”</w:t>
      </w:r>
      <w:r>
        <w:rPr/>
        <w:t>的条件。</w:t>
      </w:r>
    </w:p>
    <w:p>
      <w:pPr>
        <w:pStyle w:val="BodyText"/>
        <w:spacing w:line="240" w:lineRule="auto" w:before="13"/>
        <w:ind w:left="513" w:right="986"/>
        <w:jc w:val="left"/>
      </w:pPr>
      <w:r>
        <w:rPr/>
        <w:t>根据财税</w:t>
      </w:r>
      <w:r>
        <w:rPr>
          <w:rFonts w:ascii="Times New Roman" w:hAnsi="Times New Roman" w:cs="Times New Roman" w:eastAsia="Times New Roman" w:hint="default"/>
        </w:rPr>
        <w:t>[2016]49</w:t>
      </w:r>
      <w:r>
        <w:rPr/>
        <w:t>号财政部、国家税务总局、发展改革委、工业和信息化部关于软件和集成电路产业企业所得税优惠政</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00" w:lineRule="auto" w:before="44"/>
        <w:ind w:right="1118"/>
        <w:jc w:val="left"/>
      </w:pPr>
      <w:r>
        <w:rPr>
          <w:spacing w:val="-2"/>
        </w:rPr>
        <w:t>策有关问题的通知，享受财税〔</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27</w:t>
      </w:r>
      <w:r>
        <w:rPr>
          <w:spacing w:val="-2"/>
        </w:rPr>
        <w:t>号文件规定国家规划布局内的重点软件企业和集成电路设计企业，如当年未享受免</w:t>
      </w:r>
      <w:r>
        <w:rPr>
          <w:spacing w:val="-59"/>
        </w:rPr>
        <w:t> </w:t>
      </w:r>
      <w:r>
        <w:rPr>
          <w:spacing w:val="-59"/>
        </w:rPr>
      </w:r>
      <w:r>
        <w:rPr/>
        <w:t>税优惠的，可减按</w:t>
      </w:r>
      <w:r>
        <w:rPr>
          <w:rFonts w:ascii="Times New Roman" w:hAnsi="Times New Roman" w:cs="Times New Roman" w:eastAsia="Times New Roman" w:hint="default"/>
        </w:rPr>
        <w:t>10%</w:t>
      </w:r>
      <w:r>
        <w:rPr/>
        <w:t>的税率征收企业所得税。本报告期北京君正按应纳税所得额的</w:t>
      </w:r>
      <w:r>
        <w:rPr>
          <w:rFonts w:ascii="Times New Roman" w:hAnsi="Times New Roman" w:cs="Times New Roman" w:eastAsia="Times New Roman" w:hint="default"/>
        </w:rPr>
        <w:t>10%</w:t>
      </w:r>
      <w:r>
        <w:rPr/>
        <w:t>计算缴纳企业所得税。</w:t>
      </w:r>
    </w:p>
    <w:p>
      <w:pPr>
        <w:pStyle w:val="BodyText"/>
        <w:spacing w:line="300" w:lineRule="auto" w:before="13"/>
        <w:ind w:right="986" w:firstLine="360"/>
        <w:jc w:val="left"/>
      </w:pPr>
      <w:r>
        <w:rPr>
          <w:spacing w:val="-2"/>
        </w:rPr>
        <w:t>本公司全资子公司深圳君正时代集成电路有限公司于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30</w:t>
      </w:r>
      <w:r>
        <w:rPr>
          <w:spacing w:val="-2"/>
        </w:rPr>
        <w:t>日取得由深圳市科技创新委员会、深圳市财政委员会、</w:t>
      </w:r>
      <w:r>
        <w:rPr/>
        <w:t> 深圳市国家税务局、深圳市地方税务局联合颁发的高新技术企业证书，证书编号：</w:t>
      </w:r>
      <w:r>
        <w:rPr>
          <w:rFonts w:ascii="Times New Roman" w:hAnsi="Times New Roman" w:cs="Times New Roman" w:eastAsia="Times New Roman" w:hint="default"/>
        </w:rPr>
        <w:t>GR201444201276</w:t>
      </w:r>
      <w:r>
        <w:rPr/>
        <w:t>，有效期限三年。本公</w:t>
      </w:r>
      <w:r>
        <w:rPr>
          <w:spacing w:val="-69"/>
        </w:rPr>
        <w:t> </w:t>
      </w:r>
      <w:r>
        <w:rPr>
          <w:spacing w:val="-69"/>
        </w:rPr>
      </w:r>
      <w:r>
        <w:rPr/>
        <w:t>司全资子公司深圳君正时代集成电路有限公司于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日通过高新技术企业资格复审，证书编号：</w:t>
      </w:r>
      <w:r>
        <w:rPr>
          <w:rFonts w:ascii="Times New Roman" w:hAnsi="Times New Roman" w:cs="Times New Roman" w:eastAsia="Times New Roman" w:hint="default"/>
        </w:rPr>
        <w:t>GR201744200243</w:t>
      </w:r>
      <w:r>
        <w:rPr/>
        <w:t>， 有效期三年。本报告期按应纳税所得额的</w:t>
      </w:r>
      <w:r>
        <w:rPr>
          <w:rFonts w:ascii="Times New Roman" w:hAnsi="Times New Roman" w:cs="Times New Roman" w:eastAsia="Times New Roman" w:hint="default"/>
        </w:rPr>
        <w:t>15%</w:t>
      </w:r>
      <w:r>
        <w:rPr/>
        <w:t>计算缴纳企业所得税。</w:t>
      </w:r>
    </w:p>
    <w:p>
      <w:pPr>
        <w:pStyle w:val="BodyText"/>
        <w:spacing w:line="304" w:lineRule="auto" w:before="53"/>
        <w:ind w:right="1128" w:firstLine="360"/>
        <w:jc w:val="both"/>
      </w:pPr>
      <w:r>
        <w:rPr/>
        <w:t>本公司全资子公司合肥君正科技有限公司于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日取得由安徽省科学技术厅、安徽省财政厅、安徽省国家税务 局、安徽省地方税务局联合颁发的高新技术企业证书，证书编号：</w:t>
      </w:r>
      <w:r>
        <w:rPr>
          <w:rFonts w:ascii="Times New Roman" w:hAnsi="Times New Roman" w:cs="Times New Roman" w:eastAsia="Times New Roman" w:hint="default"/>
        </w:rPr>
        <w:t>GR201734000672</w:t>
      </w:r>
      <w:r>
        <w:rPr/>
        <w:t>，有效期三年。同时，根据《进一步鼓</w:t>
      </w:r>
      <w:r>
        <w:rPr>
          <w:spacing w:val="-71"/>
        </w:rPr>
        <w:t> </w:t>
      </w:r>
      <w:r>
        <w:rPr>
          <w:spacing w:val="-71"/>
        </w:rPr>
      </w:r>
      <w:r>
        <w:rPr/>
        <w:t>励软件产业和集成电路发展的若干政策》和《软件企业认定管理办法》的有关规定，本公司被认定为软件企业。根据财税</w:t>
      </w:r>
      <w:r>
        <w:rPr>
          <w:spacing w:val="-11"/>
        </w:rPr>
        <w:t> </w:t>
      </w:r>
      <w:r>
        <w:rPr>
          <w:spacing w:val="-11"/>
        </w:rPr>
      </w:r>
      <w:r>
        <w:rPr>
          <w:rFonts w:ascii="Times New Roman" w:hAnsi="Times New Roman" w:cs="Times New Roman" w:eastAsia="Times New Roman" w:hint="default"/>
        </w:rPr>
        <w:t>[2012]27</w:t>
      </w:r>
      <w:r>
        <w:rPr/>
        <w:t>号文件和国税发（</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111</w:t>
      </w:r>
      <w:r>
        <w:rPr/>
        <w:t>号有关规定，本公司可享受两免三减半税收优惠。本报告期按应纳税所得额的</w:t>
      </w:r>
      <w:r>
        <w:rPr>
          <w:rFonts w:ascii="Times New Roman" w:hAnsi="Times New Roman" w:cs="Times New Roman" w:eastAsia="Times New Roman" w:hint="default"/>
        </w:rPr>
        <w:t>0%</w:t>
      </w:r>
      <w:r>
        <w:rPr/>
        <w:t>计算</w:t>
      </w:r>
      <w:r>
        <w:rPr>
          <w:spacing w:val="-86"/>
        </w:rPr>
        <w:t> </w:t>
      </w:r>
      <w:r>
        <w:rPr/>
        <w:t>缴纳企业所得税。</w:t>
      </w:r>
    </w:p>
    <w:p>
      <w:pPr>
        <w:spacing w:line="240" w:lineRule="auto" w:before="4"/>
        <w:rPr>
          <w:rFonts w:ascii="宋体" w:hAnsi="宋体" w:cs="宋体" w:eastAsia="宋体" w:hint="default"/>
          <w:sz w:val="23"/>
          <w:szCs w:val="23"/>
        </w:rPr>
      </w:pPr>
    </w:p>
    <w:p>
      <w:pPr>
        <w:spacing w:line="487" w:lineRule="auto" w:before="0"/>
        <w:ind w:left="152" w:right="78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2"/>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67,827.73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44,488.38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151,166,682.63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160,557,359.47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151,234,510.36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160,601,847.85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766,360.83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795,891.40</w:t>
            </w:r>
          </w:p>
        </w:tc>
      </w:tr>
    </w:tbl>
    <w:p>
      <w:pPr>
        <w:pStyle w:val="BodyText"/>
        <w:spacing w:line="240" w:lineRule="auto" w:before="49"/>
        <w:ind w:right="113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645,904,671.24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635,000,000.00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645,904,671.24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635,000,000.00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645,904,671.24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635,000,000.00</w:t>
            </w:r>
          </w:p>
        </w:tc>
      </w:tr>
    </w:tbl>
    <w:p>
      <w:pPr>
        <w:pStyle w:val="BodyText"/>
        <w:spacing w:line="240" w:lineRule="auto" w:before="49"/>
        <w:ind w:right="113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881,640.00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881,640.00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4"/>
        <w:gridCol w:w="761"/>
        <w:gridCol w:w="763"/>
        <w:gridCol w:w="790"/>
        <w:gridCol w:w="775"/>
        <w:gridCol w:w="797"/>
        <w:gridCol w:w="932"/>
        <w:gridCol w:w="797"/>
        <w:gridCol w:w="792"/>
      </w:tblGrid>
      <w:tr>
        <w:trPr>
          <w:trHeight w:val="397"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729" w:type="dxa"/>
            <w:gridSpan w:val="2"/>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10" w:space="0" w:color="D2D2D2"/>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left"/>
              <w:rPr>
                <w:rFonts w:ascii="宋体" w:hAnsi="宋体" w:cs="宋体" w:eastAsia="宋体" w:hint="default"/>
                <w:sz w:val="18"/>
                <w:szCs w:val="18"/>
              </w:rPr>
            </w:pPr>
            <w:r>
              <w:rPr>
                <w:rFonts w:ascii="宋体" w:hAnsi="宋体" w:cs="宋体" w:eastAsia="宋体" w:hint="default"/>
                <w:sz w:val="18"/>
                <w:szCs w:val="18"/>
              </w:rPr>
              <w:t>按组合计提坏账准 备的应收票据</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881,640.</w:t>
            </w:r>
          </w:p>
          <w:p>
            <w:pPr>
              <w:pStyle w:val="TableParagraph"/>
              <w:spacing w:line="240" w:lineRule="auto" w:before="105"/>
              <w:ind w:left="27" w:right="0"/>
              <w:jc w:val="left"/>
              <w:rPr>
                <w:rFonts w:ascii="Times New Roman" w:hAnsi="Times New Roman" w:cs="Times New Roman" w:eastAsia="Times New Roman" w:hint="default"/>
                <w:sz w:val="18"/>
                <w:szCs w:val="18"/>
              </w:rPr>
            </w:pPr>
            <w:r>
              <w:rPr>
                <w:rFonts w:ascii="Times New Roman"/>
                <w:sz w:val="18"/>
              </w:rPr>
              <w:t>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881,640.0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10" w:space="0" w:color="D2D2D2"/>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10" w:space="0" w:color="D2D2D2"/>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881,640.</w:t>
            </w:r>
          </w:p>
          <w:p>
            <w:pPr>
              <w:pStyle w:val="TableParagraph"/>
              <w:spacing w:line="240" w:lineRule="auto" w:before="105"/>
              <w:ind w:left="27" w:right="0"/>
              <w:jc w:val="left"/>
              <w:rPr>
                <w:rFonts w:ascii="Times New Roman" w:hAnsi="Times New Roman" w:cs="Times New Roman" w:eastAsia="Times New Roman" w:hint="default"/>
                <w:sz w:val="18"/>
                <w:szCs w:val="18"/>
              </w:rPr>
            </w:pPr>
            <w:r>
              <w:rPr>
                <w:rFonts w:ascii="Times New Roman"/>
                <w:sz w:val="18"/>
              </w:rPr>
              <w:t>00</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61" w:type="dxa"/>
            <w:vMerge w:val="restart"/>
            <w:tcBorders>
              <w:top w:val="single" w:sz="4" w:space="0" w:color="000000"/>
              <w:left w:val="single" w:sz="4" w:space="0" w:color="000000"/>
              <w:right w:val="single" w:sz="4" w:space="0" w:color="000000"/>
            </w:tcBorders>
          </w:tcPr>
          <w:p>
            <w:pPr/>
          </w:p>
        </w:tc>
        <w:tc>
          <w:tcPr>
            <w:tcW w:w="763"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881,640.0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77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2" w:type="dxa"/>
            <w:vMerge w:val="restart"/>
            <w:tcBorders>
              <w:top w:val="single" w:sz="4" w:space="0" w:color="000000"/>
              <w:left w:val="single" w:sz="4" w:space="0" w:color="000000"/>
              <w:right w:val="single" w:sz="4" w:space="0" w:color="000000"/>
            </w:tcBorders>
          </w:tcPr>
          <w:p>
            <w:pPr/>
          </w:p>
        </w:tc>
      </w:tr>
      <w:tr>
        <w:trPr>
          <w:trHeight w:val="392"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774" w:type="dxa"/>
            <w:vMerge/>
            <w:tcBorders>
              <w:left w:val="single" w:sz="10" w:space="0" w:color="D2D2D2"/>
              <w:right w:val="single" w:sz="4" w:space="0" w:color="000000"/>
            </w:tcBorders>
          </w:tcPr>
          <w:p>
            <w:pPr/>
          </w:p>
        </w:tc>
        <w:tc>
          <w:tcPr>
            <w:tcW w:w="764"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10" w:space="0" w:color="D2D2D2"/>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881,640.</w:t>
            </w:r>
          </w:p>
          <w:p>
            <w:pPr>
              <w:pStyle w:val="TableParagraph"/>
              <w:spacing w:line="240" w:lineRule="auto" w:before="105"/>
              <w:ind w:left="34" w:right="0"/>
              <w:jc w:val="left"/>
              <w:rPr>
                <w:rFonts w:ascii="Times New Roman" w:hAnsi="Times New Roman" w:cs="Times New Roman" w:eastAsia="Times New Roman" w:hint="default"/>
                <w:sz w:val="18"/>
                <w:szCs w:val="18"/>
              </w:rPr>
            </w:pPr>
            <w:r>
              <w:rPr>
                <w:rFonts w:ascii="Times New Roman"/>
                <w:sz w:val="18"/>
              </w:rPr>
              <w:t>00</w:t>
            </w:r>
          </w:p>
        </w:tc>
        <w:tc>
          <w:tcPr>
            <w:tcW w:w="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881,640.0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100.00%</w:t>
            </w:r>
          </w:p>
        </w:tc>
        <w:tc>
          <w:tcPr>
            <w:tcW w:w="761" w:type="dxa"/>
            <w:tcBorders>
              <w:top w:val="nil" w:sz="6" w:space="0" w:color="auto"/>
              <w:left w:val="single" w:sz="4" w:space="0" w:color="000000"/>
              <w:bottom w:val="nil" w:sz="6" w:space="0" w:color="auto"/>
              <w:right w:val="single" w:sz="4" w:space="0" w:color="000000"/>
            </w:tcBorders>
            <w:shd w:val="clear" w:color="auto" w:fill="D2D2D2"/>
          </w:tcPr>
          <w:p>
            <w:pPr/>
          </w:p>
        </w:tc>
        <w:tc>
          <w:tcPr>
            <w:tcW w:w="763" w:type="dxa"/>
            <w:tcBorders>
              <w:top w:val="nil" w:sz="6" w:space="0" w:color="auto"/>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nil" w:sz="6" w:space="0" w:color="auto"/>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
        </w:tc>
        <w:tc>
          <w:tcPr>
            <w:tcW w:w="932" w:type="dxa"/>
            <w:tcBorders>
              <w:top w:val="nil" w:sz="6" w:space="0" w:color="auto"/>
              <w:left w:val="single" w:sz="4" w:space="0" w:color="000000"/>
              <w:bottom w:val="nil" w:sz="6" w:space="0" w:color="auto"/>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
        </w:tc>
        <w:tc>
          <w:tcPr>
            <w:tcW w:w="792"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4"/>
        <w:gridCol w:w="761"/>
        <w:gridCol w:w="763"/>
        <w:gridCol w:w="790"/>
        <w:gridCol w:w="775"/>
        <w:gridCol w:w="797"/>
        <w:gridCol w:w="800"/>
        <w:gridCol w:w="790"/>
        <w:gridCol w:w="931"/>
      </w:tblGrid>
      <w:tr>
        <w:trPr>
          <w:trHeight w:val="398"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23,336,4</w:t>
            </w:r>
          </w:p>
          <w:p>
            <w:pPr>
              <w:pStyle w:val="TableParagraph"/>
              <w:spacing w:line="240" w:lineRule="auto" w:before="105"/>
              <w:ind w:left="329" w:right="0"/>
              <w:jc w:val="left"/>
              <w:rPr>
                <w:rFonts w:ascii="Times New Roman" w:hAnsi="Times New Roman" w:cs="Times New Roman" w:eastAsia="Times New Roman" w:hint="default"/>
                <w:sz w:val="18"/>
                <w:szCs w:val="18"/>
              </w:rPr>
            </w:pPr>
            <w:r>
              <w:rPr>
                <w:rFonts w:ascii="Times New Roman"/>
                <w:sz w:val="18"/>
              </w:rPr>
              <w:t>67.48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23,336,46</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7.48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22,320,82</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2.98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22.28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22,320,800.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70</w:t>
            </w:r>
          </w:p>
        </w:tc>
      </w:tr>
      <w:tr>
        <w:trPr>
          <w:trHeight w:val="401"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1" w:hRule="exact"/>
        </w:trPr>
        <w:tc>
          <w:tcPr>
            <w:tcW w:w="1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10" w:space="0" w:color="D2D2D2"/>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23,336,4</w:t>
            </w:r>
          </w:p>
          <w:p>
            <w:pPr>
              <w:pStyle w:val="TableParagraph"/>
              <w:spacing w:line="240" w:lineRule="auto" w:before="105"/>
              <w:ind w:left="329" w:right="0"/>
              <w:jc w:val="left"/>
              <w:rPr>
                <w:rFonts w:ascii="Times New Roman" w:hAnsi="Times New Roman" w:cs="Times New Roman" w:eastAsia="Times New Roman" w:hint="default"/>
                <w:sz w:val="18"/>
                <w:szCs w:val="18"/>
              </w:rPr>
            </w:pPr>
            <w:r>
              <w:rPr>
                <w:rFonts w:ascii="Times New Roman"/>
                <w:sz w:val="18"/>
              </w:rPr>
              <w:t>67.48</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1" w:type="dxa"/>
            <w:vMerge w:val="restart"/>
            <w:tcBorders>
              <w:top w:val="single" w:sz="4" w:space="0" w:color="000000"/>
              <w:left w:val="single" w:sz="4" w:space="0" w:color="000000"/>
              <w:right w:val="single" w:sz="4" w:space="0" w:color="000000"/>
            </w:tcBorders>
          </w:tcPr>
          <w:p>
            <w:pPr/>
          </w:p>
        </w:tc>
        <w:tc>
          <w:tcPr>
            <w:tcW w:w="763"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23,336,46</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7.48</w:t>
            </w:r>
          </w:p>
        </w:tc>
        <w:tc>
          <w:tcPr>
            <w:tcW w:w="775"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22,320,82</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2.98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100.00%</w:t>
            </w:r>
          </w:p>
        </w:tc>
        <w:tc>
          <w:tcPr>
            <w:tcW w:w="8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22.28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0.00%</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22,320,800.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70</w:t>
            </w:r>
          </w:p>
        </w:tc>
      </w:tr>
      <w:tr>
        <w:trPr>
          <w:trHeight w:val="394" w:hRule="exact"/>
        </w:trPr>
        <w:tc>
          <w:tcPr>
            <w:tcW w:w="16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10" w:space="0" w:color="D2D2D2"/>
              <w:right w:val="single" w:sz="4" w:space="0" w:color="000000"/>
            </w:tcBorders>
          </w:tcPr>
          <w:p>
            <w:pPr/>
          </w:p>
        </w:tc>
        <w:tc>
          <w:tcPr>
            <w:tcW w:w="764"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10" w:space="0" w:color="D2D2D2"/>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按组合计提坏账准备：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按账龄分析法计提坏账准备</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23,336,467.48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23,336,467.48</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49"/>
        <w:ind w:right="1118"/>
        <w:jc w:val="left"/>
      </w:pPr>
      <w:r>
        <w:rPr>
          <w:spacing w:val="-2"/>
        </w:rPr>
        <w:t>确定该组合依据的说明：对于划分为非合并关联方组合的应收账款，公司参考历史信用损失经验，结合当前状况以及对未来</w:t>
      </w:r>
      <w:r>
        <w:rPr>
          <w:spacing w:val="-62"/>
        </w:rPr>
        <w:t> </w:t>
      </w:r>
      <w:r>
        <w:rPr>
          <w:spacing w:val="-62"/>
        </w:rPr>
      </w:r>
      <w:r>
        <w:rPr/>
        <w:t>经济状况的预测，编制应收账款逾期天数与整个存续期预期信用损失率对照表，计算预期信用损失。</w:t>
      </w:r>
      <w:r>
        <w:rPr/>
        <w:t> 如是按照预期信用损失一般模型计提应收账款坏账准备，请参照其他应收款的披露方式披露坏账准备的相关信息：</w:t>
      </w:r>
    </w:p>
    <w:p>
      <w:pPr>
        <w:pStyle w:val="BodyText"/>
        <w:spacing w:line="340" w:lineRule="auto" w:before="44"/>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39"/>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23,336,467.48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个月以内</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23,336,467.48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 </w:t>
            </w:r>
            <w:r>
              <w:rPr>
                <w:rFonts w:ascii="宋体" w:hAnsi="宋体" w:cs="宋体" w:eastAsia="宋体" w:hint="default"/>
                <w:sz w:val="18"/>
                <w:szCs w:val="18"/>
              </w:rPr>
              <w:t>个月</w:t>
            </w:r>
          </w:p>
        </w:tc>
        <w:tc>
          <w:tcPr>
            <w:tcW w:w="47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23,336,467.48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78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按账龄分析法计提 坏账准备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22.28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22.28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0"/>
        <w:gridCol w:w="2530"/>
        <w:gridCol w:w="2530"/>
        <w:gridCol w:w="2528"/>
      </w:tblGrid>
      <w:tr>
        <w:trPr>
          <w:trHeight w:val="71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80"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13,310,432.66</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57.04%</w:t>
            </w:r>
          </w:p>
        </w:tc>
        <w:tc>
          <w:tcPr>
            <w:tcW w:w="25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4,938,339.94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21.16%</w:t>
            </w:r>
          </w:p>
        </w:tc>
        <w:tc>
          <w:tcPr>
            <w:tcW w:w="25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3,819,609.74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16.37%</w:t>
            </w:r>
          </w:p>
        </w:tc>
        <w:tc>
          <w:tcPr>
            <w:tcW w:w="25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790,775.44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3.39%</w:t>
            </w:r>
          </w:p>
        </w:tc>
        <w:tc>
          <w:tcPr>
            <w:tcW w:w="25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292,532.24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w:t>
            </w:r>
          </w:p>
        </w:tc>
        <w:tc>
          <w:tcPr>
            <w:tcW w:w="25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23,151,690.02</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99.21%</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6</w:t>
      </w:r>
      <w:r>
        <w:rPr/>
        <w:t>、应收款项融资</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7</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3829"/>
        <w:gridCol w:w="3819"/>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3,080,364.89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98.65%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3,539,827.20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90.82%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5,000.40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143,259.92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148,574.66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3.81%</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37,081.00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65,766.16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3,122,446.29</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14" w:space="0" w:color="D2D2D2"/>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3,897,427.94</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p>
      <w:pPr>
        <w:spacing w:line="60" w:lineRule="exact"/>
        <w:ind w:left="122" w:right="0" w:firstLine="0"/>
        <w:rPr>
          <w:rFonts w:ascii="宋体" w:hAnsi="宋体" w:cs="宋体" w:eastAsia="宋体" w:hint="default"/>
          <w:sz w:val="6"/>
          <w:szCs w:val="6"/>
        </w:rPr>
      </w:pPr>
      <w:r>
        <w:rPr>
          <w:rFonts w:ascii="宋体" w:hAnsi="宋体" w:cs="宋体" w:eastAsia="宋体" w:hint="default"/>
          <w:position w:val="0"/>
          <w:sz w:val="6"/>
          <w:szCs w:val="6"/>
        </w:rPr>
        <w:pict>
          <v:group style="width:484.8pt;height:3pt;mso-position-horizontal-relative:char;mso-position-vertical-relative:line" coordorigin="0,0" coordsize="9696,60">
            <v:group style="position:absolute;left:30;top:30;width:3117;height:2" coordorigin="30,30" coordsize="3117,2">
              <v:shape style="position:absolute;left:30;top:30;width:3117;height:2" coordorigin="30,30" coordsize="3117,0" path="m30,30l3146,30e" filled="false" stroked="true" strokeweight="3pt" strokecolor="#000000">
                <v:path arrowok="t"/>
              </v:shape>
            </v:group>
            <v:group style="position:absolute;left:3146;top:30;width:60;height:2" coordorigin="3146,30" coordsize="60,2">
              <v:shape style="position:absolute;left:3146;top:30;width:60;height:2" coordorigin="3146,30" coordsize="60,0" path="m3146,30l3206,30e" filled="false" stroked="true" strokeweight="3pt" strokecolor="#000000">
                <v:path arrowok="t"/>
              </v:shape>
            </v:group>
            <v:group style="position:absolute;left:3206;top:30;width:1217;height:2" coordorigin="3206,30" coordsize="1217,2">
              <v:shape style="position:absolute;left:3206;top:30;width:1217;height:2" coordorigin="3206,30" coordsize="1217,0" path="m3206,30l4423,30e" filled="false" stroked="true" strokeweight="3pt" strokecolor="#000000">
                <v:path arrowok="t"/>
              </v:shape>
            </v:group>
            <v:group style="position:absolute;left:4423;top:30;width:60;height:2" coordorigin="4423,30" coordsize="60,2">
              <v:shape style="position:absolute;left:4423;top:30;width:60;height:2" coordorigin="4423,30" coordsize="60,0" path="m4423,30l4483,30e" filled="false" stroked="true" strokeweight="3pt" strokecolor="#000000">
                <v:path arrowok="t"/>
              </v:shape>
            </v:group>
            <v:group style="position:absolute;left:4483;top:30;width:1215;height:2" coordorigin="4483,30" coordsize="1215,2">
              <v:shape style="position:absolute;left:4483;top:30;width:1215;height:2" coordorigin="4483,30" coordsize="1215,0" path="m4483,30l5698,30e" filled="false" stroked="true" strokeweight="3pt" strokecolor="#000000">
                <v:path arrowok="t"/>
              </v:shape>
            </v:group>
            <v:group style="position:absolute;left:5698;top:30;width:60;height:2" coordorigin="5698,30" coordsize="60,2">
              <v:shape style="position:absolute;left:5698;top:30;width:60;height:2" coordorigin="5698,30" coordsize="60,0" path="m5698,30l5758,30e" filled="false" stroked="true" strokeweight="3pt" strokecolor="#000000">
                <v:path arrowok="t"/>
              </v:shape>
            </v:group>
            <v:group style="position:absolute;left:5758;top:30;width:1188;height:2" coordorigin="5758,30" coordsize="1188,2">
              <v:shape style="position:absolute;left:5758;top:30;width:1188;height:2" coordorigin="5758,30" coordsize="1188,0" path="m5758,30l6946,30e" filled="false" stroked="true" strokeweight="3pt" strokecolor="#000000">
                <v:path arrowok="t"/>
              </v:shape>
            </v:group>
            <v:group style="position:absolute;left:6946;top:30;width:60;height:2" coordorigin="6946,30" coordsize="60,2">
              <v:shape style="position:absolute;left:6946;top:30;width:60;height:2" coordorigin="6946,30" coordsize="60,0" path="m6946,30l7006,30e" filled="false" stroked="true" strokeweight="3pt" strokecolor="#000000">
                <v:path arrowok="t"/>
              </v:shape>
            </v:group>
            <v:group style="position:absolute;left:7006;top:30;width:817;height:2" coordorigin="7006,30" coordsize="817,2">
              <v:shape style="position:absolute;left:7006;top:30;width:817;height:2" coordorigin="7006,30" coordsize="817,0" path="m7006,30l7822,30e" filled="false" stroked="true" strokeweight="3pt" strokecolor="#000000">
                <v:path arrowok="t"/>
              </v:shape>
            </v:group>
            <v:group style="position:absolute;left:7822;top:30;width:60;height:2" coordorigin="7822,30" coordsize="60,2">
              <v:shape style="position:absolute;left:7822;top:30;width:60;height:2" coordorigin="7822,30" coordsize="60,0" path="m7822,30l7882,30e" filled="false" stroked="true" strokeweight="3pt" strokecolor="#000000">
                <v:path arrowok="t"/>
              </v:shape>
            </v:group>
            <v:group style="position:absolute;left:7882;top:30;width:1784;height:2" coordorigin="7882,30" coordsize="1784,2">
              <v:shape style="position:absolute;left:7882;top:30;width:1784;height:2" coordorigin="7882,30" coordsize="1784,0" path="m7882,30l9666,30e" filled="false" stroked="true" strokeweight="3pt" strokecolor="#000000">
                <v:path arrowok="t"/>
              </v:shape>
            </v:group>
          </v:group>
        </w:pict>
      </w:r>
      <w:r>
        <w:rPr>
          <w:rFonts w:ascii="宋体" w:hAnsi="宋体" w:cs="宋体" w:eastAsia="宋体" w:hint="default"/>
          <w:position w:val="0"/>
          <w:sz w:val="6"/>
          <w:szCs w:val="6"/>
        </w:rPr>
      </w:r>
    </w:p>
    <w:p>
      <w:pPr>
        <w:spacing w:after="0" w:line="60" w:lineRule="exact"/>
        <w:rPr>
          <w:rFonts w:ascii="宋体" w:hAnsi="宋体" w:cs="宋体" w:eastAsia="宋体" w:hint="default"/>
          <w:sz w:val="6"/>
          <w:szCs w:val="6"/>
        </w:rPr>
        <w:sectPr>
          <w:pgSz w:w="11910" w:h="16840"/>
          <w:pgMar w:header="877" w:footer="979" w:top="1100" w:bottom="1160" w:left="980" w:right="0"/>
        </w:sectPr>
      </w:pPr>
    </w:p>
    <w:p>
      <w:pPr>
        <w:pStyle w:val="Heading4"/>
        <w:tabs>
          <w:tab w:pos="3364" w:val="left" w:leader="none"/>
          <w:tab w:pos="4821" w:val="left" w:leader="none"/>
          <w:tab w:pos="5902" w:val="left" w:leader="none"/>
        </w:tabs>
        <w:spacing w:line="240" w:lineRule="auto"/>
        <w:ind w:left="1350" w:right="-20"/>
        <w:jc w:val="left"/>
        <w:rPr>
          <w:b w:val="0"/>
          <w:bCs w:val="0"/>
        </w:rPr>
      </w:pPr>
      <w:r>
        <w:rPr>
          <w:w w:val="95"/>
        </w:rPr>
        <w:t>单位名称</w:t>
        <w:tab/>
        <w:t>与本公司关系</w:t>
        <w:tab/>
        <w:t>期末余额</w:t>
        <w:tab/>
      </w:r>
      <w:r>
        <w:rPr/>
        <w:t>占预付款项期</w:t>
      </w:r>
      <w:r>
        <w:rPr>
          <w:b w:val="0"/>
          <w:bCs w:val="0"/>
        </w:rPr>
      </w:r>
    </w:p>
    <w:p>
      <w:pPr>
        <w:pStyle w:val="Heading4"/>
        <w:spacing w:line="240" w:lineRule="auto"/>
        <w:ind w:left="118" w:right="-20"/>
        <w:jc w:val="left"/>
        <w:rPr>
          <w:b w:val="0"/>
          <w:bCs w:val="0"/>
        </w:rPr>
      </w:pPr>
      <w:r>
        <w:rPr>
          <w:b w:val="0"/>
          <w:bCs w:val="0"/>
        </w:rPr>
        <w:br w:type="column"/>
      </w:r>
      <w:r>
        <w:rPr/>
        <w:t>预付款时</w:t>
      </w:r>
      <w:r>
        <w:rPr>
          <w:b w:val="0"/>
          <w:bCs w:val="0"/>
        </w:rPr>
      </w:r>
    </w:p>
    <w:p>
      <w:pPr>
        <w:pStyle w:val="Heading4"/>
        <w:spacing w:line="240" w:lineRule="auto"/>
        <w:ind w:left="508" w:right="0"/>
        <w:jc w:val="left"/>
        <w:rPr>
          <w:b w:val="0"/>
          <w:bCs w:val="0"/>
        </w:rPr>
      </w:pPr>
      <w:r>
        <w:rPr>
          <w:b w:val="0"/>
          <w:bCs w:val="0"/>
        </w:rPr>
        <w:br w:type="column"/>
      </w:r>
      <w:r>
        <w:rPr/>
        <w:t>未结算原因</w:t>
      </w:r>
      <w:r>
        <w:rPr>
          <w:b w:val="0"/>
          <w:bCs w:val="0"/>
        </w:rPr>
      </w:r>
    </w:p>
    <w:p>
      <w:pPr>
        <w:spacing w:after="0" w:line="240" w:lineRule="auto"/>
        <w:jc w:val="left"/>
        <w:sectPr>
          <w:type w:val="continuous"/>
          <w:pgSz w:w="11910" w:h="16840"/>
          <w:pgMar w:top="1060" w:bottom="1160" w:left="980" w:right="0"/>
          <w:cols w:num="3" w:equalWidth="0">
            <w:col w:w="6987" w:space="40"/>
            <w:col w:w="842" w:space="40"/>
            <w:col w:w="3021"/>
          </w:cols>
        </w:sectPr>
      </w:pPr>
    </w:p>
    <w:p>
      <w:pPr>
        <w:spacing w:line="240" w:lineRule="auto" w:before="1"/>
        <w:rPr>
          <w:rFonts w:ascii="宋体" w:hAnsi="宋体" w:cs="宋体" w:eastAsia="宋体" w:hint="default"/>
          <w:b/>
          <w:bCs/>
          <w:sz w:val="3"/>
          <w:szCs w:val="3"/>
        </w:rPr>
      </w:pPr>
    </w:p>
    <w:tbl>
      <w:tblPr>
        <w:tblW w:w="0" w:type="auto"/>
        <w:jc w:val="left"/>
        <w:tblInd w:w="138" w:type="dxa"/>
        <w:tblLayout w:type="fixed"/>
        <w:tblCellMar>
          <w:top w:w="0" w:type="dxa"/>
          <w:left w:w="0" w:type="dxa"/>
          <w:bottom w:w="0" w:type="dxa"/>
          <w:right w:w="0" w:type="dxa"/>
        </w:tblCellMar>
        <w:tblLook w:val="01E0"/>
      </w:tblPr>
      <w:tblGrid>
        <w:gridCol w:w="2933"/>
        <w:gridCol w:w="1462"/>
        <w:gridCol w:w="1323"/>
        <w:gridCol w:w="1255"/>
        <w:gridCol w:w="851"/>
        <w:gridCol w:w="1865"/>
      </w:tblGrid>
      <w:tr>
        <w:trPr>
          <w:trHeight w:val="692" w:hRule="exact"/>
        </w:trPr>
        <w:tc>
          <w:tcPr>
            <w:tcW w:w="5718" w:type="dxa"/>
            <w:gridSpan w:val="3"/>
            <w:tcBorders>
              <w:top w:val="nil" w:sz="6" w:space="0" w:color="auto"/>
              <w:left w:val="nil" w:sz="6" w:space="0" w:color="auto"/>
              <w:bottom w:val="single" w:sz="24" w:space="0" w:color="000000"/>
              <w:right w:val="nil" w:sz="6" w:space="0" w:color="auto"/>
            </w:tcBorders>
          </w:tcPr>
          <w:p>
            <w:pPr/>
          </w:p>
        </w:tc>
        <w:tc>
          <w:tcPr>
            <w:tcW w:w="1255" w:type="dxa"/>
            <w:tcBorders>
              <w:top w:val="nil" w:sz="6" w:space="0" w:color="auto"/>
              <w:left w:val="nil" w:sz="6" w:space="0" w:color="auto"/>
              <w:bottom w:val="single" w:sz="24" w:space="0" w:color="000000"/>
              <w:right w:val="nil" w:sz="6" w:space="0" w:color="auto"/>
            </w:tcBorders>
          </w:tcPr>
          <w:p>
            <w:pPr>
              <w:pStyle w:val="TableParagraph"/>
              <w:spacing w:line="316" w:lineRule="auto" w:before="36"/>
              <w:ind w:left="45" w:right="123"/>
              <w:jc w:val="left"/>
              <w:rPr>
                <w:rFonts w:ascii="宋体" w:hAnsi="宋体" w:cs="宋体" w:eastAsia="宋体" w:hint="default"/>
                <w:sz w:val="18"/>
                <w:szCs w:val="18"/>
              </w:rPr>
            </w:pPr>
            <w:r>
              <w:rPr>
                <w:rFonts w:ascii="宋体" w:hAnsi="宋体" w:cs="宋体" w:eastAsia="宋体" w:hint="default"/>
                <w:b/>
                <w:bCs/>
                <w:sz w:val="18"/>
                <w:szCs w:val="18"/>
              </w:rPr>
              <w:t>末余额合计数</w:t>
            </w:r>
            <w:r>
              <w:rPr>
                <w:rFonts w:ascii="宋体" w:hAnsi="宋体" w:cs="宋体" w:eastAsia="宋体" w:hint="default"/>
                <w:b/>
                <w:bCs/>
                <w:w w:val="99"/>
                <w:sz w:val="18"/>
                <w:szCs w:val="18"/>
              </w:rPr>
              <w:t> </w:t>
            </w:r>
            <w:r>
              <w:rPr>
                <w:rFonts w:ascii="宋体" w:hAnsi="宋体" w:cs="宋体" w:eastAsia="宋体" w:hint="default"/>
                <w:b/>
                <w:bCs/>
                <w:sz w:val="18"/>
                <w:szCs w:val="18"/>
              </w:rPr>
              <w:t>的比例（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851" w:type="dxa"/>
            <w:tcBorders>
              <w:top w:val="nil" w:sz="6" w:space="0" w:color="auto"/>
              <w:left w:val="nil" w:sz="6" w:space="0" w:color="auto"/>
              <w:bottom w:val="single" w:sz="24" w:space="0" w:color="000000"/>
              <w:right w:val="nil" w:sz="6" w:space="0" w:color="auto"/>
            </w:tcBorders>
          </w:tcPr>
          <w:p>
            <w:pPr>
              <w:pStyle w:val="TableParagraph"/>
              <w:spacing w:line="240" w:lineRule="auto" w:before="36"/>
              <w:ind w:right="59"/>
              <w:jc w:val="center"/>
              <w:rPr>
                <w:rFonts w:ascii="宋体" w:hAnsi="宋体" w:cs="宋体" w:eastAsia="宋体" w:hint="default"/>
                <w:sz w:val="18"/>
                <w:szCs w:val="18"/>
              </w:rPr>
            </w:pPr>
            <w:r>
              <w:rPr>
                <w:rFonts w:ascii="宋体" w:hAnsi="宋体" w:cs="宋体" w:eastAsia="宋体" w:hint="default"/>
                <w:b/>
                <w:bCs/>
                <w:w w:val="99"/>
                <w:sz w:val="18"/>
                <w:szCs w:val="18"/>
              </w:rPr>
              <w:t>间</w:t>
            </w:r>
            <w:r>
              <w:rPr>
                <w:rFonts w:ascii="宋体" w:hAnsi="宋体" w:cs="宋体" w:eastAsia="宋体" w:hint="default"/>
                <w:sz w:val="18"/>
                <w:szCs w:val="18"/>
              </w:rPr>
            </w:r>
          </w:p>
        </w:tc>
        <w:tc>
          <w:tcPr>
            <w:tcW w:w="1865" w:type="dxa"/>
            <w:tcBorders>
              <w:top w:val="nil" w:sz="6" w:space="0" w:color="auto"/>
              <w:left w:val="nil" w:sz="6" w:space="0" w:color="auto"/>
              <w:bottom w:val="single" w:sz="24" w:space="0" w:color="000000"/>
              <w:right w:val="nil" w:sz="6" w:space="0" w:color="auto"/>
            </w:tcBorders>
          </w:tcPr>
          <w:p>
            <w:pPr/>
          </w:p>
        </w:tc>
      </w:tr>
      <w:tr>
        <w:trPr>
          <w:trHeight w:val="391" w:hRule="exact"/>
        </w:trPr>
        <w:tc>
          <w:tcPr>
            <w:tcW w:w="2933" w:type="dxa"/>
            <w:tcBorders>
              <w:top w:val="single" w:sz="24" w:space="0" w:color="000000"/>
              <w:left w:val="nil" w:sz="6" w:space="0" w:color="auto"/>
              <w:bottom w:val="single" w:sz="24" w:space="0" w:color="000000"/>
              <w:right w:val="nil" w:sz="6" w:space="0" w:color="auto"/>
            </w:tcBorders>
          </w:tcPr>
          <w:p>
            <w:pPr>
              <w:pStyle w:val="TableParagraph"/>
              <w:spacing w:line="240" w:lineRule="auto" w:before="17"/>
              <w:ind w:left="26" w:right="0"/>
              <w:jc w:val="left"/>
              <w:rPr>
                <w:rFonts w:ascii="宋体" w:hAnsi="宋体" w:cs="宋体" w:eastAsia="宋体" w:hint="default"/>
                <w:sz w:val="18"/>
                <w:szCs w:val="18"/>
              </w:rPr>
            </w:pPr>
            <w:r>
              <w:rPr>
                <w:rFonts w:ascii="宋体"/>
                <w:sz w:val="18"/>
              </w:rPr>
              <w:t>SamsungElectronicsCO.,LTD</w:t>
            </w:r>
          </w:p>
        </w:tc>
        <w:tc>
          <w:tcPr>
            <w:tcW w:w="1462" w:type="dxa"/>
            <w:tcBorders>
              <w:top w:val="single" w:sz="24" w:space="0" w:color="000000"/>
              <w:left w:val="nil" w:sz="6" w:space="0" w:color="auto"/>
              <w:bottom w:val="single" w:sz="24" w:space="0" w:color="000000"/>
              <w:right w:val="nil" w:sz="6" w:space="0" w:color="auto"/>
            </w:tcBorders>
          </w:tcPr>
          <w:p>
            <w:pPr>
              <w:pStyle w:val="TableParagraph"/>
              <w:spacing w:line="240" w:lineRule="auto" w:before="17"/>
              <w:ind w:right="173"/>
              <w:jc w:val="right"/>
              <w:rPr>
                <w:rFonts w:ascii="宋体" w:hAnsi="宋体" w:cs="宋体" w:eastAsia="宋体" w:hint="default"/>
                <w:sz w:val="18"/>
                <w:szCs w:val="18"/>
              </w:rPr>
            </w:pPr>
            <w:r>
              <w:rPr>
                <w:rFonts w:ascii="宋体" w:hAnsi="宋体" w:cs="宋体" w:eastAsia="宋体" w:hint="default"/>
                <w:sz w:val="18"/>
                <w:szCs w:val="18"/>
              </w:rPr>
              <w:t>非关联关系</w:t>
            </w:r>
          </w:p>
        </w:tc>
        <w:tc>
          <w:tcPr>
            <w:tcW w:w="1323" w:type="dxa"/>
            <w:tcBorders>
              <w:top w:val="single" w:sz="24" w:space="0" w:color="000000"/>
              <w:left w:val="nil" w:sz="6" w:space="0" w:color="auto"/>
              <w:bottom w:val="single" w:sz="24" w:space="0" w:color="000000"/>
              <w:right w:val="nil" w:sz="6" w:space="0" w:color="auto"/>
            </w:tcBorders>
          </w:tcPr>
          <w:p>
            <w:pPr>
              <w:pStyle w:val="TableParagraph"/>
              <w:spacing w:line="240" w:lineRule="auto" w:before="60"/>
              <w:ind w:right="43"/>
              <w:jc w:val="right"/>
              <w:rPr>
                <w:rFonts w:ascii="Times New Roman" w:hAnsi="Times New Roman" w:cs="Times New Roman" w:eastAsia="Times New Roman" w:hint="default"/>
                <w:sz w:val="18"/>
                <w:szCs w:val="18"/>
              </w:rPr>
            </w:pPr>
            <w:r>
              <w:rPr>
                <w:rFonts w:ascii="Times New Roman"/>
                <w:spacing w:val="-1"/>
                <w:sz w:val="18"/>
              </w:rPr>
              <w:t>1,704,345.60</w:t>
            </w:r>
          </w:p>
        </w:tc>
        <w:tc>
          <w:tcPr>
            <w:tcW w:w="1255" w:type="dxa"/>
            <w:tcBorders>
              <w:top w:val="single" w:sz="24" w:space="0" w:color="000000"/>
              <w:left w:val="nil" w:sz="6" w:space="0" w:color="auto"/>
              <w:bottom w:val="single" w:sz="24" w:space="0" w:color="000000"/>
              <w:right w:val="nil" w:sz="6" w:space="0" w:color="auto"/>
            </w:tcBorders>
          </w:tcPr>
          <w:p>
            <w:pPr>
              <w:pStyle w:val="TableParagraph"/>
              <w:spacing w:line="240" w:lineRule="auto" w:before="60"/>
              <w:ind w:left="386" w:right="0"/>
              <w:jc w:val="left"/>
              <w:rPr>
                <w:rFonts w:ascii="Times New Roman" w:hAnsi="Times New Roman" w:cs="Times New Roman" w:eastAsia="Times New Roman" w:hint="default"/>
                <w:sz w:val="18"/>
                <w:szCs w:val="18"/>
              </w:rPr>
            </w:pPr>
            <w:r>
              <w:rPr>
                <w:rFonts w:ascii="Times New Roman"/>
                <w:sz w:val="18"/>
              </w:rPr>
              <w:t>54.58</w:t>
            </w:r>
          </w:p>
        </w:tc>
        <w:tc>
          <w:tcPr>
            <w:tcW w:w="851" w:type="dxa"/>
            <w:tcBorders>
              <w:top w:val="single" w:sz="24" w:space="0" w:color="000000"/>
              <w:left w:val="nil" w:sz="6" w:space="0" w:color="auto"/>
              <w:bottom w:val="single" w:sz="24" w:space="0" w:color="000000"/>
              <w:right w:val="nil" w:sz="6" w:space="0" w:color="auto"/>
            </w:tcBorders>
          </w:tcPr>
          <w:p>
            <w:pPr>
              <w:pStyle w:val="TableParagraph"/>
              <w:spacing w:line="240" w:lineRule="auto" w:before="17"/>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1865" w:type="dxa"/>
            <w:tcBorders>
              <w:top w:val="single" w:sz="24" w:space="0" w:color="000000"/>
              <w:left w:val="nil" w:sz="6" w:space="0" w:color="auto"/>
              <w:bottom w:val="single" w:sz="24" w:space="0" w:color="000000"/>
              <w:right w:val="nil" w:sz="6" w:space="0" w:color="auto"/>
            </w:tcBorders>
          </w:tcPr>
          <w:p>
            <w:pPr>
              <w:pStyle w:val="TableParagraph"/>
              <w:spacing w:line="240" w:lineRule="auto" w:before="17"/>
              <w:ind w:left="183" w:right="0"/>
              <w:jc w:val="left"/>
              <w:rPr>
                <w:rFonts w:ascii="宋体" w:hAnsi="宋体" w:cs="宋体" w:eastAsia="宋体" w:hint="default"/>
                <w:sz w:val="18"/>
                <w:szCs w:val="18"/>
              </w:rPr>
            </w:pPr>
            <w:r>
              <w:rPr>
                <w:rFonts w:ascii="宋体" w:hAnsi="宋体" w:cs="宋体" w:eastAsia="宋体" w:hint="default"/>
                <w:sz w:val="18"/>
                <w:szCs w:val="18"/>
              </w:rPr>
              <w:t>尚未达到结算时点</w:t>
            </w:r>
          </w:p>
        </w:tc>
      </w:tr>
      <w:tr>
        <w:trPr>
          <w:trHeight w:val="391" w:hRule="exact"/>
        </w:trPr>
        <w:tc>
          <w:tcPr>
            <w:tcW w:w="2933" w:type="dxa"/>
            <w:tcBorders>
              <w:top w:val="single" w:sz="24" w:space="0" w:color="000000"/>
              <w:left w:val="nil" w:sz="6" w:space="0" w:color="auto"/>
              <w:bottom w:val="single" w:sz="24" w:space="0" w:color="000000"/>
              <w:right w:val="nil" w:sz="6" w:space="0" w:color="auto"/>
            </w:tcBorders>
          </w:tcPr>
          <w:p>
            <w:pPr>
              <w:pStyle w:val="TableParagraph"/>
              <w:spacing w:line="240" w:lineRule="auto" w:before="17"/>
              <w:ind w:left="26" w:right="0"/>
              <w:jc w:val="left"/>
              <w:rPr>
                <w:rFonts w:ascii="宋体" w:hAnsi="宋体" w:cs="宋体" w:eastAsia="宋体" w:hint="default"/>
                <w:sz w:val="18"/>
                <w:szCs w:val="18"/>
              </w:rPr>
            </w:pPr>
            <w:r>
              <w:rPr>
                <w:rFonts w:ascii="宋体" w:hAnsi="宋体" w:cs="宋体" w:eastAsia="宋体" w:hint="default"/>
                <w:sz w:val="18"/>
                <w:szCs w:val="18"/>
              </w:rPr>
              <w:t>中国海关预付进口税费</w:t>
            </w:r>
          </w:p>
        </w:tc>
        <w:tc>
          <w:tcPr>
            <w:tcW w:w="1462" w:type="dxa"/>
            <w:tcBorders>
              <w:top w:val="single" w:sz="24" w:space="0" w:color="000000"/>
              <w:left w:val="nil" w:sz="6" w:space="0" w:color="auto"/>
              <w:bottom w:val="single" w:sz="24" w:space="0" w:color="000000"/>
              <w:right w:val="nil" w:sz="6" w:space="0" w:color="auto"/>
            </w:tcBorders>
          </w:tcPr>
          <w:p>
            <w:pPr>
              <w:pStyle w:val="TableParagraph"/>
              <w:spacing w:line="240" w:lineRule="auto" w:before="17"/>
              <w:ind w:right="173"/>
              <w:jc w:val="right"/>
              <w:rPr>
                <w:rFonts w:ascii="宋体" w:hAnsi="宋体" w:cs="宋体" w:eastAsia="宋体" w:hint="default"/>
                <w:sz w:val="18"/>
                <w:szCs w:val="18"/>
              </w:rPr>
            </w:pPr>
            <w:r>
              <w:rPr>
                <w:rFonts w:ascii="宋体" w:hAnsi="宋体" w:cs="宋体" w:eastAsia="宋体" w:hint="default"/>
                <w:sz w:val="18"/>
                <w:szCs w:val="18"/>
              </w:rPr>
              <w:t>非关联关系</w:t>
            </w:r>
          </w:p>
        </w:tc>
        <w:tc>
          <w:tcPr>
            <w:tcW w:w="1323" w:type="dxa"/>
            <w:tcBorders>
              <w:top w:val="single" w:sz="24" w:space="0" w:color="000000"/>
              <w:left w:val="nil" w:sz="6" w:space="0" w:color="auto"/>
              <w:bottom w:val="single" w:sz="24" w:space="0" w:color="000000"/>
              <w:right w:val="nil" w:sz="6" w:space="0" w:color="auto"/>
            </w:tcBorders>
          </w:tcPr>
          <w:p>
            <w:pPr>
              <w:pStyle w:val="TableParagraph"/>
              <w:spacing w:line="240" w:lineRule="auto" w:before="60"/>
              <w:ind w:right="43"/>
              <w:jc w:val="right"/>
              <w:rPr>
                <w:rFonts w:ascii="Times New Roman" w:hAnsi="Times New Roman" w:cs="Times New Roman" w:eastAsia="Times New Roman" w:hint="default"/>
                <w:sz w:val="18"/>
                <w:szCs w:val="18"/>
              </w:rPr>
            </w:pPr>
            <w:r>
              <w:rPr>
                <w:rFonts w:ascii="Times New Roman"/>
                <w:spacing w:val="-1"/>
                <w:sz w:val="18"/>
              </w:rPr>
              <w:t>529,107.41</w:t>
            </w:r>
          </w:p>
        </w:tc>
        <w:tc>
          <w:tcPr>
            <w:tcW w:w="1255" w:type="dxa"/>
            <w:tcBorders>
              <w:top w:val="single" w:sz="24" w:space="0" w:color="000000"/>
              <w:left w:val="nil" w:sz="6" w:space="0" w:color="auto"/>
              <w:bottom w:val="single" w:sz="24" w:space="0" w:color="000000"/>
              <w:right w:val="nil" w:sz="6" w:space="0" w:color="auto"/>
            </w:tcBorders>
          </w:tcPr>
          <w:p>
            <w:pPr>
              <w:pStyle w:val="TableParagraph"/>
              <w:spacing w:line="240" w:lineRule="auto" w:before="60"/>
              <w:ind w:left="386" w:right="0"/>
              <w:jc w:val="left"/>
              <w:rPr>
                <w:rFonts w:ascii="Times New Roman" w:hAnsi="Times New Roman" w:cs="Times New Roman" w:eastAsia="Times New Roman" w:hint="default"/>
                <w:sz w:val="18"/>
                <w:szCs w:val="18"/>
              </w:rPr>
            </w:pPr>
            <w:r>
              <w:rPr>
                <w:rFonts w:ascii="Times New Roman"/>
                <w:sz w:val="18"/>
              </w:rPr>
              <w:t>16.95</w:t>
            </w:r>
          </w:p>
        </w:tc>
        <w:tc>
          <w:tcPr>
            <w:tcW w:w="851" w:type="dxa"/>
            <w:tcBorders>
              <w:top w:val="single" w:sz="24" w:space="0" w:color="000000"/>
              <w:left w:val="nil" w:sz="6" w:space="0" w:color="auto"/>
              <w:bottom w:val="single" w:sz="24" w:space="0" w:color="000000"/>
              <w:right w:val="nil" w:sz="6" w:space="0" w:color="auto"/>
            </w:tcBorders>
          </w:tcPr>
          <w:p>
            <w:pPr>
              <w:pStyle w:val="TableParagraph"/>
              <w:spacing w:line="240" w:lineRule="auto" w:before="17"/>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1865" w:type="dxa"/>
            <w:tcBorders>
              <w:top w:val="single" w:sz="24" w:space="0" w:color="000000"/>
              <w:left w:val="nil" w:sz="6" w:space="0" w:color="auto"/>
              <w:bottom w:val="single" w:sz="24" w:space="0" w:color="000000"/>
              <w:right w:val="nil" w:sz="6" w:space="0" w:color="auto"/>
            </w:tcBorders>
          </w:tcPr>
          <w:p>
            <w:pPr>
              <w:pStyle w:val="TableParagraph"/>
              <w:spacing w:line="240" w:lineRule="auto" w:before="17"/>
              <w:ind w:left="183" w:right="0"/>
              <w:jc w:val="left"/>
              <w:rPr>
                <w:rFonts w:ascii="宋体" w:hAnsi="宋体" w:cs="宋体" w:eastAsia="宋体" w:hint="default"/>
                <w:sz w:val="18"/>
                <w:szCs w:val="18"/>
              </w:rPr>
            </w:pPr>
            <w:r>
              <w:rPr>
                <w:rFonts w:ascii="宋体" w:hAnsi="宋体" w:cs="宋体" w:eastAsia="宋体" w:hint="default"/>
                <w:sz w:val="18"/>
                <w:szCs w:val="18"/>
              </w:rPr>
              <w:t>尚未达到结算时点</w:t>
            </w:r>
          </w:p>
        </w:tc>
      </w:tr>
      <w:tr>
        <w:trPr>
          <w:trHeight w:val="394" w:hRule="exact"/>
        </w:trPr>
        <w:tc>
          <w:tcPr>
            <w:tcW w:w="2933" w:type="dxa"/>
            <w:tcBorders>
              <w:top w:val="single" w:sz="24" w:space="0" w:color="000000"/>
              <w:left w:val="nil" w:sz="6" w:space="0" w:color="auto"/>
              <w:bottom w:val="single" w:sz="24" w:space="0" w:color="000000"/>
              <w:right w:val="nil" w:sz="6" w:space="0" w:color="auto"/>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台湾积体电路制造股份有限公司</w:t>
            </w:r>
          </w:p>
        </w:tc>
        <w:tc>
          <w:tcPr>
            <w:tcW w:w="1462" w:type="dxa"/>
            <w:tcBorders>
              <w:top w:val="single" w:sz="24" w:space="0" w:color="000000"/>
              <w:left w:val="nil" w:sz="6" w:space="0" w:color="auto"/>
              <w:bottom w:val="single" w:sz="24" w:space="0" w:color="000000"/>
              <w:right w:val="nil" w:sz="6" w:space="0" w:color="auto"/>
            </w:tcBorders>
          </w:tcPr>
          <w:p>
            <w:pPr>
              <w:pStyle w:val="TableParagraph"/>
              <w:spacing w:line="240" w:lineRule="auto" w:before="20"/>
              <w:ind w:right="173"/>
              <w:jc w:val="right"/>
              <w:rPr>
                <w:rFonts w:ascii="宋体" w:hAnsi="宋体" w:cs="宋体" w:eastAsia="宋体" w:hint="default"/>
                <w:sz w:val="18"/>
                <w:szCs w:val="18"/>
              </w:rPr>
            </w:pPr>
            <w:r>
              <w:rPr>
                <w:rFonts w:ascii="宋体" w:hAnsi="宋体" w:cs="宋体" w:eastAsia="宋体" w:hint="default"/>
                <w:sz w:val="18"/>
                <w:szCs w:val="18"/>
              </w:rPr>
              <w:t>非关联关系</w:t>
            </w:r>
          </w:p>
        </w:tc>
        <w:tc>
          <w:tcPr>
            <w:tcW w:w="1323" w:type="dxa"/>
            <w:tcBorders>
              <w:top w:val="single" w:sz="24" w:space="0" w:color="000000"/>
              <w:left w:val="nil" w:sz="6" w:space="0" w:color="auto"/>
              <w:bottom w:val="single" w:sz="24" w:space="0" w:color="000000"/>
              <w:right w:val="nil" w:sz="6" w:space="0" w:color="auto"/>
            </w:tcBorders>
          </w:tcPr>
          <w:p>
            <w:pPr>
              <w:pStyle w:val="TableParagraph"/>
              <w:spacing w:line="240" w:lineRule="auto" w:before="62"/>
              <w:ind w:right="43"/>
              <w:jc w:val="right"/>
              <w:rPr>
                <w:rFonts w:ascii="Times New Roman" w:hAnsi="Times New Roman" w:cs="Times New Roman" w:eastAsia="Times New Roman" w:hint="default"/>
                <w:sz w:val="18"/>
                <w:szCs w:val="18"/>
              </w:rPr>
            </w:pPr>
            <w:r>
              <w:rPr>
                <w:rFonts w:ascii="Times New Roman"/>
                <w:spacing w:val="-1"/>
                <w:sz w:val="18"/>
              </w:rPr>
              <w:t>352,639.56</w:t>
            </w:r>
          </w:p>
        </w:tc>
        <w:tc>
          <w:tcPr>
            <w:tcW w:w="1255" w:type="dxa"/>
            <w:tcBorders>
              <w:top w:val="single" w:sz="24" w:space="0" w:color="000000"/>
              <w:left w:val="nil" w:sz="6" w:space="0" w:color="auto"/>
              <w:bottom w:val="single" w:sz="24" w:space="0" w:color="000000"/>
              <w:right w:val="nil" w:sz="6" w:space="0" w:color="auto"/>
            </w:tcBorders>
          </w:tcPr>
          <w:p>
            <w:pPr>
              <w:pStyle w:val="TableParagraph"/>
              <w:spacing w:line="240" w:lineRule="auto" w:before="62"/>
              <w:ind w:left="386" w:right="0"/>
              <w:jc w:val="left"/>
              <w:rPr>
                <w:rFonts w:ascii="Times New Roman" w:hAnsi="Times New Roman" w:cs="Times New Roman" w:eastAsia="Times New Roman" w:hint="default"/>
                <w:sz w:val="18"/>
                <w:szCs w:val="18"/>
              </w:rPr>
            </w:pPr>
            <w:r>
              <w:rPr>
                <w:rFonts w:ascii="Times New Roman"/>
                <w:sz w:val="18"/>
              </w:rPr>
              <w:t>11.29</w:t>
            </w:r>
          </w:p>
        </w:tc>
        <w:tc>
          <w:tcPr>
            <w:tcW w:w="851" w:type="dxa"/>
            <w:tcBorders>
              <w:top w:val="single" w:sz="24" w:space="0" w:color="000000"/>
              <w:left w:val="nil" w:sz="6" w:space="0" w:color="auto"/>
              <w:bottom w:val="single" w:sz="24" w:space="0" w:color="000000"/>
              <w:right w:val="nil" w:sz="6" w:space="0" w:color="auto"/>
            </w:tcBorders>
          </w:tcPr>
          <w:p>
            <w:pPr>
              <w:pStyle w:val="TableParagraph"/>
              <w:spacing w:line="240" w:lineRule="auto" w:before="20"/>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1865" w:type="dxa"/>
            <w:tcBorders>
              <w:top w:val="single" w:sz="24" w:space="0" w:color="000000"/>
              <w:left w:val="nil" w:sz="6" w:space="0" w:color="auto"/>
              <w:bottom w:val="single" w:sz="24" w:space="0" w:color="000000"/>
              <w:right w:val="nil" w:sz="6" w:space="0" w:color="auto"/>
            </w:tcBorders>
          </w:tcPr>
          <w:p>
            <w:pPr>
              <w:pStyle w:val="TableParagraph"/>
              <w:spacing w:line="240" w:lineRule="auto" w:before="20"/>
              <w:ind w:left="183" w:right="0"/>
              <w:jc w:val="left"/>
              <w:rPr>
                <w:rFonts w:ascii="宋体" w:hAnsi="宋体" w:cs="宋体" w:eastAsia="宋体" w:hint="default"/>
                <w:sz w:val="18"/>
                <w:szCs w:val="18"/>
              </w:rPr>
            </w:pPr>
            <w:r>
              <w:rPr>
                <w:rFonts w:ascii="宋体" w:hAnsi="宋体" w:cs="宋体" w:eastAsia="宋体" w:hint="default"/>
                <w:sz w:val="18"/>
                <w:szCs w:val="18"/>
              </w:rPr>
              <w:t>尚未达到结算时点</w:t>
            </w:r>
          </w:p>
        </w:tc>
      </w:tr>
      <w:tr>
        <w:trPr>
          <w:trHeight w:val="391" w:hRule="exact"/>
        </w:trPr>
        <w:tc>
          <w:tcPr>
            <w:tcW w:w="2933" w:type="dxa"/>
            <w:tcBorders>
              <w:top w:val="single" w:sz="24" w:space="0" w:color="000000"/>
              <w:left w:val="nil" w:sz="6" w:space="0" w:color="auto"/>
              <w:bottom w:val="single" w:sz="24" w:space="0" w:color="000000"/>
              <w:right w:val="nil" w:sz="6" w:space="0" w:color="auto"/>
            </w:tcBorders>
          </w:tcPr>
          <w:p>
            <w:pPr>
              <w:pStyle w:val="TableParagraph"/>
              <w:spacing w:line="240" w:lineRule="auto" w:before="17"/>
              <w:ind w:left="26" w:right="0"/>
              <w:jc w:val="left"/>
              <w:rPr>
                <w:rFonts w:ascii="宋体" w:hAnsi="宋体" w:cs="宋体" w:eastAsia="宋体" w:hint="default"/>
                <w:sz w:val="18"/>
                <w:szCs w:val="18"/>
              </w:rPr>
            </w:pPr>
            <w:r>
              <w:rPr>
                <w:rFonts w:ascii="宋体" w:hAnsi="宋体" w:cs="宋体" w:eastAsia="宋体" w:hint="default"/>
                <w:sz w:val="18"/>
                <w:szCs w:val="18"/>
              </w:rPr>
              <w:t>深圳市中远洋航空服务有限公司</w:t>
            </w:r>
          </w:p>
        </w:tc>
        <w:tc>
          <w:tcPr>
            <w:tcW w:w="1462" w:type="dxa"/>
            <w:tcBorders>
              <w:top w:val="single" w:sz="24" w:space="0" w:color="000000"/>
              <w:left w:val="nil" w:sz="6" w:space="0" w:color="auto"/>
              <w:bottom w:val="single" w:sz="24" w:space="0" w:color="000000"/>
              <w:right w:val="nil" w:sz="6" w:space="0" w:color="auto"/>
            </w:tcBorders>
          </w:tcPr>
          <w:p>
            <w:pPr>
              <w:pStyle w:val="TableParagraph"/>
              <w:spacing w:line="240" w:lineRule="auto" w:before="17"/>
              <w:ind w:right="173"/>
              <w:jc w:val="right"/>
              <w:rPr>
                <w:rFonts w:ascii="宋体" w:hAnsi="宋体" w:cs="宋体" w:eastAsia="宋体" w:hint="default"/>
                <w:sz w:val="18"/>
                <w:szCs w:val="18"/>
              </w:rPr>
            </w:pPr>
            <w:r>
              <w:rPr>
                <w:rFonts w:ascii="宋体" w:hAnsi="宋体" w:cs="宋体" w:eastAsia="宋体" w:hint="default"/>
                <w:sz w:val="18"/>
                <w:szCs w:val="18"/>
              </w:rPr>
              <w:t>非关联关系</w:t>
            </w:r>
          </w:p>
        </w:tc>
        <w:tc>
          <w:tcPr>
            <w:tcW w:w="1323" w:type="dxa"/>
            <w:tcBorders>
              <w:top w:val="single" w:sz="24" w:space="0" w:color="000000"/>
              <w:left w:val="nil" w:sz="6" w:space="0" w:color="auto"/>
              <w:bottom w:val="single" w:sz="24" w:space="0" w:color="000000"/>
              <w:right w:val="nil" w:sz="6" w:space="0" w:color="auto"/>
            </w:tcBorders>
          </w:tcPr>
          <w:p>
            <w:pPr>
              <w:pStyle w:val="TableParagraph"/>
              <w:spacing w:line="240" w:lineRule="auto" w:before="60"/>
              <w:ind w:right="43"/>
              <w:jc w:val="right"/>
              <w:rPr>
                <w:rFonts w:ascii="Times New Roman" w:hAnsi="Times New Roman" w:cs="Times New Roman" w:eastAsia="Times New Roman" w:hint="default"/>
                <w:sz w:val="18"/>
                <w:szCs w:val="18"/>
              </w:rPr>
            </w:pPr>
            <w:r>
              <w:rPr>
                <w:rFonts w:ascii="Times New Roman"/>
                <w:spacing w:val="-1"/>
                <w:sz w:val="18"/>
              </w:rPr>
              <w:t>119,050.00</w:t>
            </w:r>
          </w:p>
        </w:tc>
        <w:tc>
          <w:tcPr>
            <w:tcW w:w="1255" w:type="dxa"/>
            <w:tcBorders>
              <w:top w:val="single" w:sz="24" w:space="0" w:color="000000"/>
              <w:left w:val="nil" w:sz="6" w:space="0" w:color="auto"/>
              <w:bottom w:val="single" w:sz="24" w:space="0" w:color="000000"/>
              <w:right w:val="nil" w:sz="6" w:space="0" w:color="auto"/>
            </w:tcBorders>
          </w:tcPr>
          <w:p>
            <w:pPr>
              <w:pStyle w:val="TableParagraph"/>
              <w:spacing w:line="240" w:lineRule="auto" w:before="60"/>
              <w:ind w:left="432" w:right="0"/>
              <w:jc w:val="left"/>
              <w:rPr>
                <w:rFonts w:ascii="Times New Roman" w:hAnsi="Times New Roman" w:cs="Times New Roman" w:eastAsia="Times New Roman" w:hint="default"/>
                <w:sz w:val="18"/>
                <w:szCs w:val="18"/>
              </w:rPr>
            </w:pPr>
            <w:r>
              <w:rPr>
                <w:rFonts w:ascii="Times New Roman"/>
                <w:sz w:val="18"/>
              </w:rPr>
              <w:t>3.81</w:t>
            </w:r>
          </w:p>
        </w:tc>
        <w:tc>
          <w:tcPr>
            <w:tcW w:w="851" w:type="dxa"/>
            <w:tcBorders>
              <w:top w:val="single" w:sz="24" w:space="0" w:color="000000"/>
              <w:left w:val="nil" w:sz="6" w:space="0" w:color="auto"/>
              <w:bottom w:val="single" w:sz="24" w:space="0" w:color="000000"/>
              <w:right w:val="nil" w:sz="6" w:space="0" w:color="auto"/>
            </w:tcBorders>
          </w:tcPr>
          <w:p>
            <w:pPr>
              <w:pStyle w:val="TableParagraph"/>
              <w:spacing w:line="240" w:lineRule="auto" w:before="17"/>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1865" w:type="dxa"/>
            <w:tcBorders>
              <w:top w:val="single" w:sz="24" w:space="0" w:color="000000"/>
              <w:left w:val="nil" w:sz="6" w:space="0" w:color="auto"/>
              <w:bottom w:val="single" w:sz="24" w:space="0" w:color="000000"/>
              <w:right w:val="nil" w:sz="6" w:space="0" w:color="auto"/>
            </w:tcBorders>
          </w:tcPr>
          <w:p>
            <w:pPr>
              <w:pStyle w:val="TableParagraph"/>
              <w:spacing w:line="240" w:lineRule="auto" w:before="17"/>
              <w:ind w:left="183" w:right="0"/>
              <w:jc w:val="left"/>
              <w:rPr>
                <w:rFonts w:ascii="宋体" w:hAnsi="宋体" w:cs="宋体" w:eastAsia="宋体" w:hint="default"/>
                <w:sz w:val="18"/>
                <w:szCs w:val="18"/>
              </w:rPr>
            </w:pPr>
            <w:r>
              <w:rPr>
                <w:rFonts w:ascii="宋体" w:hAnsi="宋体" w:cs="宋体" w:eastAsia="宋体" w:hint="default"/>
                <w:sz w:val="18"/>
                <w:szCs w:val="18"/>
              </w:rPr>
              <w:t>尚未达到结算时点</w:t>
            </w:r>
          </w:p>
        </w:tc>
      </w:tr>
      <w:tr>
        <w:trPr>
          <w:trHeight w:val="392" w:hRule="exact"/>
        </w:trPr>
        <w:tc>
          <w:tcPr>
            <w:tcW w:w="2933" w:type="dxa"/>
            <w:tcBorders>
              <w:top w:val="single" w:sz="24" w:space="0" w:color="000000"/>
              <w:left w:val="nil" w:sz="6" w:space="0" w:color="auto"/>
              <w:bottom w:val="single" w:sz="24" w:space="0" w:color="000000"/>
              <w:right w:val="nil" w:sz="6" w:space="0" w:color="auto"/>
            </w:tcBorders>
          </w:tcPr>
          <w:p>
            <w:pPr>
              <w:pStyle w:val="TableParagraph"/>
              <w:spacing w:line="240" w:lineRule="auto" w:before="17"/>
              <w:ind w:left="26" w:right="0"/>
              <w:jc w:val="left"/>
              <w:rPr>
                <w:rFonts w:ascii="宋体" w:hAnsi="宋体" w:cs="宋体" w:eastAsia="宋体" w:hint="default"/>
                <w:sz w:val="18"/>
                <w:szCs w:val="18"/>
              </w:rPr>
            </w:pPr>
            <w:r>
              <w:rPr>
                <w:rFonts w:ascii="宋体" w:hAnsi="宋体" w:cs="宋体" w:eastAsia="宋体" w:hint="default"/>
                <w:sz w:val="18"/>
                <w:szCs w:val="18"/>
              </w:rPr>
              <w:t>合肥高新股份有限公司</w:t>
            </w:r>
          </w:p>
        </w:tc>
        <w:tc>
          <w:tcPr>
            <w:tcW w:w="1462" w:type="dxa"/>
            <w:tcBorders>
              <w:top w:val="single" w:sz="24" w:space="0" w:color="000000"/>
              <w:left w:val="nil" w:sz="6" w:space="0" w:color="auto"/>
              <w:bottom w:val="single" w:sz="24" w:space="0" w:color="000000"/>
              <w:right w:val="nil" w:sz="6" w:space="0" w:color="auto"/>
            </w:tcBorders>
          </w:tcPr>
          <w:p>
            <w:pPr>
              <w:pStyle w:val="TableParagraph"/>
              <w:spacing w:line="240" w:lineRule="auto" w:before="17"/>
              <w:ind w:right="173"/>
              <w:jc w:val="right"/>
              <w:rPr>
                <w:rFonts w:ascii="宋体" w:hAnsi="宋体" w:cs="宋体" w:eastAsia="宋体" w:hint="default"/>
                <w:sz w:val="18"/>
                <w:szCs w:val="18"/>
              </w:rPr>
            </w:pPr>
            <w:r>
              <w:rPr>
                <w:rFonts w:ascii="宋体" w:hAnsi="宋体" w:cs="宋体" w:eastAsia="宋体" w:hint="default"/>
                <w:sz w:val="18"/>
                <w:szCs w:val="18"/>
              </w:rPr>
              <w:t>非关联关系</w:t>
            </w:r>
          </w:p>
        </w:tc>
        <w:tc>
          <w:tcPr>
            <w:tcW w:w="1323" w:type="dxa"/>
            <w:tcBorders>
              <w:top w:val="single" w:sz="24" w:space="0" w:color="000000"/>
              <w:left w:val="nil" w:sz="6" w:space="0" w:color="auto"/>
              <w:bottom w:val="single" w:sz="24" w:space="0" w:color="000000"/>
              <w:right w:val="nil" w:sz="6" w:space="0" w:color="auto"/>
            </w:tcBorders>
          </w:tcPr>
          <w:p>
            <w:pPr>
              <w:pStyle w:val="TableParagraph"/>
              <w:spacing w:line="240" w:lineRule="auto" w:before="60"/>
              <w:ind w:right="43"/>
              <w:jc w:val="right"/>
              <w:rPr>
                <w:rFonts w:ascii="Times New Roman" w:hAnsi="Times New Roman" w:cs="Times New Roman" w:eastAsia="Times New Roman" w:hint="default"/>
                <w:sz w:val="18"/>
                <w:szCs w:val="18"/>
              </w:rPr>
            </w:pPr>
            <w:r>
              <w:rPr>
                <w:rFonts w:ascii="Times New Roman"/>
                <w:spacing w:val="-1"/>
                <w:sz w:val="18"/>
              </w:rPr>
              <w:t>111,170.00</w:t>
            </w:r>
          </w:p>
        </w:tc>
        <w:tc>
          <w:tcPr>
            <w:tcW w:w="1255" w:type="dxa"/>
            <w:tcBorders>
              <w:top w:val="single" w:sz="24" w:space="0" w:color="000000"/>
              <w:left w:val="nil" w:sz="6" w:space="0" w:color="auto"/>
              <w:bottom w:val="single" w:sz="24" w:space="0" w:color="000000"/>
              <w:right w:val="nil" w:sz="6" w:space="0" w:color="auto"/>
            </w:tcBorders>
          </w:tcPr>
          <w:p>
            <w:pPr>
              <w:pStyle w:val="TableParagraph"/>
              <w:spacing w:line="240" w:lineRule="auto" w:before="60"/>
              <w:ind w:left="432" w:right="0"/>
              <w:jc w:val="left"/>
              <w:rPr>
                <w:rFonts w:ascii="Times New Roman" w:hAnsi="Times New Roman" w:cs="Times New Roman" w:eastAsia="Times New Roman" w:hint="default"/>
                <w:sz w:val="18"/>
                <w:szCs w:val="18"/>
              </w:rPr>
            </w:pPr>
            <w:r>
              <w:rPr>
                <w:rFonts w:ascii="Times New Roman"/>
                <w:sz w:val="18"/>
              </w:rPr>
              <w:t>3.56</w:t>
            </w:r>
          </w:p>
        </w:tc>
        <w:tc>
          <w:tcPr>
            <w:tcW w:w="851" w:type="dxa"/>
            <w:tcBorders>
              <w:top w:val="single" w:sz="24" w:space="0" w:color="000000"/>
              <w:left w:val="nil" w:sz="6" w:space="0" w:color="auto"/>
              <w:bottom w:val="single" w:sz="24" w:space="0" w:color="000000"/>
              <w:right w:val="nil" w:sz="6" w:space="0" w:color="auto"/>
            </w:tcBorders>
          </w:tcPr>
          <w:p>
            <w:pPr>
              <w:pStyle w:val="TableParagraph"/>
              <w:spacing w:line="240" w:lineRule="auto" w:before="17"/>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1865" w:type="dxa"/>
            <w:tcBorders>
              <w:top w:val="single" w:sz="24" w:space="0" w:color="000000"/>
              <w:left w:val="nil" w:sz="6" w:space="0" w:color="auto"/>
              <w:bottom w:val="single" w:sz="24" w:space="0" w:color="000000"/>
              <w:right w:val="nil" w:sz="6" w:space="0" w:color="auto"/>
            </w:tcBorders>
          </w:tcPr>
          <w:p>
            <w:pPr>
              <w:pStyle w:val="TableParagraph"/>
              <w:spacing w:line="240" w:lineRule="auto" w:before="17"/>
              <w:ind w:left="183" w:right="0"/>
              <w:jc w:val="left"/>
              <w:rPr>
                <w:rFonts w:ascii="宋体" w:hAnsi="宋体" w:cs="宋体" w:eastAsia="宋体" w:hint="default"/>
                <w:sz w:val="18"/>
                <w:szCs w:val="18"/>
              </w:rPr>
            </w:pPr>
            <w:r>
              <w:rPr>
                <w:rFonts w:ascii="宋体" w:hAnsi="宋体" w:cs="宋体" w:eastAsia="宋体" w:hint="default"/>
                <w:sz w:val="18"/>
                <w:szCs w:val="18"/>
              </w:rPr>
              <w:t>尚未达到结算时点</w:t>
            </w:r>
          </w:p>
        </w:tc>
      </w:tr>
      <w:tr>
        <w:trPr>
          <w:trHeight w:val="385" w:hRule="exact"/>
        </w:trPr>
        <w:tc>
          <w:tcPr>
            <w:tcW w:w="2933" w:type="dxa"/>
            <w:tcBorders>
              <w:top w:val="single" w:sz="24" w:space="0" w:color="000000"/>
              <w:left w:val="nil" w:sz="6" w:space="0" w:color="auto"/>
              <w:bottom w:val="single" w:sz="17" w:space="0" w:color="000000"/>
              <w:right w:val="nil" w:sz="6" w:space="0" w:color="auto"/>
            </w:tcBorders>
          </w:tcPr>
          <w:p>
            <w:pPr>
              <w:pStyle w:val="TableParagraph"/>
              <w:spacing w:line="240" w:lineRule="auto" w:before="20"/>
              <w:ind w:left="21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62" w:type="dxa"/>
            <w:tcBorders>
              <w:top w:val="single" w:sz="24" w:space="0" w:color="000000"/>
              <w:left w:val="nil" w:sz="6" w:space="0" w:color="auto"/>
              <w:bottom w:val="single" w:sz="17" w:space="0" w:color="000000"/>
              <w:right w:val="nil" w:sz="6" w:space="0" w:color="auto"/>
            </w:tcBorders>
          </w:tcPr>
          <w:p>
            <w:pPr/>
          </w:p>
        </w:tc>
        <w:tc>
          <w:tcPr>
            <w:tcW w:w="1323" w:type="dxa"/>
            <w:tcBorders>
              <w:top w:val="single" w:sz="24" w:space="0" w:color="000000"/>
              <w:left w:val="nil" w:sz="6" w:space="0" w:color="auto"/>
              <w:bottom w:val="single" w:sz="17" w:space="0" w:color="000000"/>
              <w:right w:val="nil" w:sz="6" w:space="0" w:color="auto"/>
            </w:tcBorders>
          </w:tcPr>
          <w:p>
            <w:pPr>
              <w:pStyle w:val="TableParagraph"/>
              <w:spacing w:line="240" w:lineRule="auto" w:before="62"/>
              <w:ind w:left="175" w:right="0"/>
              <w:jc w:val="left"/>
              <w:rPr>
                <w:rFonts w:ascii="Times New Roman" w:hAnsi="Times New Roman" w:cs="Times New Roman" w:eastAsia="Times New Roman" w:hint="default"/>
                <w:sz w:val="18"/>
                <w:szCs w:val="18"/>
              </w:rPr>
            </w:pPr>
            <w:r>
              <w:rPr>
                <w:rFonts w:ascii="Times New Roman"/>
                <w:sz w:val="18"/>
              </w:rPr>
              <w:t>2,705,142.57</w:t>
            </w:r>
          </w:p>
        </w:tc>
        <w:tc>
          <w:tcPr>
            <w:tcW w:w="1255" w:type="dxa"/>
            <w:tcBorders>
              <w:top w:val="single" w:sz="24" w:space="0" w:color="000000"/>
              <w:left w:val="nil" w:sz="6" w:space="0" w:color="auto"/>
              <w:bottom w:val="single" w:sz="17" w:space="0" w:color="000000"/>
              <w:right w:val="nil" w:sz="6" w:space="0" w:color="auto"/>
            </w:tcBorders>
          </w:tcPr>
          <w:p>
            <w:pPr>
              <w:pStyle w:val="TableParagraph"/>
              <w:spacing w:line="240" w:lineRule="auto" w:before="62"/>
              <w:ind w:left="386" w:right="0"/>
              <w:jc w:val="left"/>
              <w:rPr>
                <w:rFonts w:ascii="Times New Roman" w:hAnsi="Times New Roman" w:cs="Times New Roman" w:eastAsia="Times New Roman" w:hint="default"/>
                <w:sz w:val="18"/>
                <w:szCs w:val="18"/>
              </w:rPr>
            </w:pPr>
            <w:r>
              <w:rPr>
                <w:rFonts w:ascii="Times New Roman"/>
                <w:sz w:val="18"/>
              </w:rPr>
              <w:t>86.64</w:t>
            </w:r>
          </w:p>
        </w:tc>
        <w:tc>
          <w:tcPr>
            <w:tcW w:w="851" w:type="dxa"/>
            <w:tcBorders>
              <w:top w:val="single" w:sz="24" w:space="0" w:color="000000"/>
              <w:left w:val="nil" w:sz="6" w:space="0" w:color="auto"/>
              <w:bottom w:val="single" w:sz="17" w:space="0" w:color="000000"/>
              <w:right w:val="nil" w:sz="6" w:space="0" w:color="auto"/>
            </w:tcBorders>
          </w:tcPr>
          <w:p>
            <w:pPr/>
          </w:p>
        </w:tc>
        <w:tc>
          <w:tcPr>
            <w:tcW w:w="1865" w:type="dxa"/>
            <w:tcBorders>
              <w:top w:val="single" w:sz="24" w:space="0" w:color="000000"/>
              <w:left w:val="nil" w:sz="6" w:space="0" w:color="auto"/>
              <w:bottom w:val="single" w:sz="17" w:space="0" w:color="000000"/>
              <w:right w:val="nil" w:sz="6" w:space="0" w:color="auto"/>
            </w:tcBorders>
          </w:tcPr>
          <w:p>
            <w:pPr/>
          </w:p>
        </w:tc>
      </w:tr>
      <w:tr>
        <w:trPr>
          <w:trHeight w:val="516" w:hRule="exact"/>
        </w:trPr>
        <w:tc>
          <w:tcPr>
            <w:tcW w:w="2933" w:type="dxa"/>
            <w:tcBorders>
              <w:top w:val="single" w:sz="17" w:space="0" w:color="000000"/>
              <w:left w:val="nil" w:sz="6" w:space="0" w:color="auto"/>
              <w:bottom w:val="nil" w:sz="6" w:space="0" w:color="auto"/>
              <w:right w:val="nil" w:sz="6" w:space="0" w:color="auto"/>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其他说明：无</w:t>
            </w:r>
          </w:p>
        </w:tc>
        <w:tc>
          <w:tcPr>
            <w:tcW w:w="1462" w:type="dxa"/>
            <w:tcBorders>
              <w:top w:val="single" w:sz="17" w:space="0" w:color="000000"/>
              <w:left w:val="nil" w:sz="6" w:space="0" w:color="auto"/>
              <w:bottom w:val="nil" w:sz="6" w:space="0" w:color="auto"/>
              <w:right w:val="nil" w:sz="6" w:space="0" w:color="auto"/>
            </w:tcBorders>
          </w:tcPr>
          <w:p>
            <w:pPr/>
          </w:p>
        </w:tc>
        <w:tc>
          <w:tcPr>
            <w:tcW w:w="1323" w:type="dxa"/>
            <w:tcBorders>
              <w:top w:val="single" w:sz="17" w:space="0" w:color="000000"/>
              <w:left w:val="nil" w:sz="6" w:space="0" w:color="auto"/>
              <w:bottom w:val="nil" w:sz="6" w:space="0" w:color="auto"/>
              <w:right w:val="nil" w:sz="6" w:space="0" w:color="auto"/>
            </w:tcBorders>
          </w:tcPr>
          <w:p>
            <w:pPr/>
          </w:p>
        </w:tc>
        <w:tc>
          <w:tcPr>
            <w:tcW w:w="1255" w:type="dxa"/>
            <w:tcBorders>
              <w:top w:val="single" w:sz="17" w:space="0" w:color="000000"/>
              <w:left w:val="nil" w:sz="6" w:space="0" w:color="auto"/>
              <w:bottom w:val="nil" w:sz="6" w:space="0" w:color="auto"/>
              <w:right w:val="nil" w:sz="6" w:space="0" w:color="auto"/>
            </w:tcBorders>
          </w:tcPr>
          <w:p>
            <w:pPr/>
          </w:p>
        </w:tc>
        <w:tc>
          <w:tcPr>
            <w:tcW w:w="851" w:type="dxa"/>
            <w:tcBorders>
              <w:top w:val="single" w:sz="17" w:space="0" w:color="000000"/>
              <w:left w:val="nil" w:sz="6" w:space="0" w:color="auto"/>
              <w:bottom w:val="nil" w:sz="6" w:space="0" w:color="auto"/>
              <w:right w:val="nil" w:sz="6" w:space="0" w:color="auto"/>
            </w:tcBorders>
          </w:tcPr>
          <w:p>
            <w:pPr/>
          </w:p>
        </w:tc>
        <w:tc>
          <w:tcPr>
            <w:tcW w:w="1865" w:type="dxa"/>
            <w:tcBorders>
              <w:top w:val="single" w:sz="17" w:space="0" w:color="000000"/>
              <w:left w:val="nil" w:sz="6" w:space="0" w:color="auto"/>
              <w:bottom w:val="nil" w:sz="6" w:space="0" w:color="auto"/>
              <w:right w:val="nil" w:sz="6" w:space="0" w:color="auto"/>
            </w:tcBorders>
          </w:tcPr>
          <w:p>
            <w:pPr/>
          </w:p>
        </w:tc>
      </w:tr>
      <w:tr>
        <w:trPr>
          <w:trHeight w:val="1117" w:hRule="exact"/>
        </w:trPr>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、其他应收款</w:t>
            </w:r>
            <w:r>
              <w:rPr>
                <w:rFonts w:ascii="宋体" w:hAnsi="宋体" w:cs="宋体" w:eastAsia="宋体" w:hint="default"/>
                <w:sz w:val="21"/>
                <w:szCs w:val="21"/>
              </w:rPr>
            </w:r>
          </w:p>
        </w:tc>
        <w:tc>
          <w:tcPr>
            <w:tcW w:w="1462"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left="1019"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tc>
      </w:tr>
    </w:tbl>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44,663.01</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2,643,295.01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3,005,986.07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2,643,295.01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3,050,649.08</w:t>
            </w:r>
          </w:p>
        </w:tc>
      </w:tr>
    </w:tbl>
    <w:p>
      <w:pPr>
        <w:spacing w:line="240" w:lineRule="auto" w:before="9"/>
        <w:rPr>
          <w:rFonts w:ascii="宋体" w:hAnsi="宋体" w:cs="宋体" w:eastAsia="宋体" w:hint="default"/>
          <w:b/>
          <w:bCs/>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1" w:type="dxa"/>
            <w:tcBorders>
              <w:top w:val="single" w:sz="4" w:space="0" w:color="000000"/>
              <w:left w:val="single" w:sz="10"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44,663.01</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0"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44,663.01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648,334.03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244,244.60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414,425.70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职工暂借款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5,006.98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33,083.43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2,394,043.43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2,039,809.72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2,643,295.01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3,135,652.88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1"/>
        <w:gridCol w:w="1805"/>
      </w:tblGrid>
      <w:tr>
        <w:trPr>
          <w:trHeight w:val="401"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60"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7"/>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7"/>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3"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129,666.81</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129,666.81</w:t>
            </w:r>
          </w:p>
        </w:tc>
      </w:tr>
      <w:tr>
        <w:trPr>
          <w:trHeight w:val="161"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129,666.81</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129,666.81</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pStyle w:val="BodyText"/>
        <w:spacing w:line="240" w:lineRule="auto" w:before="49"/>
        <w:ind w:right="-20"/>
        <w:jc w:val="left"/>
      </w:pPr>
      <w:r>
        <w:rPr/>
        <w:t>损失准备本期变动金额重大的账面余额变动情况</w:t>
      </w:r>
    </w:p>
    <w:p>
      <w:pPr>
        <w:pStyle w:val="BodyText"/>
        <w:spacing w:line="340" w:lineRule="auto" w:before="115"/>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3" w:space="4896"/>
            <w:col w:w="2101"/>
          </w:cols>
        </w:sectPr>
      </w:pP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4;width:2;height:394" coordorigin="23,14" coordsize="2,394">
              <v:shape style="position:absolute;left:23;top:14;width:2;height:394" coordorigin="23,14" coordsize="0,394" path="m23,14l23,408e" filled="false" stroked="true" strokeweight="1.08pt" strokecolor="#d2d2d2">
                <v:path arrowok="t"/>
              </v:shape>
            </v:group>
            <v:group style="position:absolute;left:4775;top:14;width:2;height:394" coordorigin="4775,14" coordsize="2,394">
              <v:shape style="position:absolute;left:4775;top:14;width:2;height:394" coordorigin="4775,14" coordsize="0,394" path="m4775,14l4775,408e" filled="false" stroked="true" strokeweight="1.2pt" strokecolor="#d2d2d2">
                <v:path arrowok="t"/>
              </v:shape>
            </v:group>
            <v:group style="position:absolute;left:34;top:14;width:4729;height:394" coordorigin="34,14" coordsize="4729,394">
              <v:shape style="position:absolute;left:34;top:14;width:4729;height:394" coordorigin="34,14" coordsize="4729,394" path="m34,408l4763,408,4763,14,34,14,34,408xe" filled="true" fillcolor="#d2d2d2" stroked="false">
                <v:path arrowok="t"/>
                <v:fill type="solid"/>
              </v:shape>
            </v:group>
            <v:group style="position:absolute;left:4807;top:14;width:2;height:394" coordorigin="4807,14" coordsize="2,394">
              <v:shape style="position:absolute;left:4807;top:14;width:2;height:394" coordorigin="4807,14" coordsize="0,394" path="m4807,14l4807,408e" filled="false" stroked="true" strokeweight="1.08pt" strokecolor="#d2d2d2">
                <v:path arrowok="t"/>
              </v:shape>
            </v:group>
            <v:group style="position:absolute;left:9559;top:14;width:2;height:394" coordorigin="9559,14" coordsize="2,394">
              <v:shape style="position:absolute;left:9559;top:14;width:2;height:394" coordorigin="9559,14" coordsize="0,394" path="m9559,14l9559,408e" filled="false" stroked="true" strokeweight="1.2pt" strokecolor="#d2d2d2">
                <v:path arrowok="t"/>
              </v:shape>
            </v:group>
            <v:group style="position:absolute;left:4818;top:14;width:4729;height:394" coordorigin="4818,14" coordsize="4729,394">
              <v:shape style="position:absolute;left:4818;top:14;width:4729;height:394" coordorigin="4818,14" coordsize="4729,394" path="m4818,408l9547,408,9547,14,4818,14,4818,408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004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004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2218;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账龄</w:t>
                      </w:r>
                    </w:p>
                  </w:txbxContent>
                </v:textbox>
                <w10:wrap type="none"/>
              </v:shape>
              <v:shape style="position:absolute;left:4789;top:10;width:4787;height:404"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v:group>
          </v:group>
        </w:pict>
      </w:r>
      <w:r>
        <w:rPr>
          <w:rFonts w:ascii="宋体" w:hAnsi="宋体" w:cs="宋体" w:eastAsia="宋体" w:hint="default"/>
          <w:position w:val="-7"/>
          <w:sz w:val="20"/>
          <w:szCs w:val="20"/>
        </w:rPr>
      </w:r>
    </w:p>
    <w:p>
      <w:pPr>
        <w:spacing w:after="0" w:line="422" w:lineRule="exact"/>
        <w:rPr>
          <w:rFonts w:ascii="宋体" w:hAnsi="宋体" w:cs="宋体" w:eastAsia="宋体" w:hint="default"/>
          <w:sz w:val="20"/>
          <w:szCs w:val="20"/>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2,416,712.21</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152,782.80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73,800.00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1,000.00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72,800.00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2,643,295.01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本期计提坏账准备情况：</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21"/>
        <w:gridCol w:w="1354"/>
        <w:gridCol w:w="1446"/>
        <w:gridCol w:w="1593"/>
        <w:gridCol w:w="1324"/>
        <w:gridCol w:w="2133"/>
      </w:tblGrid>
      <w:tr>
        <w:trPr>
          <w:trHeight w:val="206" w:hRule="exact"/>
        </w:trPr>
        <w:tc>
          <w:tcPr>
            <w:tcW w:w="1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354" w:type="dxa"/>
            <w:tcBorders>
              <w:top w:val="single" w:sz="4" w:space="0" w:color="000000"/>
              <w:left w:val="single" w:sz="4" w:space="0" w:color="000000"/>
              <w:bottom w:val="nil" w:sz="6" w:space="0" w:color="auto"/>
              <w:right w:val="single" w:sz="4" w:space="0" w:color="000000"/>
            </w:tcBorders>
            <w:shd w:val="clear" w:color="auto" w:fill="D2D2D2"/>
          </w:tcPr>
          <w:p>
            <w:pPr/>
          </w:p>
        </w:tc>
        <w:tc>
          <w:tcPr>
            <w:tcW w:w="436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213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7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3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0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362" w:type="dxa"/>
            <w:gridSpan w:val="3"/>
            <w:vMerge/>
            <w:tcBorders>
              <w:left w:val="single" w:sz="4" w:space="0" w:color="000000"/>
              <w:bottom w:val="single" w:sz="4" w:space="0" w:color="000000"/>
              <w:right w:val="single" w:sz="4" w:space="0" w:color="000000"/>
            </w:tcBorders>
            <w:shd w:val="clear" w:color="auto" w:fill="D2D2D2"/>
          </w:tcPr>
          <w:p>
            <w:pPr/>
          </w:p>
        </w:tc>
        <w:tc>
          <w:tcPr>
            <w:tcW w:w="2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0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721" w:type="dxa"/>
            <w:vMerge/>
            <w:tcBorders>
              <w:left w:val="single" w:sz="4" w:space="0" w:color="000000"/>
              <w:bottom w:val="nil" w:sz="6" w:space="0" w:color="auto"/>
              <w:right w:val="single" w:sz="4" w:space="0" w:color="000000"/>
            </w:tcBorders>
            <w:shd w:val="clear" w:color="auto" w:fill="D2D2D2"/>
          </w:tcPr>
          <w:p>
            <w:pPr/>
          </w:p>
        </w:tc>
        <w:tc>
          <w:tcPr>
            <w:tcW w:w="1354" w:type="dxa"/>
            <w:vMerge/>
            <w:tcBorders>
              <w:left w:val="single" w:sz="4" w:space="0" w:color="000000"/>
              <w:bottom w:val="nil" w:sz="6" w:space="0" w:color="auto"/>
              <w:right w:val="single" w:sz="4" w:space="0" w:color="000000"/>
            </w:tcBorders>
            <w:shd w:val="clear" w:color="auto" w:fill="D2D2D2"/>
          </w:tcPr>
          <w:p>
            <w:pPr/>
          </w:p>
        </w:tc>
        <w:tc>
          <w:tcPr>
            <w:tcW w:w="14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8"/>
              <w:jc w:val="center"/>
              <w:rPr>
                <w:rFonts w:ascii="宋体" w:hAnsi="宋体" w:cs="宋体" w:eastAsia="宋体" w:hint="default"/>
                <w:sz w:val="18"/>
                <w:szCs w:val="18"/>
              </w:rPr>
            </w:pPr>
            <w:r>
              <w:rPr>
                <w:rFonts w:ascii="宋体" w:hAnsi="宋体" w:cs="宋体" w:eastAsia="宋体" w:hint="default"/>
                <w:sz w:val="18"/>
                <w:szCs w:val="18"/>
              </w:rPr>
              <w:t>计提</w:t>
            </w:r>
          </w:p>
        </w:tc>
        <w:tc>
          <w:tcPr>
            <w:tcW w:w="15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39"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2133"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46" w:type="dxa"/>
            <w:vMerge/>
            <w:tcBorders>
              <w:left w:val="single" w:sz="4" w:space="0" w:color="000000"/>
              <w:bottom w:val="single" w:sz="4" w:space="0" w:color="000000"/>
              <w:right w:val="single" w:sz="4" w:space="0" w:color="000000"/>
            </w:tcBorders>
            <w:shd w:val="clear" w:color="auto" w:fill="D2D2D2"/>
          </w:tcPr>
          <w:p>
            <w:pPr/>
          </w:p>
        </w:tc>
        <w:tc>
          <w:tcPr>
            <w:tcW w:w="1593" w:type="dxa"/>
            <w:vMerge/>
            <w:tcBorders>
              <w:left w:val="single" w:sz="4" w:space="0" w:color="000000"/>
              <w:bottom w:val="single" w:sz="4" w:space="0" w:color="000000"/>
              <w:right w:val="single" w:sz="4" w:space="0" w:color="000000"/>
            </w:tcBorders>
            <w:shd w:val="clear" w:color="auto" w:fill="D2D2D2"/>
          </w:tcPr>
          <w:p>
            <w:pPr/>
          </w:p>
        </w:tc>
        <w:tc>
          <w:tcPr>
            <w:tcW w:w="1324" w:type="dxa"/>
            <w:vMerge/>
            <w:tcBorders>
              <w:left w:val="single" w:sz="4" w:space="0" w:color="000000"/>
              <w:bottom w:val="single" w:sz="4" w:space="0" w:color="000000"/>
              <w:right w:val="single" w:sz="4" w:space="0" w:color="000000"/>
            </w:tcBorders>
            <w:shd w:val="clear" w:color="auto" w:fill="D2D2D2"/>
          </w:tcPr>
          <w:p>
            <w:pPr/>
          </w:p>
        </w:tc>
        <w:tc>
          <w:tcPr>
            <w:tcW w:w="213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其他应收款坏账准备</w:t>
            </w:r>
          </w:p>
        </w:tc>
        <w:tc>
          <w:tcPr>
            <w:tcW w:w="135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left="261" w:right="0"/>
              <w:jc w:val="left"/>
              <w:rPr>
                <w:rFonts w:ascii="Times New Roman" w:hAnsi="Times New Roman" w:cs="Times New Roman" w:eastAsia="Times New Roman" w:hint="default"/>
                <w:sz w:val="18"/>
                <w:szCs w:val="18"/>
              </w:rPr>
            </w:pPr>
            <w:r>
              <w:rPr>
                <w:rFonts w:ascii="Times New Roman"/>
                <w:sz w:val="18"/>
              </w:rPr>
              <w:t>129,666.81</w:t>
            </w:r>
          </w:p>
        </w:tc>
        <w:tc>
          <w:tcPr>
            <w:tcW w:w="14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129,666.81</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3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5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129,666.81</w:t>
            </w:r>
          </w:p>
        </w:tc>
        <w:tc>
          <w:tcPr>
            <w:tcW w:w="14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129,666.81</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3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合肥高新区国家税 务局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出口退税款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1,139,981.81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43.13%</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中国证券登记结算 有限责任公司深圳 分公司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股权激励行权款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1,121,138.48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42.41%</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北京国家税务局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132,923.14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5.03%</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深圳市坪山区产业 投资服务有限公司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97,104.80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3.67%</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合肥高新股份有限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69,360.00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2.62%</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2,560,508.23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96.87%</w:t>
            </w:r>
          </w:p>
        </w:tc>
        <w:tc>
          <w:tcPr>
            <w:tcW w:w="15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FFFFFF"/>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FFFFFF"/>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FFFFFF"/>
            </w:tcBorders>
            <w:shd w:val="clear" w:color="auto" w:fill="D2D2D2"/>
          </w:tcPr>
          <w:p>
            <w:pPr/>
          </w:p>
        </w:tc>
        <w:tc>
          <w:tcPr>
            <w:tcW w:w="1368" w:type="dxa"/>
            <w:vMerge/>
            <w:tcBorders>
              <w:left w:val="single" w:sz="4" w:space="0" w:color="FFFFFF"/>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2D2D2"/>
              <w:bottom w:val="single" w:sz="4" w:space="0" w:color="000000"/>
              <w:right w:val="single" w:sz="4" w:space="0" w:color="FFFFF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323,388.22</w:t>
            </w:r>
          </w:p>
        </w:tc>
        <w:tc>
          <w:tcPr>
            <w:tcW w:w="1368" w:type="dxa"/>
            <w:tcBorders>
              <w:top w:val="single" w:sz="4" w:space="0" w:color="000000"/>
              <w:left w:val="single" w:sz="4" w:space="0" w:color="FFFFFF"/>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323,388.22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262,349.44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262,349.44</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2" w:space="0" w:color="D2D2D2"/>
              <w:bottom w:val="single" w:sz="4" w:space="0" w:color="000000"/>
              <w:right w:val="single" w:sz="4" w:space="0" w:color="FFFFF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78,750,332.72</w:t>
            </w:r>
          </w:p>
        </w:tc>
        <w:tc>
          <w:tcPr>
            <w:tcW w:w="136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11,935,824.13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66,814,508.59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63,027,852.04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13,507,482.49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49,520,369.55</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2D2D2"/>
              <w:bottom w:val="single" w:sz="4" w:space="0" w:color="000000"/>
              <w:right w:val="single" w:sz="4" w:space="0" w:color="FFFFF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51,283,351.94</w:t>
            </w:r>
          </w:p>
        </w:tc>
        <w:tc>
          <w:tcPr>
            <w:tcW w:w="136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6,920,980.80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44,362,371.14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37,172,511.79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6,707,269.45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30,465,242.34</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FFFFF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130,357,072.88</w:t>
            </w:r>
          </w:p>
        </w:tc>
        <w:tc>
          <w:tcPr>
            <w:tcW w:w="136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18,856,804.93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111,500,267.95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100,462,713.27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20,214,751.94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80,247,961.33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13,507,482.49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228,928.58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1,342,729.78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11,935,824.13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6,707,269.45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2,302,362.17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2,088,175.35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475.47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6,920,980.80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20,214,751.94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2,302,362.17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2,317,103.93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1,343,205.25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18,856,804.93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10</w:t>
      </w:r>
      <w:r>
        <w:rPr/>
        <w:t>、合同资产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11</w:t>
      </w:r>
      <w:r>
        <w:rPr/>
        <w:t>、持有待售资产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79" w:top="110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7,825,594.09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9,200,790.71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预交所得税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3,329,891.27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2,426,219.48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11,155,485.36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11,627,010.19</w:t>
            </w:r>
          </w:p>
        </w:tc>
      </w:tr>
    </w:tbl>
    <w:p>
      <w:pPr>
        <w:pStyle w:val="BodyText"/>
        <w:spacing w:line="240" w:lineRule="auto" w:before="49"/>
        <w:ind w:right="113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14</w:t>
      </w:r>
      <w:r>
        <w:rPr/>
        <w:t>、债权投资</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15</w:t>
      </w:r>
      <w:r>
        <w:rPr/>
        <w:t>、其他债权投资</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7"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7"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北京君诚 易恒科技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1,836,090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-186,699.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1,649,390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1,836,090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.57</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-186,699.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1,649,390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.92</w:t>
            </w:r>
          </w:p>
        </w:tc>
        <w:tc>
          <w:tcPr>
            <w:tcW w:w="797" w:type="dxa"/>
            <w:vMerge w:val="restart"/>
            <w:tcBorders>
              <w:top w:val="single" w:sz="4" w:space="0" w:color="000000"/>
              <w:left w:val="single" w:sz="4" w:space="0" w:color="000000"/>
              <w:right w:val="single" w:sz="4" w:space="0" w:color="000000"/>
            </w:tcBorders>
          </w:tcPr>
          <w:p>
            <w:pPr/>
          </w:p>
        </w:tc>
      </w:tr>
      <w:tr>
        <w:trPr>
          <w:trHeight w:val="392" w:hRule="exact"/>
        </w:trPr>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10"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71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1,836,090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-186,699.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1,649,390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.92</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18</w:t>
      </w:r>
      <w:r>
        <w:rPr/>
        <w:t>、其他权益工具投资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深圳市明道汇智投资基金合伙企业（有 限合伙）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26,012,527.08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36,598,036.30</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宁波鼎锋明道汇正投资合伙企业（有限 合伙）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26,392,406.88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22,646,483.98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北京柘益投资中心（有限合伙）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4,452,114.29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4,395,681.79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北京柘量投资中心（有限合伙）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31,475,175.15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21,992,535.34</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南昌建恩半导体产业投资中心（有限合 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18,020,474.44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18,020,474.44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深圳普得技术有限公司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北京捷联微芯科技有限公司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15,084,700.00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15,084,700.00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北京捷联无线科技中心（有限合伙）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深圳吉迪思电子科技有限公司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134,437,397.84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131,738,203.02</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spacing w:line="240" w:lineRule="auto" w:before="36"/>
        <w:ind w:right="1133"/>
        <w:jc w:val="left"/>
        <w:rPr>
          <w:b w:val="0"/>
          <w:bCs w:val="0"/>
        </w:rPr>
      </w:pPr>
      <w:r>
        <w:rPr>
          <w:rFonts w:ascii="Times New Roman" w:hAnsi="Times New Roman" w:cs="Times New Roman" w:eastAsia="Times New Roman" w:hint="default"/>
        </w:rPr>
        <w:t>19</w:t>
      </w:r>
      <w:r>
        <w:rPr/>
        <w:t>、其他非流动金融资产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20</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35,288,212.70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35,288,212.70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1"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35,288,212.70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35,288,212.70</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3,794,013.99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3,794,013.99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655,124.31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655,124.31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655,124.31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655,124.31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4,449,138.30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4,449,138.30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30,839,074.40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30,839,074.40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31,494,198.71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31,494,198.71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9"/>
        <w:rPr>
          <w:rFonts w:ascii="Times New Roman" w:hAnsi="Times New Roman" w:cs="Times New Roman" w:eastAsia="Times New Roman" w:hint="default"/>
          <w:sz w:val="23"/>
          <w:szCs w:val="23"/>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21</w:t>
      </w:r>
      <w:r>
        <w:rPr/>
        <w:t>、固定资产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36,129,776.70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36,298,487.04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36,129,776.70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36,298,487.04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5"/>
        <w:gridCol w:w="1916"/>
        <w:gridCol w:w="1913"/>
        <w:gridCol w:w="1916"/>
      </w:tblGrid>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34,867,653.04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21,685,142.61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1,273,762.62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57,826,558.27</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1,361,071.08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723,358.22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2,084,429.30</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1,361,071.08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723,358.22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2,084,429.30</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）在建工程转入</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33,207.18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33,207.18</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33,207.18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33,207.18</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34,867,653.04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23,013,006.51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1,997,120.84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59,877,780.39</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3,812,447.37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16,506,829.42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1,208,794.44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21,528,071.23</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830,199.21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1,421,280.07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2,251,479.28</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830,199.21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1,421,280.07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2,251,479.28</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31,546.82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31,546.82</w:t>
            </w:r>
          </w:p>
        </w:tc>
      </w:tr>
      <w:tr>
        <w:trPr>
          <w:trHeight w:val="40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31,546.82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31,546.82</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4,642,646.58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17,896,562.67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1,208,794.44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23,748,003.69</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30,225,006.46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5,116,443.84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788,326.40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36,129,776.70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31,055,205.67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5,178,313.19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64,968.18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36,298,487.04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6</w:t>
      </w:r>
      <w:r>
        <w:rPr/>
        <w:t>）固定资产清理</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22</w:t>
      </w:r>
      <w:r>
        <w:rPr/>
        <w:t>、在建工程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36,931,119.74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35,139,195.18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36,931,119.74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35,139,195.18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君正集成电路合 肥基地一期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36,931,119.74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36,931,119.74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35,139,195.18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35,139,195.18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7" w:right="0"/>
              <w:jc w:val="left"/>
              <w:rPr>
                <w:rFonts w:ascii="Times New Roman" w:hAnsi="Times New Roman" w:cs="Times New Roman" w:eastAsia="Times New Roman" w:hint="default"/>
                <w:sz w:val="18"/>
                <w:szCs w:val="18"/>
              </w:rPr>
            </w:pPr>
            <w:r>
              <w:rPr>
                <w:rFonts w:ascii="Times New Roman"/>
                <w:sz w:val="18"/>
              </w:rPr>
              <w:t>36,931,119.74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4" w:right="0"/>
              <w:jc w:val="left"/>
              <w:rPr>
                <w:rFonts w:ascii="Times New Roman" w:hAnsi="Times New Roman" w:cs="Times New Roman" w:eastAsia="Times New Roman" w:hint="default"/>
                <w:sz w:val="18"/>
                <w:szCs w:val="18"/>
              </w:rPr>
            </w:pPr>
            <w:r>
              <w:rPr>
                <w:rFonts w:ascii="Times New Roman"/>
                <w:sz w:val="18"/>
              </w:rPr>
              <w:t>36,931,119.74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35,139,195.18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35,139,195.18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1"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93"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355"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君正集</w:t>
            </w: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56"/>
              <w:jc w:val="left"/>
              <w:rPr>
                <w:rFonts w:ascii="宋体" w:hAnsi="宋体" w:cs="宋体" w:eastAsia="宋体" w:hint="default"/>
                <w:sz w:val="18"/>
                <w:szCs w:val="18"/>
              </w:rPr>
            </w:pPr>
            <w:r>
              <w:rPr>
                <w:rFonts w:ascii="宋体" w:hAnsi="宋体" w:cs="宋体" w:eastAsia="宋体" w:hint="default"/>
                <w:sz w:val="18"/>
                <w:szCs w:val="18"/>
              </w:rPr>
              <w:t>成电路 合肥基</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sz w:val="18"/>
              </w:rPr>
              <w:t>35,139,1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95.18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sz w:val="18"/>
              </w:rPr>
              <w:t>1,791,92</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4.56</w:t>
            </w: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9" w:right="0"/>
              <w:jc w:val="left"/>
              <w:rPr>
                <w:rFonts w:ascii="Times New Roman" w:hAnsi="Times New Roman" w:cs="Times New Roman" w:eastAsia="Times New Roman" w:hint="default"/>
                <w:sz w:val="18"/>
                <w:szCs w:val="18"/>
              </w:rPr>
            </w:pPr>
            <w:r>
              <w:rPr>
                <w:rFonts w:ascii="Times New Roman"/>
                <w:sz w:val="18"/>
              </w:rPr>
              <w:t>36,931,1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19.74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46.16%</w:t>
            </w: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355"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地一期</w:t>
            </w: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35,139,1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95.18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1,791,92</w:t>
            </w:r>
          </w:p>
          <w:p>
            <w:pPr>
              <w:pStyle w:val="TableParagraph"/>
              <w:spacing w:line="240" w:lineRule="auto" w:before="102"/>
              <w:ind w:left="389" w:right="0"/>
              <w:jc w:val="left"/>
              <w:rPr>
                <w:rFonts w:ascii="Times New Roman" w:hAnsi="Times New Roman" w:cs="Times New Roman" w:eastAsia="Times New Roman" w:hint="default"/>
                <w:sz w:val="18"/>
                <w:szCs w:val="18"/>
              </w:rPr>
            </w:pPr>
            <w:r>
              <w:rPr>
                <w:rFonts w:ascii="Times New Roman"/>
                <w:sz w:val="18"/>
              </w:rPr>
              <w:t>4.56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36,931,1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19.74</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4</w:t>
      </w:r>
      <w:r>
        <w:rPr/>
        <w:t>）工程物资</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4"/>
        <w:rPr>
          <w:rFonts w:ascii="宋体" w:hAnsi="宋体" w:cs="宋体" w:eastAsia="宋体" w:hint="default"/>
          <w:b/>
          <w:bCs/>
          <w:sz w:val="26"/>
          <w:szCs w:val="26"/>
        </w:rPr>
      </w:pPr>
    </w:p>
    <w:p>
      <w:pPr>
        <w:spacing w:line="544" w:lineRule="auto" w:before="0"/>
        <w:ind w:left="152" w:right="927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、使用权资产</w:t>
      </w:r>
      <w:r>
        <w:rPr>
          <w:rFonts w:ascii="宋体" w:hAnsi="宋体" w:cs="宋体" w:eastAsia="宋体" w:hint="default"/>
          <w:b/>
          <w:bCs/>
          <w:w w:val="100"/>
          <w:sz w:val="21"/>
          <w:szCs w:val="21"/>
        </w:rPr>
        <w:t> </w:t>
      </w:r>
      <w:r>
        <w:rPr>
          <w:rFonts w:ascii="宋体" w:hAnsi="宋体" w:cs="宋体" w:eastAsia="宋体" w:hint="default"/>
          <w:sz w:val="18"/>
          <w:szCs w:val="18"/>
        </w:rPr>
        <w:t>无</w:t>
      </w:r>
    </w:p>
    <w:p>
      <w:pPr>
        <w:pStyle w:val="Heading3"/>
        <w:spacing w:line="240" w:lineRule="auto" w:before="127"/>
        <w:ind w:right="1133"/>
        <w:jc w:val="left"/>
        <w:rPr>
          <w:b w:val="0"/>
          <w:bCs w:val="0"/>
        </w:rPr>
      </w:pPr>
      <w:r>
        <w:rPr>
          <w:rFonts w:ascii="Times New Roman" w:hAnsi="Times New Roman" w:cs="Times New Roman" w:eastAsia="Times New Roman" w:hint="default"/>
        </w:rPr>
        <w:t>26</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5"/>
        <w:gridCol w:w="1596"/>
        <w:gridCol w:w="1594"/>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37,669,724.87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2,271,912.26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39,941,637.13</w:t>
            </w: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0"/>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37,669,724.87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2,271,912.26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39,941,637.13</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5,086,288.06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2,153,335.14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7,239,623.20</w:t>
            </w: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753,394.44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48,179.76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801,574.20</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753,394.44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48,179.76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801,574.20</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5,839,682.50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2,201,514.90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8,041,197.40</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31,830,042.37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70,397.36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31,900,439.73</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32,583,436.81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118,577.12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32,702,013.93</w:t>
            </w:r>
          </w:p>
        </w:tc>
      </w:tr>
    </w:tbl>
    <w:p>
      <w:pPr>
        <w:pStyle w:val="BodyText"/>
        <w:spacing w:line="240" w:lineRule="auto" w:before="49"/>
        <w:ind w:right="1133"/>
        <w:jc w:val="left"/>
      </w:pPr>
      <w:r>
        <w:rPr/>
        <w:t>本期末通过公司内部研发形成的无形资产占无形资产余额的比例为：</w:t>
      </w:r>
      <w:r>
        <w:rPr>
          <w:rFonts w:ascii="Times New Roman" w:hAnsi="Times New Roman" w:cs="Times New Roman" w:eastAsia="Times New Roman" w:hint="default"/>
        </w:rPr>
        <w:t>0.00%</w:t>
      </w:r>
      <w:r>
        <w:rPr/>
        <w:t>。</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27</w:t>
      </w:r>
      <w:r>
        <w:rPr/>
        <w:t>、开发支出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28</w:t>
      </w:r>
      <w:r>
        <w:rPr/>
        <w:t>、商誉</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29</w:t>
      </w:r>
      <w:r>
        <w:rPr/>
        <w:t>、长期待摊费用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技术授权费用</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688,957.72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683,407.72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5,550.00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房屋装修费用</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486,923.65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92,724.79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183,213.82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396,434.62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1,175,881.37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92,724.79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866,621.54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401,984.62</w:t>
            </w:r>
          </w:p>
        </w:tc>
      </w:tr>
    </w:tbl>
    <w:p>
      <w:pPr>
        <w:pStyle w:val="BodyText"/>
        <w:spacing w:line="240" w:lineRule="auto" w:before="49"/>
        <w:ind w:right="1133"/>
        <w:jc w:val="left"/>
      </w:pPr>
      <w:r>
        <w:rPr/>
        <w:t>其他说明：无</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18,856,804.93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2,691,320.02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19,654,004.42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2,948,100.66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63,216.16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15,804.04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207,717.36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31,157.60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10,917,710.73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1,637,656.61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9,898,040.00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1,484,706.00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10,235,480.00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1,535,322.00</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其他权益工具投资公允 价值变动</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9,102,974.66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1,365,446.20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39,735,771.82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5,829,486.67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39,200,176.44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5,880,026.46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43"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4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5"/>
              <w:jc w:val="left"/>
              <w:rPr>
                <w:rFonts w:ascii="宋体" w:hAnsi="宋体" w:cs="宋体" w:eastAsia="宋体" w:hint="default"/>
                <w:sz w:val="18"/>
                <w:szCs w:val="18"/>
              </w:rPr>
            </w:pPr>
            <w:r>
              <w:rPr>
                <w:rFonts w:ascii="宋体" w:hAnsi="宋体" w:cs="宋体" w:eastAsia="宋体" w:hint="default"/>
                <w:sz w:val="18"/>
                <w:szCs w:val="18"/>
              </w:rPr>
              <w:t>其他权益工具投资公允 价值变动</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5,749,130.35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862,369.55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65"/>
              <w:jc w:val="left"/>
              <w:rPr>
                <w:rFonts w:ascii="宋体" w:hAnsi="宋体" w:cs="宋体" w:eastAsia="宋体" w:hint="default"/>
                <w:sz w:val="18"/>
                <w:szCs w:val="18"/>
              </w:rPr>
            </w:pPr>
            <w:r>
              <w:rPr>
                <w:rFonts w:ascii="宋体" w:hAnsi="宋体" w:cs="宋体" w:eastAsia="宋体" w:hint="default"/>
                <w:sz w:val="18"/>
                <w:szCs w:val="18"/>
              </w:rPr>
              <w:t>交易性金融资产公允价 值变动</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450,376.72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67,556.51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6,199,507.07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929,926.06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5,829,486.67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6" w:right="0"/>
              <w:jc w:val="left"/>
              <w:rPr>
                <w:rFonts w:ascii="Times New Roman" w:hAnsi="Times New Roman" w:cs="Times New Roman" w:eastAsia="Times New Roman" w:hint="default"/>
                <w:sz w:val="18"/>
                <w:szCs w:val="18"/>
              </w:rPr>
            </w:pPr>
            <w:r>
              <w:rPr>
                <w:rFonts w:ascii="Times New Roman"/>
                <w:sz w:val="18"/>
              </w:rPr>
              <w:t>5,880,026.46</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929,926.06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914,671.58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690,436.61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44,814,715.06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54,358,635.72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13,267,862.08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22,599,867.44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58,997,248.72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77,648,939.77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2019</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3,603,160.92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7,610,801.39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7,610,801.39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2021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7,859,359.95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7,859,359.95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12,011,554.46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14,222,021.45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2023</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17,332,999.26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21,063,292.01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44,814,715.06</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54,358,635.72</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31</w:t>
      </w:r>
      <w:r>
        <w:rPr/>
        <w:t>、其他非流动资产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79" w:top="1100" w:bottom="116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1,571,120.67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3,010,434.38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股权对价预付款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81,571,120.67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3,010,434.38</w:t>
            </w:r>
          </w:p>
        </w:tc>
      </w:tr>
    </w:tbl>
    <w:p>
      <w:pPr>
        <w:pStyle w:val="BodyText"/>
        <w:spacing w:line="240" w:lineRule="auto" w:before="49"/>
        <w:ind w:right="113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32</w:t>
      </w:r>
      <w:r>
        <w:rPr/>
        <w:t>、短期借款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33</w:t>
      </w:r>
      <w:r>
        <w:rPr/>
        <w:t>、交易性金融负债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34</w:t>
      </w:r>
      <w:r>
        <w:rPr/>
        <w:t>、衍生金融负债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after="0" w:line="240" w:lineRule="auto"/>
        <w:jc w:val="left"/>
        <w:sectPr>
          <w:type w:val="continuous"/>
          <w:pgSz w:w="11910" w:h="16840"/>
          <w:pgMar w:top="106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rFonts w:ascii="Times New Roman" w:hAnsi="Times New Roman" w:cs="Times New Roman" w:eastAsia="Times New Roman" w:hint="default"/>
        </w:rPr>
        <w:t>35</w:t>
      </w:r>
      <w:r>
        <w:rPr/>
        <w:t>、应付票据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36</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32,742,410.71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5,780,318.25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17,478.43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66,787.89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69,437.89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2,650.00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32,829,327.03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5,849,756.14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37</w:t>
      </w:r>
      <w:r>
        <w:rPr/>
        <w:t>、预收款项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4,533,567.51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1,509,896.51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108,293.11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256,731.65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1,131.65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262,460.64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262,330.30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48,909.70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44,109.70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12,322.10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4,949,432.27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2,090,320.60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38</w:t>
      </w:r>
      <w:r>
        <w:rPr/>
        <w:t>、合同负债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39</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6,402,378.77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57,196,378.36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56,478,937.11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7,119,820.02</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275,527.77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5,592,369.76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5,591,351.06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276,546.47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6,677,906.54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62,788,748.12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62,070,288.17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7,396,366.49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6,039,000.00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47,593,330.49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46,944,870.49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6,687,460.00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1,589,460.84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1,589,460.84</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152,583.75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3,120,883.31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3,090,139.48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183,327.58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pacing w:val="-1"/>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138,903.72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2,912,068.89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2,884,003.71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166,968.90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2,759.37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42,795.12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42,295.27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3,259.22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10,920.66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166,019.30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163,840.50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13,099.46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111,269.00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4,280,576.76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4,253,175.76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138,670.00</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99,526.02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612,126.96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601,290.54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110,362.44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6,402,378.77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57,196,378.36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56,478,937.11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7,119,820.02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73" w:right="0"/>
              <w:jc w:val="left"/>
              <w:rPr>
                <w:rFonts w:ascii="Times New Roman" w:hAnsi="Times New Roman" w:cs="Times New Roman" w:eastAsia="Times New Roman" w:hint="default"/>
                <w:sz w:val="18"/>
                <w:szCs w:val="18"/>
              </w:rPr>
            </w:pPr>
            <w:r>
              <w:rPr>
                <w:rFonts w:ascii="Times New Roman"/>
                <w:sz w:val="18"/>
              </w:rPr>
              <w:t>264,479.38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5,391,625.85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5,392,615.63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263,489.60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11,048.39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200,743.91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198,735.43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13,056.87</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275,527.77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5,592,369.76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5,591,351.06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276,546.47</w:t>
            </w:r>
          </w:p>
        </w:tc>
      </w:tr>
    </w:tbl>
    <w:p>
      <w:pPr>
        <w:pStyle w:val="BodyText"/>
        <w:spacing w:line="240" w:lineRule="auto" w:before="49"/>
        <w:ind w:right="113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40</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543,926.64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3,810,730.41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108,755.88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102,789.85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38,074.86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277,728.14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16,317.80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119,026.35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79,350.90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城镇土地使用税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30,299.32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45,421.12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6,330.20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6,330.20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754,583.23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4,441,376.97</w:t>
            </w:r>
          </w:p>
        </w:tc>
      </w:tr>
    </w:tbl>
    <w:p>
      <w:pPr>
        <w:pStyle w:val="BodyText"/>
        <w:spacing w:line="240" w:lineRule="auto" w:before="49"/>
        <w:ind w:right="113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4,079,228.51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4,158,600.49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4,079,228.51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4,158,600.49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1,591,157.23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3,716.48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收取的押金、保证金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1,670,535.17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3,674,438.74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代扣代缴款项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817,536.11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478,833.51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1,611.76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4,079,228.51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4,158,600.49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r>
        <w:rPr>
          <w:rFonts w:ascii="Times New Roman" w:hAnsi="Times New Roman" w:cs="Times New Roman" w:eastAsia="Times New Roman" w:hint="default"/>
        </w:rPr>
        <w:t>42</w:t>
      </w:r>
      <w:r>
        <w:rPr/>
        <w:t>、持有待售负债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是否已执行新收入准则</w:t>
      </w:r>
    </w:p>
    <w:p>
      <w:pPr>
        <w:spacing w:line="547" w:lineRule="auto" w:before="115"/>
        <w:ind w:left="152" w:right="94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w:t>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、长期借款</w:t>
      </w:r>
      <w:r>
        <w:rPr>
          <w:rFonts w:ascii="宋体" w:hAnsi="宋体" w:cs="宋体" w:eastAsia="宋体" w:hint="default"/>
          <w:b/>
          <w:bCs/>
          <w:w w:val="100"/>
          <w:sz w:val="21"/>
          <w:szCs w:val="21"/>
        </w:rPr>
        <w:t> </w:t>
      </w:r>
      <w:r>
        <w:rPr>
          <w:rFonts w:ascii="宋体" w:hAnsi="宋体" w:cs="宋体" w:eastAsia="宋体" w:hint="default"/>
          <w:sz w:val="18"/>
          <w:szCs w:val="18"/>
        </w:rPr>
        <w:t>无</w:t>
      </w:r>
    </w:p>
    <w:p>
      <w:pPr>
        <w:pStyle w:val="Heading3"/>
        <w:spacing w:line="240" w:lineRule="auto" w:before="125"/>
        <w:ind w:right="1133"/>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47</w:t>
      </w:r>
      <w:r>
        <w:rPr/>
        <w:t>、租赁负债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48</w:t>
      </w:r>
      <w:r>
        <w:rPr/>
        <w:t>、长期应付款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49</w:t>
      </w:r>
      <w:r>
        <w:rPr/>
        <w:t>、长期应付职工薪酬</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32,835,347.44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27,015,049.00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36,684,494.36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23,165,902.08</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32,835,347.44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27,015,049.00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36,684,494.36</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4"/>
              <w:ind w:right="8"/>
              <w:jc w:val="right"/>
              <w:rPr>
                <w:rFonts w:ascii="Times New Roman" w:hAnsi="Times New Roman" w:cs="Times New Roman" w:eastAsia="Times New Roman" w:hint="default"/>
                <w:sz w:val="18"/>
                <w:szCs w:val="18"/>
              </w:rPr>
            </w:pPr>
            <w:r>
              <w:rPr>
                <w:rFonts w:ascii="Times New Roman"/>
                <w:spacing w:val="-1"/>
                <w:sz w:val="18"/>
              </w:rPr>
              <w:t>23,165,902.08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涉及政府补助的项目：</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1027"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2"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 w:right="48"/>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 w:right="4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354"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视频监控芯</w:t>
            </w:r>
          </w:p>
        </w:tc>
        <w:tc>
          <w:tcPr>
            <w:tcW w:w="1248" w:type="dxa"/>
            <w:tcBorders>
              <w:top w:val="single" w:sz="4" w:space="0" w:color="000000"/>
              <w:left w:val="single" w:sz="4" w:space="0" w:color="000000"/>
              <w:bottom w:val="nil" w:sz="6" w:space="0" w:color="auto"/>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623"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77"/>
              <w:jc w:val="left"/>
              <w:rPr>
                <w:rFonts w:ascii="宋体" w:hAnsi="宋体" w:cs="宋体" w:eastAsia="宋体" w:hint="default"/>
                <w:sz w:val="18"/>
                <w:szCs w:val="18"/>
              </w:rPr>
            </w:pPr>
            <w:r>
              <w:rPr>
                <w:rFonts w:ascii="宋体" w:hAnsi="宋体" w:cs="宋体" w:eastAsia="宋体" w:hint="default"/>
                <w:sz w:val="18"/>
                <w:szCs w:val="18"/>
              </w:rPr>
              <w:t>片研发及产 业化项目</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248" w:type="dxa"/>
            <w:tcBorders>
              <w:top w:val="nil" w:sz="6" w:space="0" w:color="auto"/>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智能视频分</w:t>
            </w:r>
          </w:p>
        </w:tc>
        <w:tc>
          <w:tcPr>
            <w:tcW w:w="1248" w:type="dxa"/>
            <w:tcBorders>
              <w:top w:val="single" w:sz="4" w:space="0" w:color="000000"/>
              <w:left w:val="single" w:sz="4" w:space="0" w:color="000000"/>
              <w:bottom w:val="nil" w:sz="6" w:space="0" w:color="auto"/>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77"/>
              <w:jc w:val="left"/>
              <w:rPr>
                <w:rFonts w:ascii="宋体" w:hAnsi="宋体" w:cs="宋体" w:eastAsia="宋体" w:hint="default"/>
                <w:sz w:val="18"/>
                <w:szCs w:val="18"/>
              </w:rPr>
            </w:pPr>
            <w:r>
              <w:rPr>
                <w:rFonts w:ascii="宋体" w:hAnsi="宋体" w:cs="宋体" w:eastAsia="宋体" w:hint="default"/>
                <w:sz w:val="18"/>
                <w:szCs w:val="18"/>
              </w:rPr>
              <w:t>析芯片的研 发及产业化</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248" w:type="dxa"/>
            <w:tcBorders>
              <w:top w:val="nil" w:sz="6" w:space="0" w:color="auto"/>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54"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集成电路产</w:t>
            </w:r>
          </w:p>
        </w:tc>
        <w:tc>
          <w:tcPr>
            <w:tcW w:w="1248" w:type="dxa"/>
            <w:tcBorders>
              <w:top w:val="single" w:sz="4" w:space="0" w:color="000000"/>
              <w:left w:val="single" w:sz="4" w:space="0" w:color="000000"/>
              <w:bottom w:val="nil" w:sz="6" w:space="0" w:color="auto"/>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业集聚发展</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4" w:right="177"/>
              <w:jc w:val="left"/>
              <w:rPr>
                <w:rFonts w:ascii="宋体" w:hAnsi="宋体" w:cs="宋体" w:eastAsia="宋体" w:hint="default"/>
                <w:sz w:val="18"/>
                <w:szCs w:val="18"/>
              </w:rPr>
            </w:pPr>
            <w:r>
              <w:rPr>
                <w:rFonts w:ascii="宋体" w:hAnsi="宋体" w:cs="宋体" w:eastAsia="宋体" w:hint="default"/>
                <w:sz w:val="18"/>
                <w:szCs w:val="18"/>
              </w:rPr>
              <w:t>基地</w:t>
            </w:r>
            <w:r>
              <w:rPr>
                <w:rFonts w:ascii="Times New Roman" w:hAnsi="Times New Roman" w:cs="Times New Roman" w:eastAsia="Times New Roman" w:hint="default"/>
                <w:sz w:val="18"/>
                <w:szCs w:val="18"/>
              </w:rPr>
              <w:t>“</w:t>
            </w:r>
            <w:r>
              <w:rPr>
                <w:rFonts w:ascii="宋体" w:hAnsi="宋体" w:cs="宋体" w:eastAsia="宋体" w:hint="default"/>
                <w:sz w:val="18"/>
                <w:szCs w:val="18"/>
              </w:rPr>
              <w:t>借转 补</w:t>
            </w:r>
            <w:r>
              <w:rPr>
                <w:rFonts w:ascii="Times New Roman" w:hAnsi="Times New Roman" w:cs="Times New Roman" w:eastAsia="Times New Roman" w:hint="default"/>
                <w:sz w:val="18"/>
                <w:szCs w:val="18"/>
              </w:rPr>
              <w:t>”</w:t>
            </w:r>
            <w:r>
              <w:rPr>
                <w:rFonts w:ascii="宋体" w:hAnsi="宋体" w:cs="宋体" w:eastAsia="宋体" w:hint="default"/>
                <w:sz w:val="18"/>
                <w:szCs w:val="18"/>
              </w:rPr>
              <w:t>专项财</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4,400,000.00</w:t>
            </w: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4,400,000.00</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7"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政扶持注</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248" w:type="dxa"/>
            <w:tcBorders>
              <w:top w:val="nil" w:sz="6" w:space="0" w:color="auto"/>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自主创新政</w:t>
            </w:r>
          </w:p>
        </w:tc>
        <w:tc>
          <w:tcPr>
            <w:tcW w:w="1248" w:type="dxa"/>
            <w:tcBorders>
              <w:top w:val="single" w:sz="4" w:space="0" w:color="000000"/>
              <w:left w:val="single" w:sz="4" w:space="0" w:color="000000"/>
              <w:bottom w:val="nil" w:sz="6" w:space="0" w:color="auto"/>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策兑现补贴</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5"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248" w:type="dxa"/>
            <w:tcBorders>
              <w:top w:val="nil" w:sz="6" w:space="0" w:color="auto"/>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54"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合肥高新区</w:t>
            </w:r>
          </w:p>
        </w:tc>
        <w:tc>
          <w:tcPr>
            <w:tcW w:w="1248" w:type="dxa"/>
            <w:tcBorders>
              <w:top w:val="single" w:sz="4" w:space="0" w:color="000000"/>
              <w:left w:val="single" w:sz="4" w:space="0" w:color="000000"/>
              <w:bottom w:val="nil" w:sz="6" w:space="0" w:color="auto"/>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vMerge w:val="restart"/>
            <w:tcBorders>
              <w:top w:val="single" w:sz="4" w:space="0" w:color="000000"/>
              <w:left w:val="single" w:sz="4" w:space="0" w:color="000000"/>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财政国库支</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付中心集成</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9"/>
              <w:jc w:val="right"/>
              <w:rPr>
                <w:rFonts w:ascii="Times New Roman" w:hAnsi="Times New Roman" w:cs="Times New Roman" w:eastAsia="Times New Roman" w:hint="default"/>
                <w:sz w:val="18"/>
                <w:szCs w:val="18"/>
              </w:rPr>
            </w:pPr>
            <w:r>
              <w:rPr>
                <w:rFonts w:ascii="Times New Roman"/>
                <w:spacing w:val="-1"/>
                <w:sz w:val="18"/>
              </w:rPr>
              <w:t>2,812,700.00</w:t>
            </w: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31" w:right="0"/>
              <w:jc w:val="left"/>
              <w:rPr>
                <w:rFonts w:ascii="Times New Roman" w:hAnsi="Times New Roman" w:cs="Times New Roman" w:eastAsia="Times New Roman" w:hint="default"/>
                <w:sz w:val="18"/>
                <w:szCs w:val="18"/>
              </w:rPr>
            </w:pPr>
            <w:r>
              <w:rPr>
                <w:rFonts w:ascii="Times New Roman"/>
                <w:sz w:val="18"/>
              </w:rPr>
              <w:t>2,812,700.00</w:t>
            </w: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6"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电路基地资</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248" w:type="dxa"/>
            <w:tcBorders>
              <w:top w:val="nil" w:sz="6" w:space="0" w:color="auto"/>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vMerge/>
            <w:tcBorders>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356"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高新区创业</w:t>
            </w:r>
          </w:p>
        </w:tc>
        <w:tc>
          <w:tcPr>
            <w:tcW w:w="1248" w:type="dxa"/>
            <w:tcBorders>
              <w:top w:val="single" w:sz="4" w:space="0" w:color="000000"/>
              <w:left w:val="single" w:sz="4" w:space="0" w:color="000000"/>
              <w:bottom w:val="nil" w:sz="6" w:space="0" w:color="auto"/>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服务中心</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77"/>
              <w:jc w:val="left"/>
              <w:rPr>
                <w:rFonts w:ascii="宋体" w:hAnsi="宋体" w:cs="宋体" w:eastAsia="宋体" w:hint="default"/>
                <w:sz w:val="18"/>
                <w:szCs w:val="18"/>
              </w:rPr>
            </w:pPr>
            <w:r>
              <w:rPr>
                <w:rFonts w:ascii="宋体" w:hAnsi="宋体" w:cs="宋体" w:eastAsia="宋体" w:hint="default"/>
                <w:sz w:val="18"/>
                <w:szCs w:val="18"/>
              </w:rPr>
              <w:t>（合肥君正 产业转型政</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764,090.52</w:t>
            </w: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16,228.44</w:t>
            </w: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747,862.08</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策兑现补</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助</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6</w:t>
            </w:r>
            <w:r>
              <w:rPr>
                <w:rFonts w:ascii="宋体" w:hAnsi="宋体" w:cs="宋体" w:eastAsia="宋体" w:hint="default"/>
                <w:sz w:val="18"/>
                <w:szCs w:val="18"/>
              </w:rPr>
              <w:t>）</w:t>
            </w:r>
          </w:p>
        </w:tc>
        <w:tc>
          <w:tcPr>
            <w:tcW w:w="1248" w:type="dxa"/>
            <w:tcBorders>
              <w:top w:val="nil" w:sz="6" w:space="0" w:color="auto"/>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高新区创业</w:t>
            </w:r>
          </w:p>
        </w:tc>
        <w:tc>
          <w:tcPr>
            <w:tcW w:w="1248" w:type="dxa"/>
            <w:tcBorders>
              <w:top w:val="single" w:sz="4" w:space="0" w:color="000000"/>
              <w:left w:val="single" w:sz="4" w:space="0" w:color="000000"/>
              <w:bottom w:val="nil" w:sz="6" w:space="0" w:color="auto"/>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vMerge w:val="restart"/>
            <w:tcBorders>
              <w:top w:val="single" w:sz="4" w:space="0" w:color="000000"/>
              <w:left w:val="single" w:sz="4" w:space="0" w:color="000000"/>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服务中民</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集成电</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9"/>
              <w:jc w:val="right"/>
              <w:rPr>
                <w:rFonts w:ascii="Times New Roman" w:hAnsi="Times New Roman" w:cs="Times New Roman" w:eastAsia="Times New Roman" w:hint="default"/>
                <w:sz w:val="18"/>
                <w:szCs w:val="18"/>
              </w:rPr>
            </w:pPr>
            <w:r>
              <w:rPr>
                <w:rFonts w:ascii="Times New Roman"/>
                <w:spacing w:val="-1"/>
                <w:sz w:val="18"/>
              </w:rPr>
              <w:t>6,923,076.92</w:t>
            </w: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6,923,076.92</w:t>
            </w: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6"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路基地专项</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资金（</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1248" w:type="dxa"/>
            <w:tcBorders>
              <w:top w:val="nil" w:sz="6" w:space="0" w:color="auto"/>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vMerge/>
            <w:tcBorders>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核心电子器</w:t>
            </w:r>
          </w:p>
        </w:tc>
        <w:tc>
          <w:tcPr>
            <w:tcW w:w="1248" w:type="dxa"/>
            <w:tcBorders>
              <w:top w:val="single" w:sz="4" w:space="0" w:color="000000"/>
              <w:left w:val="single" w:sz="4" w:space="0" w:color="000000"/>
              <w:bottom w:val="nil" w:sz="6" w:space="0" w:color="auto"/>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件、高端通</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用芯片及基</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1,644,480.00</w:t>
            </w: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822,240.00</w:t>
            </w: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822,240.00</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7"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础软件产品</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48" w:type="dxa"/>
            <w:tcBorders>
              <w:top w:val="nil" w:sz="6" w:space="0" w:color="auto"/>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高性能区块</w:t>
            </w:r>
          </w:p>
        </w:tc>
        <w:tc>
          <w:tcPr>
            <w:tcW w:w="1248" w:type="dxa"/>
            <w:tcBorders>
              <w:top w:val="single" w:sz="4" w:space="0" w:color="000000"/>
              <w:left w:val="single" w:sz="4" w:space="0" w:color="000000"/>
              <w:bottom w:val="nil" w:sz="6" w:space="0" w:color="auto"/>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链共识算法</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芯片关键技</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8"/>
              <w:jc w:val="right"/>
              <w:rPr>
                <w:rFonts w:ascii="Times New Roman" w:hAnsi="Times New Roman" w:cs="Times New Roman" w:eastAsia="Times New Roman" w:hint="default"/>
                <w:sz w:val="18"/>
                <w:szCs w:val="18"/>
              </w:rPr>
            </w:pPr>
            <w:r>
              <w:rPr>
                <w:rFonts w:ascii="Times New Roman"/>
                <w:spacing w:val="-1"/>
                <w:sz w:val="18"/>
              </w:rPr>
              <w:t>8,591,000.00</w:t>
            </w: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4,908,000.00</w:t>
            </w: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3,683,000.00</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6"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术研究项目</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248" w:type="dxa"/>
            <w:tcBorders>
              <w:top w:val="nil" w:sz="6" w:space="0" w:color="auto"/>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高新区创业</w:t>
            </w:r>
          </w:p>
        </w:tc>
        <w:tc>
          <w:tcPr>
            <w:tcW w:w="1248"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vMerge w:val="restart"/>
            <w:tcBorders>
              <w:top w:val="single" w:sz="4" w:space="0" w:color="000000"/>
              <w:left w:val="single" w:sz="4" w:space="0" w:color="000000"/>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服务中心</w:t>
            </w: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合肥集 成电路产业</w:t>
            </w: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专项资金</w:t>
            </w: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1248"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vMerge/>
            <w:tcBorders>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高新区创业</w:t>
            </w:r>
          </w:p>
        </w:tc>
        <w:tc>
          <w:tcPr>
            <w:tcW w:w="1248"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vMerge w:val="restart"/>
            <w:tcBorders>
              <w:top w:val="single" w:sz="4" w:space="0" w:color="000000"/>
              <w:left w:val="single" w:sz="4" w:space="0" w:color="000000"/>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服务中心</w:t>
            </w: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625"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年度合 肥集成电路</w:t>
            </w: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2,051,600.00</w:t>
            </w: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2,051,600.00</w:t>
            </w: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产业专项资</w:t>
            </w: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1248"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vMerge/>
            <w:tcBorders>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高新区创业</w:t>
            </w:r>
          </w:p>
        </w:tc>
        <w:tc>
          <w:tcPr>
            <w:tcW w:w="1248"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vMerge w:val="restart"/>
            <w:tcBorders>
              <w:top w:val="single" w:sz="4" w:space="0" w:color="000000"/>
              <w:left w:val="single" w:sz="4" w:space="0" w:color="000000"/>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服务中心</w:t>
            </w: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年度合 肥市集成电</w:t>
            </w: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390,000.00</w:t>
            </w: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390,000.00</w:t>
            </w: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路产业专项</w:t>
            </w: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资金（</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1248"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vMerge/>
            <w:tcBorders>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101.540001pt;margin-top:512.469971pt;width:68.05pt;height:39pt;mso-position-horizontal-relative:page;mso-position-vertical-relative:page;z-index:-16116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9"/>
                      <w:szCs w:val="19"/>
                    </w:rPr>
                  </w:pPr>
                </w:p>
                <w:p>
                  <w:pPr>
                    <w:pStyle w:val="BodyText"/>
                    <w:spacing w:line="240" w:lineRule="auto"/>
                    <w:ind w:left="0" w:right="0"/>
                    <w:jc w:val="left"/>
                  </w:pPr>
                  <w:r>
                    <w:rPr/>
                    <w:t>）</w:t>
                  </w:r>
                </w:p>
              </w:txbxContent>
            </v:textbox>
            <w10:wrap type="none"/>
          </v:shape>
        </w:pict>
      </w:r>
      <w:r>
        <w:rPr/>
        <w:pict>
          <v:shape style="position:absolute;margin-left:101.540001pt;margin-top:677.5pt;width:68.05pt;height:39pt;mso-position-horizontal-relative:page;mso-position-vertical-relative:page;z-index:-16116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9"/>
                      <w:szCs w:val="19"/>
                    </w:rPr>
                  </w:pPr>
                </w:p>
                <w:p>
                  <w:pPr>
                    <w:pStyle w:val="BodyText"/>
                    <w:spacing w:line="240" w:lineRule="auto"/>
                    <w:ind w:left="0" w:right="0"/>
                    <w:jc w:val="left"/>
                  </w:pPr>
                  <w:r>
                    <w:rPr/>
                    <w:t>）</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356"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合肥市经济</w:t>
            </w:r>
          </w:p>
        </w:tc>
        <w:tc>
          <w:tcPr>
            <w:tcW w:w="1248"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vMerge w:val="restart"/>
            <w:tcBorders>
              <w:top w:val="single" w:sz="4" w:space="0" w:color="000000"/>
              <w:left w:val="single" w:sz="4" w:space="0" w:color="000000"/>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和信息化局</w:t>
            </w: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77"/>
              <w:jc w:val="left"/>
              <w:rPr>
                <w:rFonts w:ascii="宋体" w:hAnsi="宋体" w:cs="宋体" w:eastAsia="宋体" w:hint="default"/>
                <w:sz w:val="18"/>
                <w:szCs w:val="18"/>
              </w:rPr>
            </w:pPr>
            <w:r>
              <w:rPr>
                <w:rFonts w:ascii="宋体" w:hAnsi="宋体" w:cs="宋体" w:eastAsia="宋体" w:hint="default"/>
                <w:sz w:val="18"/>
                <w:szCs w:val="18"/>
              </w:rPr>
              <w:t>支持新产品 设计工程产</w:t>
            </w: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品首轮流片</w:t>
            </w: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款（</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p>
        </w:tc>
        <w:tc>
          <w:tcPr>
            <w:tcW w:w="1248"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vMerge/>
            <w:tcBorders>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合肥市经信</w:t>
            </w:r>
          </w:p>
        </w:tc>
        <w:tc>
          <w:tcPr>
            <w:tcW w:w="1248"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vMerge w:val="restart"/>
            <w:tcBorders>
              <w:top w:val="single" w:sz="4" w:space="0" w:color="000000"/>
              <w:left w:val="single" w:sz="4" w:space="0" w:color="000000"/>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化局促进企</w:t>
            </w: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业加速成长</w:t>
            </w: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800,000.00</w:t>
            </w: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800,000.00</w:t>
            </w: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6"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企业上台阶</w:t>
            </w: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奖励（</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p>
        </w:tc>
        <w:tc>
          <w:tcPr>
            <w:tcW w:w="1248"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vMerge/>
            <w:tcBorders>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高新区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p>
        </w:tc>
        <w:tc>
          <w:tcPr>
            <w:tcW w:w="1248"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vMerge w:val="restart"/>
            <w:tcBorders>
              <w:top w:val="single" w:sz="4" w:space="0" w:color="000000"/>
              <w:left w:val="single" w:sz="4" w:space="0" w:color="000000"/>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619"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77"/>
              <w:jc w:val="left"/>
              <w:rPr>
                <w:rFonts w:ascii="宋体" w:hAnsi="宋体" w:cs="宋体" w:eastAsia="宋体" w:hint="default"/>
                <w:sz w:val="18"/>
                <w:szCs w:val="18"/>
              </w:rPr>
            </w:pPr>
            <w:r>
              <w:rPr>
                <w:rFonts w:ascii="宋体" w:hAnsi="宋体" w:cs="宋体" w:eastAsia="宋体" w:hint="default"/>
                <w:sz w:val="18"/>
                <w:szCs w:val="18"/>
              </w:rPr>
              <w:t>年合肥市外 贸促进政策</w:t>
            </w: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69,149.00</w:t>
            </w: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69,149.00</w:t>
            </w: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资金（</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p>
        </w:tc>
        <w:tc>
          <w:tcPr>
            <w:tcW w:w="1248"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vMerge/>
            <w:tcBorders>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合肥市总工</w:t>
            </w:r>
          </w:p>
        </w:tc>
        <w:tc>
          <w:tcPr>
            <w:tcW w:w="1248"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vMerge w:val="restart"/>
            <w:tcBorders>
              <w:top w:val="single" w:sz="4" w:space="0" w:color="000000"/>
              <w:left w:val="single" w:sz="4" w:space="0" w:color="000000"/>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623"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00" w:lineRule="auto" w:before="9"/>
              <w:ind w:left="24" w:right="19"/>
              <w:jc w:val="left"/>
              <w:rPr>
                <w:rFonts w:ascii="宋体" w:hAnsi="宋体" w:cs="宋体" w:eastAsia="宋体" w:hint="default"/>
                <w:sz w:val="18"/>
                <w:szCs w:val="18"/>
              </w:rPr>
            </w:pPr>
            <w:r>
              <w:rPr>
                <w:rFonts w:ascii="宋体" w:hAnsi="宋体" w:cs="宋体" w:eastAsia="宋体" w:hint="default"/>
                <w:sz w:val="18"/>
                <w:szCs w:val="18"/>
              </w:rPr>
              <w:t>会</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年度 工会经费补</w:t>
            </w: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6,400.00</w:t>
            </w: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6,400.00</w:t>
            </w: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助（</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p>
        </w:tc>
        <w:tc>
          <w:tcPr>
            <w:tcW w:w="1248"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vMerge/>
            <w:tcBorders>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年合肥</w:t>
            </w:r>
          </w:p>
        </w:tc>
        <w:tc>
          <w:tcPr>
            <w:tcW w:w="1248"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vMerge w:val="restart"/>
            <w:tcBorders>
              <w:top w:val="single" w:sz="4" w:space="0" w:color="000000"/>
              <w:left w:val="single" w:sz="4" w:space="0" w:color="000000"/>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619"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77"/>
              <w:jc w:val="left"/>
              <w:rPr>
                <w:rFonts w:ascii="宋体" w:hAnsi="宋体" w:cs="宋体" w:eastAsia="宋体" w:hint="default"/>
                <w:sz w:val="18"/>
                <w:szCs w:val="18"/>
              </w:rPr>
            </w:pPr>
            <w:r>
              <w:rPr>
                <w:rFonts w:ascii="宋体" w:hAnsi="宋体" w:cs="宋体" w:eastAsia="宋体" w:hint="default"/>
                <w:sz w:val="18"/>
                <w:szCs w:val="18"/>
              </w:rPr>
              <w:t>市集成电产 业专项引导</w:t>
            </w: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6,429,100.00</w:t>
            </w: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6,429,100.00</w:t>
            </w: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资金（</w:t>
            </w:r>
            <w:r>
              <w:rPr>
                <w:rFonts w:ascii="Times New Roman" w:hAnsi="Times New Roman" w:cs="Times New Roman" w:eastAsia="Times New Roman" w:hint="default"/>
                <w:sz w:val="18"/>
                <w:szCs w:val="18"/>
              </w:rPr>
              <w:t>14</w:t>
            </w:r>
            <w:r>
              <w:rPr>
                <w:rFonts w:ascii="宋体" w:hAnsi="宋体" w:cs="宋体" w:eastAsia="宋体" w:hint="default"/>
                <w:sz w:val="18"/>
                <w:szCs w:val="18"/>
              </w:rPr>
              <w:t>）</w:t>
            </w:r>
          </w:p>
        </w:tc>
        <w:tc>
          <w:tcPr>
            <w:tcW w:w="1248"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vMerge/>
            <w:tcBorders>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高新区创业</w:t>
            </w:r>
          </w:p>
        </w:tc>
        <w:tc>
          <w:tcPr>
            <w:tcW w:w="12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780" w:lineRule="exact"/>
              <w:ind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62.05pt;height:39pt;mso-position-horizontal-relative:char;mso-position-vertical-relative:line" coordorigin="0,0" coordsize="1241,780">
                  <v:group style="position:absolute;left:0;top:0;width:1241;height:780" coordorigin="0,0" coordsize="1241,780">
                    <v:shape style="position:absolute;left:0;top:0;width:1241;height:780" coordorigin="0,0" coordsize="1241,780" path="m0,780l1241,780,1241,0,0,0,0,780xe" filled="true" fillcolor="#ffffff" stroked="false">
                      <v:path arrowok="t"/>
                      <v:fill type="solid"/>
                    </v:shape>
                  </v:group>
                </v:group>
              </w:pict>
            </w:r>
            <w:r>
              <w:rPr>
                <w:rFonts w:ascii="Times New Roman" w:hAnsi="Times New Roman" w:cs="Times New Roman" w:eastAsia="Times New Roman" w:hint="default"/>
                <w:position w:val="-15"/>
                <w:sz w:val="20"/>
                <w:szCs w:val="20"/>
              </w:rPr>
            </w:r>
          </w:p>
        </w:tc>
        <w:tc>
          <w:tcPr>
            <w:tcW w:w="1011"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服务中心</w:t>
            </w: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年省集 成电路战新</w:t>
            </w: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840,000.00</w:t>
            </w: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420,000.00</w:t>
            </w: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406" w:right="0"/>
              <w:jc w:val="left"/>
              <w:rPr>
                <w:rFonts w:ascii="Times New Roman" w:hAnsi="Times New Roman" w:cs="Times New Roman" w:eastAsia="Times New Roman" w:hint="default"/>
                <w:sz w:val="18"/>
                <w:szCs w:val="18"/>
              </w:rPr>
            </w:pPr>
            <w:r>
              <w:rPr>
                <w:rFonts w:ascii="Times New Roman"/>
                <w:sz w:val="18"/>
              </w:rPr>
              <w:t>420,000.00</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基地专项引</w:t>
            </w: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导资金（</w:t>
            </w:r>
            <w:r>
              <w:rPr>
                <w:rFonts w:ascii="Times New Roman" w:hAnsi="Times New Roman" w:cs="Times New Roman" w:eastAsia="Times New Roman" w:hint="default"/>
                <w:spacing w:val="-6"/>
                <w:sz w:val="18"/>
                <w:szCs w:val="18"/>
              </w:rPr>
              <w:t>15</w:t>
            </w:r>
            <w:r>
              <w:rPr>
                <w:rFonts w:ascii="Times New Roman" w:hAnsi="Times New Roman" w:cs="Times New Roman" w:eastAsia="Times New Roman" w:hint="default"/>
                <w:sz w:val="18"/>
                <w:szCs w:val="18"/>
              </w:rPr>
            </w:r>
          </w:p>
        </w:tc>
        <w:tc>
          <w:tcPr>
            <w:tcW w:w="1248"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合肥市高新</w:t>
            </w:r>
          </w:p>
        </w:tc>
        <w:tc>
          <w:tcPr>
            <w:tcW w:w="1248"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vMerge w:val="restart"/>
            <w:tcBorders>
              <w:top w:val="single" w:sz="4" w:space="0" w:color="000000"/>
              <w:left w:val="single" w:sz="4" w:space="0" w:color="000000"/>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77"/>
              <w:jc w:val="left"/>
              <w:rPr>
                <w:rFonts w:ascii="宋体" w:hAnsi="宋体" w:cs="宋体" w:eastAsia="宋体" w:hint="default"/>
                <w:sz w:val="18"/>
                <w:szCs w:val="18"/>
              </w:rPr>
            </w:pPr>
            <w:r>
              <w:rPr>
                <w:rFonts w:ascii="宋体" w:hAnsi="宋体" w:cs="宋体" w:eastAsia="宋体" w:hint="default"/>
                <w:sz w:val="18"/>
                <w:szCs w:val="18"/>
              </w:rPr>
              <w:t>区领军人才 引进计划项</w:t>
            </w: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75,000.00</w:t>
            </w: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75,000.00</w:t>
            </w: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目（</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p>
        </w:tc>
        <w:tc>
          <w:tcPr>
            <w:tcW w:w="1248"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vMerge/>
            <w:tcBorders>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年度中</w:t>
            </w:r>
          </w:p>
        </w:tc>
        <w:tc>
          <w:tcPr>
            <w:tcW w:w="12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780" w:lineRule="exact"/>
              <w:ind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62.05pt;height:39pt;mso-position-horizontal-relative:char;mso-position-vertical-relative:line" coordorigin="0,0" coordsize="1241,780">
                  <v:group style="position:absolute;left:0;top:0;width:1241;height:780" coordorigin="0,0" coordsize="1241,780">
                    <v:shape style="position:absolute;left:0;top:0;width:1241;height:780" coordorigin="0,0" coordsize="1241,780" path="m0,780l1241,780,1241,0,0,0,0,780xe" filled="true" fillcolor="#ffffff" stroked="false">
                      <v:path arrowok="t"/>
                      <v:fill type="solid"/>
                    </v:shape>
                  </v:group>
                </v:group>
              </w:pict>
            </w:r>
            <w:r>
              <w:rPr>
                <w:rFonts w:ascii="Times New Roman" w:hAnsi="Times New Roman" w:cs="Times New Roman" w:eastAsia="Times New Roman" w:hint="default"/>
                <w:position w:val="-15"/>
                <w:sz w:val="20"/>
                <w:szCs w:val="20"/>
              </w:rPr>
            </w:r>
          </w:p>
        </w:tc>
        <w:tc>
          <w:tcPr>
            <w:tcW w:w="1011"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vMerge w:val="restart"/>
            <w:tcBorders>
              <w:top w:val="single" w:sz="4" w:space="0" w:color="000000"/>
              <w:left w:val="single" w:sz="4" w:space="0" w:color="000000"/>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关村国家自</w:t>
            </w: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77"/>
              <w:jc w:val="left"/>
              <w:rPr>
                <w:rFonts w:ascii="宋体" w:hAnsi="宋体" w:cs="宋体" w:eastAsia="宋体" w:hint="default"/>
                <w:sz w:val="18"/>
                <w:szCs w:val="18"/>
              </w:rPr>
            </w:pPr>
            <w:r>
              <w:rPr>
                <w:rFonts w:ascii="宋体" w:hAnsi="宋体" w:cs="宋体" w:eastAsia="宋体" w:hint="default"/>
                <w:sz w:val="18"/>
                <w:szCs w:val="18"/>
              </w:rPr>
              <w:t>主创新示范 区集成电路</w:t>
            </w: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341,800.00</w:t>
            </w: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341,800.00</w:t>
            </w: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设计产业发</w:t>
            </w: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展资金（</w:t>
            </w:r>
            <w:r>
              <w:rPr>
                <w:rFonts w:ascii="Times New Roman" w:hAnsi="Times New Roman" w:cs="Times New Roman" w:eastAsia="Times New Roman" w:hint="default"/>
                <w:spacing w:val="-6"/>
                <w:sz w:val="18"/>
                <w:szCs w:val="18"/>
              </w:rPr>
              <w:t>17</w:t>
            </w:r>
            <w:r>
              <w:rPr>
                <w:rFonts w:ascii="Times New Roman" w:hAnsi="Times New Roman" w:cs="Times New Roman" w:eastAsia="Times New Roman" w:hint="default"/>
                <w:sz w:val="18"/>
                <w:szCs w:val="18"/>
              </w:rPr>
            </w:r>
          </w:p>
        </w:tc>
        <w:tc>
          <w:tcPr>
            <w:tcW w:w="1248"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vMerge/>
            <w:tcBorders>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101.540001pt;margin-top:221.42598pt;width:68.05pt;height:31.25pt;mso-position-horizontal-relative:page;mso-position-vertical-relative:page;z-index:-1611568" type="#_x0000_t202" filled="false" stroked="false">
            <v:textbox inset="0,0,0,0">
              <w:txbxContent>
                <w:p>
                  <w:pPr>
                    <w:spacing w:line="240" w:lineRule="auto" w:before="5"/>
                    <w:rPr>
                      <w:rFonts w:ascii="宋体" w:hAnsi="宋体" w:cs="宋体" w:eastAsia="宋体" w:hint="default"/>
                      <w:sz w:val="21"/>
                      <w:szCs w:val="21"/>
                    </w:rPr>
                  </w:pPr>
                </w:p>
                <w:p>
                  <w:pPr>
                    <w:pStyle w:val="BodyText"/>
                    <w:spacing w:line="240" w:lineRule="auto"/>
                    <w:ind w:left="0" w:right="0"/>
                    <w:jc w:val="left"/>
                  </w:pPr>
                  <w:r>
                    <w:rPr/>
                    <w:t>）</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356"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面向智能终</w:t>
            </w:r>
          </w:p>
        </w:tc>
        <w:tc>
          <w:tcPr>
            <w:tcW w:w="1248"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端的嵌入式</w:t>
            </w: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77"/>
              <w:jc w:val="left"/>
              <w:rPr>
                <w:rFonts w:ascii="宋体" w:hAnsi="宋体" w:cs="宋体" w:eastAsia="宋体" w:hint="default"/>
                <w:sz w:val="18"/>
                <w:szCs w:val="18"/>
              </w:rPr>
            </w:pPr>
            <w:r>
              <w:rPr>
                <w:rFonts w:ascii="宋体" w:hAnsi="宋体" w:cs="宋体" w:eastAsia="宋体" w:hint="default"/>
                <w:sz w:val="18"/>
                <w:szCs w:val="18"/>
              </w:rPr>
              <w:t>高能效深度 学习引擎开</w:t>
            </w: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8,988,000.00</w:t>
            </w: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3,595,200.00</w:t>
            </w: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5,392,800.00</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发与产业化</w:t>
            </w: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p>
        </w:tc>
        <w:tc>
          <w:tcPr>
            <w:tcW w:w="1248"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年海淀</w:t>
            </w:r>
          </w:p>
        </w:tc>
        <w:tc>
          <w:tcPr>
            <w:tcW w:w="12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624" w:lineRule="exact"/>
              <w:ind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62.05pt;height:31.25pt;mso-position-horizontal-relative:char;mso-position-vertical-relative:line" coordorigin="0,0" coordsize="1241,625">
                  <v:group style="position:absolute;left:0;top:0;width:1241;height:625" coordorigin="0,0" coordsize="1241,625">
                    <v:shape style="position:absolute;left:0;top:0;width:1241;height:625" coordorigin="0,0" coordsize="1241,625" path="m0,624l1241,624,1241,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tc>
        <w:tc>
          <w:tcPr>
            <w:tcW w:w="1011"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vMerge w:val="restart"/>
            <w:tcBorders>
              <w:top w:val="single" w:sz="4" w:space="0" w:color="000000"/>
              <w:left w:val="single" w:sz="4" w:space="0" w:color="000000"/>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区重大科技</w:t>
            </w: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项目和创新</w:t>
            </w: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700,000.00</w:t>
            </w: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141" w:right="0"/>
              <w:jc w:val="center"/>
              <w:rPr>
                <w:rFonts w:ascii="Times New Roman" w:hAnsi="Times New Roman" w:cs="Times New Roman" w:eastAsia="Times New Roman" w:hint="default"/>
                <w:sz w:val="18"/>
                <w:szCs w:val="18"/>
              </w:rPr>
            </w:pPr>
            <w:r>
              <w:rPr>
                <w:rFonts w:ascii="Times New Roman"/>
                <w:sz w:val="18"/>
              </w:rPr>
              <w:t>700,000.00</w:t>
            </w: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6"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平台奖励专</w:t>
            </w: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项资金（</w:t>
            </w:r>
            <w:r>
              <w:rPr>
                <w:rFonts w:ascii="Times New Roman" w:hAnsi="Times New Roman" w:cs="Times New Roman" w:eastAsia="Times New Roman" w:hint="default"/>
                <w:spacing w:val="-6"/>
                <w:sz w:val="18"/>
                <w:szCs w:val="18"/>
              </w:rPr>
              <w:t>19</w:t>
            </w:r>
            <w:r>
              <w:rPr>
                <w:rFonts w:ascii="Times New Roman" w:hAnsi="Times New Roman" w:cs="Times New Roman" w:eastAsia="Times New Roman" w:hint="default"/>
                <w:sz w:val="18"/>
                <w:szCs w:val="18"/>
              </w:rPr>
            </w:r>
          </w:p>
        </w:tc>
        <w:tc>
          <w:tcPr>
            <w:tcW w:w="1248"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vMerge/>
            <w:tcBorders>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年度中</w:t>
            </w:r>
          </w:p>
        </w:tc>
        <w:tc>
          <w:tcPr>
            <w:tcW w:w="1248"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vMerge w:val="restart"/>
            <w:tcBorders>
              <w:top w:val="single" w:sz="4" w:space="0" w:color="000000"/>
              <w:left w:val="single" w:sz="4" w:space="0" w:color="000000"/>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关村集成电</w:t>
            </w: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路设计产业</w:t>
            </w: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6" w:right="0"/>
              <w:jc w:val="center"/>
              <w:rPr>
                <w:rFonts w:ascii="Times New Roman" w:hAnsi="Times New Roman" w:cs="Times New Roman" w:eastAsia="Times New Roman" w:hint="default"/>
                <w:sz w:val="18"/>
                <w:szCs w:val="18"/>
              </w:rPr>
            </w:pPr>
            <w:r>
              <w:rPr>
                <w:rFonts w:ascii="Times New Roman"/>
                <w:sz w:val="18"/>
              </w:rPr>
              <w:t>2,000,000.00</w:t>
            </w: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7"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发展资金</w:t>
            </w: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c>
          <w:tcPr>
            <w:tcW w:w="1248"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vMerge/>
            <w:tcBorders>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基于国产软</w:t>
            </w:r>
          </w:p>
        </w:tc>
        <w:tc>
          <w:tcPr>
            <w:tcW w:w="1248"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vMerge w:val="restart"/>
            <w:tcBorders>
              <w:top w:val="single" w:sz="4" w:space="0" w:color="000000"/>
              <w:left w:val="single" w:sz="4" w:space="0" w:color="000000"/>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硬件的手机</w:t>
            </w: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77"/>
              <w:jc w:val="left"/>
              <w:rPr>
                <w:rFonts w:ascii="宋体" w:hAnsi="宋体" w:cs="宋体" w:eastAsia="宋体" w:hint="default"/>
                <w:sz w:val="18"/>
                <w:szCs w:val="18"/>
              </w:rPr>
            </w:pPr>
            <w:r>
              <w:rPr>
                <w:rFonts w:ascii="宋体" w:hAnsi="宋体" w:cs="宋体" w:eastAsia="宋体" w:hint="default"/>
                <w:sz w:val="18"/>
                <w:szCs w:val="18"/>
              </w:rPr>
              <w:t>解决方案及 样机研制项</w:t>
            </w: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2,824,000.00</w:t>
            </w: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2,824,000.00</w:t>
            </w: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目后补助资</w:t>
            </w: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w:t>
            </w:r>
            <w:r>
              <w:rPr>
                <w:rFonts w:ascii="Times New Roman" w:hAnsi="Times New Roman" w:cs="Times New Roman" w:eastAsia="Times New Roman" w:hint="default"/>
                <w:sz w:val="18"/>
                <w:szCs w:val="18"/>
              </w:rPr>
              <w:t>21</w:t>
            </w:r>
            <w:r>
              <w:rPr>
                <w:rFonts w:ascii="宋体" w:hAnsi="宋体" w:cs="宋体" w:eastAsia="宋体" w:hint="default"/>
                <w:sz w:val="18"/>
                <w:szCs w:val="18"/>
              </w:rPr>
              <w:t>）</w:t>
            </w:r>
          </w:p>
        </w:tc>
        <w:tc>
          <w:tcPr>
            <w:tcW w:w="1248"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vMerge/>
            <w:tcBorders>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32,835,347.44</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27,015,049.0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36,684,494.3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23,165,902.08</w:t>
            </w:r>
          </w:p>
        </w:tc>
        <w:tc>
          <w:tcPr>
            <w:tcW w:w="101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both"/>
      </w:pPr>
      <w:r>
        <w:rPr/>
        <w:t>其他说明：</w:t>
      </w:r>
    </w:p>
    <w:p>
      <w:pPr>
        <w:pStyle w:val="BodyText"/>
        <w:spacing w:line="300" w:lineRule="auto" w:before="115"/>
        <w:ind w:right="1131" w:firstLine="360"/>
        <w:jc w:val="both"/>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月，本公司全资子公司合肥君正科技有限公司（以下简称为</w:t>
      </w:r>
      <w:r>
        <w:rPr>
          <w:rFonts w:ascii="Times New Roman" w:hAnsi="Times New Roman" w:cs="Times New Roman" w:eastAsia="Times New Roman" w:hint="default"/>
        </w:rPr>
        <w:t>“</w:t>
      </w:r>
      <w:r>
        <w:rPr/>
        <w:t>乙方</w:t>
      </w:r>
      <w:r>
        <w:rPr>
          <w:rFonts w:ascii="Times New Roman" w:hAnsi="Times New Roman" w:cs="Times New Roman" w:eastAsia="Times New Roman" w:hint="default"/>
        </w:rPr>
        <w:t>”</w:t>
      </w:r>
      <w:r>
        <w:rPr/>
        <w:t>）与合肥高新技术产业开发区招商 </w:t>
      </w:r>
      <w:r>
        <w:rPr>
          <w:spacing w:val="-2"/>
        </w:rPr>
        <w:t>局（以下简称为</w:t>
      </w:r>
      <w:r>
        <w:rPr>
          <w:rFonts w:ascii="Times New Roman" w:hAnsi="Times New Roman" w:cs="Times New Roman" w:eastAsia="Times New Roman" w:hint="default"/>
          <w:spacing w:val="-2"/>
        </w:rPr>
        <w:t>“</w:t>
      </w:r>
      <w:r>
        <w:rPr>
          <w:spacing w:val="-2"/>
        </w:rPr>
        <w:t>甲方</w:t>
      </w:r>
      <w:r>
        <w:rPr>
          <w:rFonts w:ascii="Times New Roman" w:hAnsi="Times New Roman" w:cs="Times New Roman" w:eastAsia="Times New Roman" w:hint="default"/>
          <w:spacing w:val="-2"/>
        </w:rPr>
        <w:t>”</w:t>
      </w:r>
      <w:r>
        <w:rPr>
          <w:spacing w:val="-2"/>
        </w:rPr>
        <w:t>）签订《安徽省集成电路产业集聚发展合肥基地</w:t>
      </w:r>
      <w:r>
        <w:rPr>
          <w:rFonts w:ascii="Times New Roman" w:hAnsi="Times New Roman" w:cs="Times New Roman" w:eastAsia="Times New Roman" w:hint="default"/>
          <w:spacing w:val="-2"/>
        </w:rPr>
        <w:t>2015</w:t>
      </w:r>
      <w:r>
        <w:rPr>
          <w:spacing w:val="-2"/>
        </w:rPr>
        <w:t>年度专项引导资金使用协议书》，协议约定：甲</w:t>
      </w:r>
      <w:r>
        <w:rPr>
          <w:spacing w:val="-43"/>
        </w:rPr>
        <w:t> </w:t>
      </w:r>
      <w:r>
        <w:rPr>
          <w:spacing w:val="-43"/>
        </w:rPr>
      </w:r>
      <w:r>
        <w:rPr/>
        <w:t>方以</w:t>
      </w:r>
      <w:r>
        <w:rPr>
          <w:rFonts w:ascii="Times New Roman" w:hAnsi="Times New Roman" w:cs="Times New Roman" w:eastAsia="Times New Roman" w:hint="default"/>
        </w:rPr>
        <w:t>“</w:t>
      </w:r>
      <w:r>
        <w:rPr/>
        <w:t>借转补</w:t>
      </w:r>
      <w:r>
        <w:rPr>
          <w:rFonts w:ascii="Times New Roman" w:hAnsi="Times New Roman" w:cs="Times New Roman" w:eastAsia="Times New Roman" w:hint="default"/>
        </w:rPr>
        <w:t>”</w:t>
      </w:r>
      <w:r>
        <w:rPr/>
        <w:t>的方式将专项引导资金</w:t>
      </w:r>
      <w:r>
        <w:rPr>
          <w:rFonts w:ascii="Times New Roman" w:hAnsi="Times New Roman" w:cs="Times New Roman" w:eastAsia="Times New Roman" w:hint="default"/>
        </w:rPr>
        <w:t>6,000,000.00</w:t>
      </w:r>
      <w:r>
        <w:rPr/>
        <w:t>元拨付给乙方，乙方专款专用于视频监控芯片研发及产业化，专项资金使</w:t>
      </w:r>
      <w:r>
        <w:rPr>
          <w:spacing w:val="-36"/>
        </w:rPr>
        <w:t> </w:t>
      </w:r>
      <w:r>
        <w:rPr>
          <w:spacing w:val="-36"/>
        </w:rPr>
      </w:r>
      <w:r>
        <w:rPr>
          <w:spacing w:val="-2"/>
        </w:rPr>
        <w:t>用期限为：自资金拨付之日至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日。在此期间，乙方使用专项资金，甲方不计收利息，期满后，甲方按协议约定</w:t>
      </w:r>
      <w:r>
        <w:rPr>
          <w:spacing w:val="-64"/>
        </w:rPr>
        <w:t> </w:t>
      </w:r>
      <w:r>
        <w:rPr>
          <w:spacing w:val="-64"/>
        </w:rPr>
      </w:r>
      <w:r>
        <w:rPr>
          <w:spacing w:val="-2"/>
        </w:rPr>
        <w:t>绩效考核目标，组织对乙方项目验收。合肥君正科技有限公司于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月收到合肥高新技术产业开发区招商局拨付的补贴</w:t>
      </w:r>
      <w:r>
        <w:rPr>
          <w:spacing w:val="-60"/>
        </w:rPr>
        <w:t> </w:t>
      </w:r>
      <w:r>
        <w:rPr>
          <w:spacing w:val="-60"/>
        </w:rPr>
      </w:r>
      <w:r>
        <w:rPr/>
        <w:t>款</w:t>
      </w:r>
      <w:r>
        <w:rPr>
          <w:rFonts w:ascii="Times New Roman" w:hAnsi="Times New Roman" w:cs="Times New Roman" w:eastAsia="Times New Roman" w:hint="default"/>
        </w:rPr>
        <w:t>6,000,000.00</w:t>
      </w:r>
      <w:r>
        <w:rPr/>
        <w:t>元；</w:t>
      </w:r>
    </w:p>
    <w:p>
      <w:pPr>
        <w:pStyle w:val="BodyText"/>
        <w:spacing w:line="300" w:lineRule="auto" w:before="13"/>
        <w:ind w:right="1034" w:firstLine="360"/>
        <w:jc w:val="left"/>
      </w:pPr>
      <w:r>
        <w:rPr/>
        <w:t>注</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月，本公司全资子公司合肥君正科技有限公司（以下简称为</w:t>
      </w:r>
      <w:r>
        <w:rPr>
          <w:rFonts w:ascii="Times New Roman" w:hAnsi="Times New Roman" w:cs="Times New Roman" w:eastAsia="Times New Roman" w:hint="default"/>
        </w:rPr>
        <w:t>“</w:t>
      </w:r>
      <w:r>
        <w:rPr/>
        <w:t>乙方</w:t>
      </w:r>
      <w:r>
        <w:rPr>
          <w:rFonts w:ascii="Times New Roman" w:hAnsi="Times New Roman" w:cs="Times New Roman" w:eastAsia="Times New Roman" w:hint="default"/>
        </w:rPr>
        <w:t>”</w:t>
      </w:r>
      <w:r>
        <w:rPr/>
        <w:t>）与合肥高新技术产业开发区招商 局（以下简称为</w:t>
      </w:r>
      <w:r>
        <w:rPr>
          <w:rFonts w:ascii="Times New Roman" w:hAnsi="Times New Roman" w:cs="Times New Roman" w:eastAsia="Times New Roman" w:hint="default"/>
        </w:rPr>
        <w:t>“</w:t>
      </w:r>
      <w:r>
        <w:rPr/>
        <w:t>甲方</w:t>
      </w:r>
      <w:r>
        <w:rPr>
          <w:rFonts w:ascii="Times New Roman" w:hAnsi="Times New Roman" w:cs="Times New Roman" w:eastAsia="Times New Roman" w:hint="default"/>
        </w:rPr>
        <w:t>”</w:t>
      </w:r>
      <w:r>
        <w:rPr/>
        <w:t>）签订《智能视频分析芯片的研发及产业化项目使用集成电路产业集聚发展基地</w:t>
      </w:r>
      <w:r>
        <w:rPr>
          <w:rFonts w:ascii="Times New Roman" w:hAnsi="Times New Roman" w:cs="Times New Roman" w:eastAsia="Times New Roman" w:hint="default"/>
        </w:rPr>
        <w:t>“</w:t>
      </w:r>
      <w:r>
        <w:rPr/>
        <w:t>借转补</w:t>
      </w:r>
      <w:r>
        <w:rPr>
          <w:rFonts w:ascii="Times New Roman" w:hAnsi="Times New Roman" w:cs="Times New Roman" w:eastAsia="Times New Roman" w:hint="default"/>
        </w:rPr>
        <w:t>”</w:t>
      </w:r>
      <w:r>
        <w:rPr/>
        <w:t>专项财政扶 持资金协议书》，协议约定：甲方以</w:t>
      </w:r>
      <w:r>
        <w:rPr>
          <w:rFonts w:ascii="Times New Roman" w:hAnsi="Times New Roman" w:cs="Times New Roman" w:eastAsia="Times New Roman" w:hint="default"/>
        </w:rPr>
        <w:t>“</w:t>
      </w:r>
      <w:r>
        <w:rPr/>
        <w:t>借转补</w:t>
      </w:r>
      <w:r>
        <w:rPr>
          <w:rFonts w:ascii="Times New Roman" w:hAnsi="Times New Roman" w:cs="Times New Roman" w:eastAsia="Times New Roman" w:hint="default"/>
        </w:rPr>
        <w:t>”</w:t>
      </w:r>
      <w:r>
        <w:rPr/>
        <w:t>的方式将专项引导资金</w:t>
      </w:r>
      <w:r>
        <w:rPr>
          <w:rFonts w:ascii="Times New Roman" w:hAnsi="Times New Roman" w:cs="Times New Roman" w:eastAsia="Times New Roman" w:hint="default"/>
        </w:rPr>
        <w:t>1,500,000.00</w:t>
      </w:r>
      <w:r>
        <w:rPr/>
        <w:t>元拨付给乙方，乙方专款专用于智能视频</w:t>
      </w:r>
      <w:r>
        <w:rPr>
          <w:spacing w:val="-33"/>
        </w:rPr>
        <w:t> </w:t>
      </w:r>
      <w:r>
        <w:rPr>
          <w:spacing w:val="-33"/>
        </w:rPr>
      </w:r>
      <w:r>
        <w:rPr/>
        <w:t>分析芯片的研发及产业化项目，专项资金使用期限为：自资金拨付之日至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日。在此期间，乙方使用专项资金， </w:t>
      </w:r>
      <w:r>
        <w:rPr>
          <w:spacing w:val="-2"/>
        </w:rPr>
        <w:t>甲方不计收利息，期满后，甲方按协议约定绩效考核目标，组织对乙方项目验收。合肥君正科技有限公司于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月收到</w:t>
      </w:r>
      <w:r>
        <w:rPr>
          <w:spacing w:val="-59"/>
        </w:rPr>
        <w:t> </w:t>
      </w:r>
      <w:r>
        <w:rPr>
          <w:spacing w:val="-59"/>
        </w:rPr>
      </w:r>
      <w:r>
        <w:rPr/>
        <w:t>合肥高新技术产业开发区招商局拨付的补贴款</w:t>
      </w:r>
      <w:r>
        <w:rPr>
          <w:rFonts w:ascii="Times New Roman" w:hAnsi="Times New Roman" w:cs="Times New Roman" w:eastAsia="Times New Roman" w:hint="default"/>
        </w:rPr>
        <w:t>1,500,000.00</w:t>
      </w:r>
      <w:r>
        <w:rPr/>
        <w:t>元；</w:t>
      </w:r>
    </w:p>
    <w:p>
      <w:pPr>
        <w:pStyle w:val="BodyText"/>
        <w:spacing w:line="240" w:lineRule="auto" w:before="13"/>
        <w:ind w:left="513" w:right="986"/>
        <w:jc w:val="left"/>
      </w:pPr>
      <w:r>
        <w:rPr/>
        <w:t>注</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月，本公司全资子公司合肥君正科技有限公司（以下简称为</w:t>
      </w:r>
      <w:r>
        <w:rPr>
          <w:rFonts w:ascii="Times New Roman" w:hAnsi="Times New Roman" w:cs="Times New Roman" w:eastAsia="Times New Roman" w:hint="default"/>
        </w:rPr>
        <w:t>“</w:t>
      </w:r>
      <w:r>
        <w:rPr/>
        <w:t>乙方</w:t>
      </w:r>
      <w:r>
        <w:rPr>
          <w:rFonts w:ascii="Times New Roman" w:hAnsi="Times New Roman" w:cs="Times New Roman" w:eastAsia="Times New Roman" w:hint="default"/>
        </w:rPr>
        <w:t>”</w:t>
      </w:r>
      <w:r>
        <w:rPr/>
        <w:t>）与合肥高新技术产业开发区招商局</w:t>
      </w:r>
    </w:p>
    <w:p>
      <w:pPr>
        <w:pStyle w:val="BodyText"/>
        <w:spacing w:line="300" w:lineRule="auto" w:before="63"/>
        <w:ind w:right="1131"/>
        <w:jc w:val="both"/>
      </w:pPr>
      <w:r>
        <w:rPr>
          <w:spacing w:val="-1"/>
        </w:rPr>
        <w:t>（以下简称为</w:t>
      </w:r>
      <w:r>
        <w:rPr>
          <w:rFonts w:ascii="Times New Roman" w:hAnsi="Times New Roman" w:cs="Times New Roman" w:eastAsia="Times New Roman" w:hint="default"/>
          <w:spacing w:val="-1"/>
        </w:rPr>
        <w:t>“</w:t>
      </w:r>
      <w:r>
        <w:rPr>
          <w:spacing w:val="-1"/>
        </w:rPr>
        <w:t>甲方</w:t>
      </w:r>
      <w:r>
        <w:rPr>
          <w:rFonts w:ascii="Times New Roman" w:hAnsi="Times New Roman" w:cs="Times New Roman" w:eastAsia="Times New Roman" w:hint="default"/>
          <w:spacing w:val="-1"/>
        </w:rPr>
        <w:t>”</w:t>
      </w:r>
      <w:r>
        <w:rPr>
          <w:spacing w:val="-1"/>
        </w:rPr>
        <w:t>）签订《智能视频分析芯片的研发及产业化项目使用集成电路产业集聚发展基地</w:t>
      </w:r>
      <w:r>
        <w:rPr>
          <w:rFonts w:ascii="Times New Roman" w:hAnsi="Times New Roman" w:cs="Times New Roman" w:eastAsia="Times New Roman" w:hint="default"/>
          <w:spacing w:val="-1"/>
        </w:rPr>
        <w:t>“</w:t>
      </w:r>
      <w:r>
        <w:rPr>
          <w:spacing w:val="-1"/>
        </w:rPr>
        <w:t>借转补</w:t>
      </w:r>
      <w:r>
        <w:rPr>
          <w:rFonts w:ascii="Times New Roman" w:hAnsi="Times New Roman" w:cs="Times New Roman" w:eastAsia="Times New Roman" w:hint="default"/>
          <w:spacing w:val="-1"/>
        </w:rPr>
        <w:t>”</w:t>
      </w:r>
      <w:r>
        <w:rPr>
          <w:spacing w:val="-1"/>
        </w:rPr>
        <w:t>专项财政扶持</w:t>
      </w:r>
      <w:r>
        <w:rPr>
          <w:spacing w:val="-78"/>
        </w:rPr>
        <w:t> </w:t>
      </w:r>
      <w:r>
        <w:rPr>
          <w:spacing w:val="-78"/>
        </w:rPr>
      </w:r>
      <w:r>
        <w:rPr/>
        <w:t>资金协议书》，协议约定：甲方以</w:t>
      </w:r>
      <w:r>
        <w:rPr>
          <w:rFonts w:ascii="Times New Roman" w:hAnsi="Times New Roman" w:cs="Times New Roman" w:eastAsia="Times New Roman" w:hint="default"/>
        </w:rPr>
        <w:t>“</w:t>
      </w:r>
      <w:r>
        <w:rPr/>
        <w:t>借转补</w:t>
      </w:r>
      <w:r>
        <w:rPr>
          <w:rFonts w:ascii="Times New Roman" w:hAnsi="Times New Roman" w:cs="Times New Roman" w:eastAsia="Times New Roman" w:hint="default"/>
        </w:rPr>
        <w:t>”</w:t>
      </w:r>
      <w:r>
        <w:rPr/>
        <w:t>的方式将专项引导资金</w:t>
      </w:r>
      <w:r>
        <w:rPr>
          <w:rFonts w:ascii="Times New Roman" w:hAnsi="Times New Roman" w:cs="Times New Roman" w:eastAsia="Times New Roman" w:hint="default"/>
        </w:rPr>
        <w:t>4,400,000.00</w:t>
      </w:r>
      <w:r>
        <w:rPr/>
        <w:t>元拨付给乙方，乙方专款专用于智能视频分</w:t>
      </w:r>
      <w:r>
        <w:rPr>
          <w:spacing w:val="-33"/>
        </w:rPr>
        <w:t> </w:t>
      </w:r>
      <w:r>
        <w:rPr>
          <w:spacing w:val="-33"/>
        </w:rPr>
      </w:r>
      <w:r>
        <w:rPr>
          <w:spacing w:val="-2"/>
        </w:rPr>
        <w:t>析芯片的研发及产业化项目，专项资金使用期限为：自资金拨付之日至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日。在此期间，乙方使用专项资金，甲</w:t>
      </w:r>
      <w:r>
        <w:rPr>
          <w:spacing w:val="-62"/>
        </w:rPr>
        <w:t> </w:t>
      </w:r>
      <w:r>
        <w:rPr>
          <w:spacing w:val="-62"/>
        </w:rPr>
      </w:r>
      <w:r>
        <w:rPr/>
        <w:t>方不计收利息，期满后，甲方按协议约定绩效考核目标，组织对乙方项目验收。合肥君正科技有限公司于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月收到合</w:t>
      </w:r>
      <w:r>
        <w:rPr>
          <w:spacing w:val="-84"/>
        </w:rPr>
        <w:t> </w:t>
      </w:r>
      <w:r>
        <w:rPr>
          <w:spacing w:val="-84"/>
        </w:rPr>
      </w:r>
      <w:r>
        <w:rPr/>
        <w:t>肥高新技术产业开发区招商局拨付的补贴款</w:t>
      </w:r>
      <w:r>
        <w:rPr>
          <w:rFonts w:ascii="Times New Roman" w:hAnsi="Times New Roman" w:cs="Times New Roman" w:eastAsia="Times New Roman" w:hint="default"/>
        </w:rPr>
        <w:t>4,400,000.00</w:t>
      </w:r>
      <w:r>
        <w:rPr/>
        <w:t>元；</w:t>
      </w:r>
    </w:p>
    <w:p>
      <w:pPr>
        <w:spacing w:after="0" w:line="300" w:lineRule="auto"/>
        <w:jc w:val="both"/>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00" w:lineRule="auto" w:before="44"/>
        <w:ind w:right="1129" w:firstLine="360"/>
        <w:jc w:val="both"/>
      </w:pPr>
      <w:r>
        <w:rPr>
          <w:spacing w:val="-1"/>
        </w:rPr>
        <w:t>注</w:t>
      </w:r>
      <w:r>
        <w:rPr>
          <w:rFonts w:ascii="Times New Roman" w:hAnsi="Times New Roman" w:cs="Times New Roman" w:eastAsia="Times New Roman" w:hint="default"/>
          <w:spacing w:val="-1"/>
        </w:rPr>
        <w:t>(4)</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月合肥市科技局下发《</w:t>
      </w:r>
      <w:r>
        <w:rPr>
          <w:rFonts w:ascii="Times New Roman" w:hAnsi="Times New Roman" w:cs="Times New Roman" w:eastAsia="Times New Roman" w:hint="default"/>
          <w:spacing w:val="-1"/>
        </w:rPr>
        <w:t>2017</w:t>
      </w:r>
      <w:r>
        <w:rPr>
          <w:spacing w:val="-1"/>
        </w:rPr>
        <w:t>年合肥市促进自主创新政策》，本公司全资子公司合肥君正科技有限公司根</w:t>
      </w:r>
      <w:r>
        <w:rPr/>
        <w:t> </w:t>
      </w:r>
      <w:r>
        <w:rPr>
          <w:spacing w:val="-1"/>
        </w:rPr>
        <w:t>据《合肥市财政资金</w:t>
      </w:r>
      <w:r>
        <w:rPr>
          <w:rFonts w:ascii="Times New Roman" w:hAnsi="Times New Roman" w:cs="Times New Roman" w:eastAsia="Times New Roman" w:hint="default"/>
          <w:spacing w:val="-1"/>
        </w:rPr>
        <w:t>"</w:t>
      </w:r>
      <w:r>
        <w:rPr>
          <w:spacing w:val="-1"/>
        </w:rPr>
        <w:t>借转补</w:t>
      </w:r>
      <w:r>
        <w:rPr>
          <w:rFonts w:ascii="Times New Roman" w:hAnsi="Times New Roman" w:cs="Times New Roman" w:eastAsia="Times New Roman" w:hint="default"/>
          <w:spacing w:val="-1"/>
        </w:rPr>
        <w:t>"</w:t>
      </w:r>
      <w:r>
        <w:rPr>
          <w:spacing w:val="-1"/>
        </w:rPr>
        <w:t>操作细则》，作为新认定的国家级高新技术企业享受借转补优惠政策，合肥君正科技有限公司</w:t>
      </w:r>
      <w:r>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17</w:t>
      </w:r>
      <w:r>
        <w:rPr/>
        <w:t>日收到补贴款</w:t>
      </w:r>
      <w:r>
        <w:rPr>
          <w:rFonts w:ascii="Times New Roman" w:hAnsi="Times New Roman" w:cs="Times New Roman" w:eastAsia="Times New Roman" w:hint="default"/>
        </w:rPr>
        <w:t>200,000.00</w:t>
      </w:r>
      <w:r>
        <w:rPr/>
        <w:t>元；</w:t>
      </w:r>
    </w:p>
    <w:p>
      <w:pPr>
        <w:pStyle w:val="BodyText"/>
        <w:spacing w:line="240" w:lineRule="auto" w:before="13"/>
        <w:ind w:left="513" w:right="1133"/>
        <w:jc w:val="left"/>
      </w:pPr>
      <w:r>
        <w:rPr>
          <w:spacing w:val="2"/>
        </w:rPr>
        <w:t>注</w:t>
      </w:r>
      <w:r>
        <w:rPr>
          <w:rFonts w:ascii="Times New Roman" w:hAnsi="Times New Roman" w:cs="Times New Roman" w:eastAsia="Times New Roman" w:hint="default"/>
          <w:spacing w:val="2"/>
        </w:rPr>
        <w:t>(5)</w:t>
      </w:r>
      <w:r>
        <w:rPr>
          <w:spacing w:val="2"/>
        </w:rPr>
        <w:t>：根据</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28</w:t>
      </w:r>
      <w:r>
        <w:rPr>
          <w:spacing w:val="2"/>
        </w:rPr>
        <w:t>日《关于组织开展省战略性新兴产业聚集发展基地资金支持项目申报的通知》</w:t>
      </w:r>
      <w:r>
        <w:rPr>
          <w:rFonts w:ascii="Times New Roman" w:hAnsi="Times New Roman" w:cs="Times New Roman" w:eastAsia="Times New Roman" w:hint="default"/>
          <w:spacing w:val="2"/>
        </w:rPr>
        <w:t>(</w:t>
      </w:r>
      <w:r>
        <w:rPr>
          <w:spacing w:val="2"/>
        </w:rPr>
        <w:t>合发改产业</w:t>
      </w:r>
    </w:p>
    <w:p>
      <w:pPr>
        <w:pStyle w:val="BodyText"/>
        <w:spacing w:line="300" w:lineRule="auto" w:before="63"/>
        <w:ind w:right="1128"/>
        <w:jc w:val="both"/>
      </w:pPr>
      <w:r>
        <w:rPr>
          <w:spacing w:val="-2"/>
        </w:rPr>
        <w:t>（</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1326</w:t>
      </w:r>
      <w:r>
        <w:rPr>
          <w:spacing w:val="-2"/>
        </w:rPr>
        <w:t>号</w:t>
      </w:r>
      <w:r>
        <w:rPr>
          <w:rFonts w:ascii="Times New Roman" w:hAnsi="Times New Roman" w:cs="Times New Roman" w:eastAsia="Times New Roman" w:hint="default"/>
          <w:spacing w:val="-2"/>
        </w:rPr>
        <w:t>)</w:t>
      </w:r>
      <w:r>
        <w:rPr>
          <w:spacing w:val="-2"/>
        </w:rPr>
        <w:t>，本公司全资子公司合肥君正科技有限公司的</w:t>
      </w:r>
      <w:r>
        <w:rPr>
          <w:rFonts w:ascii="Times New Roman" w:hAnsi="Times New Roman" w:cs="Times New Roman" w:eastAsia="Times New Roman" w:hint="default"/>
          <w:spacing w:val="-2"/>
        </w:rPr>
        <w:t>“</w:t>
      </w:r>
      <w:r>
        <w:rPr>
          <w:spacing w:val="-2"/>
        </w:rPr>
        <w:t>高清视频</w:t>
      </w:r>
      <w:r>
        <w:rPr>
          <w:rFonts w:ascii="Times New Roman" w:hAnsi="Times New Roman" w:cs="Times New Roman" w:eastAsia="Times New Roman" w:hint="default"/>
          <w:spacing w:val="-2"/>
        </w:rPr>
        <w:t>SoC</w:t>
      </w:r>
      <w:r>
        <w:rPr>
          <w:spacing w:val="-2"/>
        </w:rPr>
        <w:t>芯片研发项目</w:t>
      </w:r>
      <w:r>
        <w:rPr>
          <w:rFonts w:ascii="Times New Roman" w:hAnsi="Times New Roman" w:cs="Times New Roman" w:eastAsia="Times New Roman" w:hint="default"/>
          <w:spacing w:val="-2"/>
        </w:rPr>
        <w:t>”</w:t>
      </w:r>
      <w:r>
        <w:rPr>
          <w:spacing w:val="-2"/>
        </w:rPr>
        <w:t>被列为</w:t>
      </w:r>
      <w:r>
        <w:rPr>
          <w:rFonts w:ascii="Times New Roman" w:hAnsi="Times New Roman" w:cs="Times New Roman" w:eastAsia="Times New Roman" w:hint="default"/>
          <w:spacing w:val="-2"/>
        </w:rPr>
        <w:t>2017</w:t>
      </w:r>
      <w:r>
        <w:rPr>
          <w:spacing w:val="-2"/>
        </w:rPr>
        <w:t>年安徽省集成电路产</w:t>
      </w:r>
      <w:r>
        <w:rPr>
          <w:spacing w:val="-43"/>
        </w:rPr>
        <w:t> </w:t>
      </w:r>
      <w:r>
        <w:rPr>
          <w:spacing w:val="-43"/>
        </w:rPr>
      </w:r>
      <w:r>
        <w:rPr>
          <w:spacing w:val="-2"/>
        </w:rPr>
        <w:t>业集聚发展基地专项资金支持项目，合肥君正于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5</w:t>
      </w:r>
      <w:r>
        <w:rPr>
          <w:spacing w:val="-2"/>
        </w:rPr>
        <w:t>日收到合肥高新技术产业开发区财政国库支付中心拨付的支持资</w:t>
      </w:r>
      <w:r>
        <w:rPr>
          <w:spacing w:val="-61"/>
        </w:rPr>
        <w:t> </w:t>
      </w:r>
      <w:r>
        <w:rPr>
          <w:spacing w:val="-61"/>
        </w:rPr>
      </w:r>
      <w:r>
        <w:rPr/>
        <w:t>金现金</w:t>
      </w:r>
      <w:r>
        <w:rPr>
          <w:rFonts w:ascii="Times New Roman" w:hAnsi="Times New Roman" w:cs="Times New Roman" w:eastAsia="Times New Roman" w:hint="default"/>
        </w:rPr>
        <w:t>5,390,000.00</w:t>
      </w:r>
      <w:r>
        <w:rPr/>
        <w:t>元。公司按照收款日至项目结束日共</w:t>
      </w:r>
      <w:r>
        <w:rPr>
          <w:rFonts w:ascii="Times New Roman" w:hAnsi="Times New Roman" w:cs="Times New Roman" w:eastAsia="Times New Roman" w:hint="default"/>
        </w:rPr>
        <w:t>23</w:t>
      </w:r>
      <w:r>
        <w:rPr/>
        <w:t>个月摊销。本公司</w:t>
      </w:r>
      <w:r>
        <w:rPr>
          <w:rFonts w:ascii="Times New Roman" w:hAnsi="Times New Roman" w:cs="Times New Roman" w:eastAsia="Times New Roman" w:hint="default"/>
        </w:rPr>
        <w:t>2019</w:t>
      </w:r>
      <w:r>
        <w:rPr/>
        <w:t>年结转其他收益</w:t>
      </w:r>
      <w:r>
        <w:rPr>
          <w:rFonts w:ascii="Times New Roman" w:hAnsi="Times New Roman" w:cs="Times New Roman" w:eastAsia="Times New Roman" w:hint="default"/>
        </w:rPr>
        <w:t>2,812,700.00</w:t>
      </w:r>
      <w:r>
        <w:rPr/>
        <w:t>元，累计结转 </w:t>
      </w:r>
      <w:r>
        <w:rPr>
          <w:rFonts w:ascii="Times New Roman" w:hAnsi="Times New Roman" w:cs="Times New Roman" w:eastAsia="Times New Roman" w:hint="default"/>
        </w:rPr>
        <w:t>5,390,000.00</w:t>
      </w:r>
      <w:r>
        <w:rPr/>
        <w:t>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日余额为</w:t>
      </w:r>
      <w:r>
        <w:rPr>
          <w:rFonts w:ascii="Times New Roman" w:hAnsi="Times New Roman" w:cs="Times New Roman" w:eastAsia="Times New Roman" w:hint="default"/>
        </w:rPr>
        <w:t>0.00</w:t>
      </w:r>
      <w:r>
        <w:rPr/>
        <w:t>元；</w:t>
      </w:r>
    </w:p>
    <w:p>
      <w:pPr>
        <w:pStyle w:val="BodyText"/>
        <w:spacing w:line="300" w:lineRule="auto" w:before="13"/>
        <w:ind w:right="1128" w:firstLine="360"/>
        <w:jc w:val="both"/>
      </w:pPr>
      <w:r>
        <w:rPr>
          <w:spacing w:val="-1"/>
        </w:rPr>
        <w:t>注</w:t>
      </w:r>
      <w:r>
        <w:rPr>
          <w:rFonts w:ascii="Times New Roman" w:hAnsi="Times New Roman" w:cs="Times New Roman" w:eastAsia="Times New Roman" w:hint="default"/>
          <w:spacing w:val="-1"/>
        </w:rPr>
        <w:t>(6)</w:t>
      </w:r>
      <w:r>
        <w:rPr>
          <w:spacing w:val="-1"/>
        </w:rPr>
        <w:t>：根据《关于印发</w:t>
      </w:r>
      <w:r>
        <w:rPr>
          <w:rFonts w:ascii="Times New Roman" w:hAnsi="Times New Roman" w:cs="Times New Roman" w:eastAsia="Times New Roman" w:hint="default"/>
          <w:spacing w:val="-1"/>
        </w:rPr>
        <w:t>&lt;</w:t>
      </w:r>
      <w:r>
        <w:rPr>
          <w:spacing w:val="-1"/>
        </w:rPr>
        <w:t>合肥高新区促进集成电路产业发展政策</w:t>
      </w:r>
      <w:r>
        <w:rPr>
          <w:rFonts w:ascii="Times New Roman" w:hAnsi="Times New Roman" w:cs="Times New Roman" w:eastAsia="Times New Roman" w:hint="default"/>
          <w:spacing w:val="-1"/>
        </w:rPr>
        <w:t>&gt;</w:t>
      </w:r>
      <w:r>
        <w:rPr>
          <w:spacing w:val="-1"/>
        </w:rPr>
        <w:t>的通知》（合高管〔</w:t>
      </w:r>
      <w:r>
        <w:rPr>
          <w:rFonts w:ascii="Times New Roman" w:hAnsi="Times New Roman" w:cs="Times New Roman" w:eastAsia="Times New Roman" w:hint="default"/>
          <w:spacing w:val="-1"/>
        </w:rPr>
        <w:t>2016</w:t>
      </w:r>
      <w:r>
        <w:rPr>
          <w:spacing w:val="-1"/>
        </w:rPr>
        <w:t>〕</w:t>
      </w:r>
      <w:r>
        <w:rPr>
          <w:rFonts w:ascii="Times New Roman" w:hAnsi="Times New Roman" w:cs="Times New Roman" w:eastAsia="Times New Roman" w:hint="default"/>
          <w:spacing w:val="-1"/>
        </w:rPr>
        <w:t>247</w:t>
      </w:r>
      <w:r>
        <w:rPr>
          <w:spacing w:val="-1"/>
        </w:rPr>
        <w:t>号）、《关于印发合肥</w:t>
      </w:r>
      <w:r>
        <w:rPr/>
        <w:t> </w:t>
      </w:r>
      <w:r>
        <w:rPr>
          <w:spacing w:val="-2"/>
        </w:rPr>
        <w:t>高新区</w:t>
      </w:r>
      <w:r>
        <w:rPr>
          <w:rFonts w:ascii="Times New Roman" w:hAnsi="Times New Roman" w:cs="Times New Roman" w:eastAsia="Times New Roman" w:hint="default"/>
          <w:spacing w:val="-2"/>
        </w:rPr>
        <w:t>2017</w:t>
      </w:r>
      <w:r>
        <w:rPr>
          <w:spacing w:val="-2"/>
        </w:rPr>
        <w:t>年扶持产业发展</w:t>
      </w:r>
      <w:r>
        <w:rPr>
          <w:rFonts w:ascii="Times New Roman" w:hAnsi="Times New Roman" w:cs="Times New Roman" w:eastAsia="Times New Roman" w:hint="default"/>
          <w:spacing w:val="-2"/>
        </w:rPr>
        <w:t>“2+2”</w:t>
      </w:r>
      <w:r>
        <w:rPr>
          <w:spacing w:val="-2"/>
        </w:rPr>
        <w:t>政策体系的通知》（合高管〔</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118</w:t>
      </w:r>
      <w:r>
        <w:rPr>
          <w:spacing w:val="-2"/>
        </w:rPr>
        <w:t>号）和《关于兑现</w:t>
      </w:r>
      <w:r>
        <w:rPr>
          <w:rFonts w:ascii="Times New Roman" w:hAnsi="Times New Roman" w:cs="Times New Roman" w:eastAsia="Times New Roman" w:hint="default"/>
          <w:spacing w:val="-2"/>
        </w:rPr>
        <w:t>2017</w:t>
      </w:r>
      <w:r>
        <w:rPr>
          <w:spacing w:val="-2"/>
        </w:rPr>
        <w:t>年合肥高新区促进集成电路</w:t>
      </w:r>
      <w:r>
        <w:rPr>
          <w:spacing w:val="-46"/>
        </w:rPr>
        <w:t> </w:t>
      </w:r>
      <w:r>
        <w:rPr>
          <w:spacing w:val="-46"/>
        </w:rPr>
      </w:r>
      <w:r>
        <w:rPr/>
        <w:t>产业发展政策部分条款的通知》文件，本公司全资子公司合肥君正科技有限公司向合肥市高新技术产业开发区申请了</w:t>
      </w:r>
      <w:r>
        <w:rPr>
          <w:rFonts w:ascii="Times New Roman" w:hAnsi="Times New Roman" w:cs="Times New Roman" w:eastAsia="Times New Roman" w:hint="default"/>
        </w:rPr>
        <w:t>2017</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年度的高新区集成电路企业一事一议政策兑现项目政府补贴资金。</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日合肥君正收到合肥高新技术产业开发区财</w:t>
      </w:r>
      <w:r>
        <w:rPr>
          <w:spacing w:val="-85"/>
        </w:rPr>
        <w:t> </w:t>
      </w:r>
      <w:r>
        <w:rPr>
          <w:spacing w:val="-85"/>
        </w:rPr>
      </w:r>
      <w:r>
        <w:rPr/>
        <w:t>政国库支付中心拨付的政府补贴资金现金</w:t>
      </w:r>
      <w:r>
        <w:rPr>
          <w:rFonts w:ascii="Times New Roman" w:hAnsi="Times New Roman" w:cs="Times New Roman" w:eastAsia="Times New Roman" w:hint="default"/>
        </w:rPr>
        <w:t>769,500.00</w:t>
      </w:r>
      <w:r>
        <w:rPr/>
        <w:t>元。其中与资产相关的补助为</w:t>
      </w:r>
      <w:r>
        <w:rPr>
          <w:rFonts w:ascii="Times New Roman" w:hAnsi="Times New Roman" w:cs="Times New Roman" w:eastAsia="Times New Roman" w:hint="default"/>
        </w:rPr>
        <w:t>769,500.00</w:t>
      </w:r>
      <w:r>
        <w:rPr/>
        <w:t>元，公司按资产的收益期共</w:t>
      </w:r>
      <w:r>
        <w:rPr>
          <w:rFonts w:ascii="Times New Roman" w:hAnsi="Times New Roman" w:cs="Times New Roman" w:eastAsia="Times New Roman" w:hint="default"/>
        </w:rPr>
        <w:t>569</w:t>
      </w:r>
      <w:r>
        <w:rPr>
          <w:rFonts w:ascii="Times New Roman" w:hAnsi="Times New Roman" w:cs="Times New Roman" w:eastAsia="Times New Roman" w:hint="default"/>
          <w:spacing w:val="1"/>
        </w:rPr>
        <w:t> </w:t>
      </w:r>
      <w:r>
        <w:rPr/>
        <w:t>个月摊销。本公司</w:t>
      </w:r>
      <w:r>
        <w:rPr>
          <w:rFonts w:ascii="Times New Roman" w:hAnsi="Times New Roman" w:cs="Times New Roman" w:eastAsia="Times New Roman" w:hint="default"/>
        </w:rPr>
        <w:t>2019</w:t>
      </w:r>
      <w:r>
        <w:rPr/>
        <w:t>年结转其他收益</w:t>
      </w:r>
      <w:r>
        <w:rPr>
          <w:rFonts w:ascii="Times New Roman" w:hAnsi="Times New Roman" w:cs="Times New Roman" w:eastAsia="Times New Roman" w:hint="default"/>
        </w:rPr>
        <w:t>16,228.44</w:t>
      </w:r>
      <w:r>
        <w:rPr/>
        <w:t>元，累计结转</w:t>
      </w:r>
      <w:r>
        <w:rPr>
          <w:rFonts w:ascii="Times New Roman" w:hAnsi="Times New Roman" w:cs="Times New Roman" w:eastAsia="Times New Roman" w:hint="default"/>
        </w:rPr>
        <w:t>21,637.92</w:t>
      </w:r>
      <w:r>
        <w:rPr/>
        <w:t>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日余额为</w:t>
      </w:r>
      <w:r>
        <w:rPr>
          <w:rFonts w:ascii="Times New Roman" w:hAnsi="Times New Roman" w:cs="Times New Roman" w:eastAsia="Times New Roman" w:hint="default"/>
        </w:rPr>
        <w:t>747,862.08</w:t>
      </w:r>
      <w:r>
        <w:rPr/>
        <w:t>元；</w:t>
      </w:r>
    </w:p>
    <w:p>
      <w:pPr>
        <w:pStyle w:val="BodyText"/>
        <w:spacing w:line="300" w:lineRule="auto" w:before="13"/>
        <w:ind w:right="1130" w:firstLine="360"/>
        <w:jc w:val="both"/>
      </w:pPr>
      <w:r>
        <w:rPr/>
        <w:t>注</w:t>
      </w:r>
      <w:r>
        <w:rPr>
          <w:rFonts w:ascii="Times New Roman" w:hAnsi="Times New Roman" w:cs="Times New Roman" w:eastAsia="Times New Roman" w:hint="default"/>
        </w:rPr>
        <w:t>(7)</w:t>
      </w:r>
      <w:r>
        <w:rPr/>
        <w:t>：根据《关于组织开展</w:t>
      </w:r>
      <w:r>
        <w:rPr>
          <w:rFonts w:ascii="Times New Roman" w:hAnsi="Times New Roman" w:cs="Times New Roman" w:eastAsia="Times New Roman" w:hint="default"/>
        </w:rPr>
        <w:t>2018</w:t>
      </w:r>
      <w:r>
        <w:rPr/>
        <w:t>年度省战略性新兴产业集聚发展基地资金支持项目申报的通知》，本公司全资子公司 </w:t>
      </w:r>
      <w:r>
        <w:rPr>
          <w:spacing w:val="-2"/>
        </w:rPr>
        <w:t>合肥君正科技有限公司申报的</w:t>
      </w:r>
      <w:r>
        <w:rPr>
          <w:rFonts w:ascii="Times New Roman" w:hAnsi="Times New Roman" w:cs="Times New Roman" w:eastAsia="Times New Roman" w:hint="default"/>
          <w:spacing w:val="-2"/>
        </w:rPr>
        <w:t>“</w:t>
      </w:r>
      <w:r>
        <w:rPr>
          <w:spacing w:val="-2"/>
        </w:rPr>
        <w:t>基于</w:t>
      </w:r>
      <w:r>
        <w:rPr>
          <w:rFonts w:ascii="Times New Roman" w:hAnsi="Times New Roman" w:cs="Times New Roman" w:eastAsia="Times New Roman" w:hint="default"/>
          <w:spacing w:val="-2"/>
        </w:rPr>
        <w:t>28</w:t>
      </w:r>
      <w:r>
        <w:rPr>
          <w:spacing w:val="-2"/>
        </w:rPr>
        <w:t>纳米工艺的视频监控芯片研发项目</w:t>
      </w:r>
      <w:r>
        <w:rPr>
          <w:rFonts w:ascii="Times New Roman" w:hAnsi="Times New Roman" w:cs="Times New Roman" w:eastAsia="Times New Roman" w:hint="default"/>
          <w:spacing w:val="-2"/>
        </w:rPr>
        <w:t>”</w:t>
      </w:r>
      <w:r>
        <w:rPr>
          <w:spacing w:val="-2"/>
        </w:rPr>
        <w:t>获得立项批复。合肥市合肥君正科技有限公司</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日收到高新区创业服务中心专项资金款</w:t>
      </w:r>
      <w:r>
        <w:rPr>
          <w:rFonts w:ascii="Times New Roman" w:hAnsi="Times New Roman" w:cs="Times New Roman" w:eastAsia="Times New Roman" w:hint="default"/>
        </w:rPr>
        <w:t>7,500,000.00</w:t>
      </w:r>
      <w:r>
        <w:rPr/>
        <w:t>元公司按照收款日至项目结束日共</w:t>
      </w:r>
      <w:r>
        <w:rPr>
          <w:rFonts w:ascii="Times New Roman" w:hAnsi="Times New Roman" w:cs="Times New Roman" w:eastAsia="Times New Roman" w:hint="default"/>
        </w:rPr>
        <w:t>13</w:t>
      </w:r>
      <w:r>
        <w:rPr/>
        <w:t>个月摊销。本公司</w:t>
      </w:r>
      <w:r>
        <w:rPr>
          <w:rFonts w:ascii="Times New Roman" w:hAnsi="Times New Roman" w:cs="Times New Roman" w:eastAsia="Times New Roman" w:hint="default"/>
        </w:rPr>
        <w:t>2019</w:t>
      </w:r>
      <w:r>
        <w:rPr/>
        <w:t>年</w:t>
      </w:r>
      <w:r>
        <w:rPr>
          <w:spacing w:val="-45"/>
        </w:rPr>
        <w:t> </w:t>
      </w:r>
      <w:r>
        <w:rPr/>
        <w:t>结转其他收益</w:t>
      </w:r>
      <w:r>
        <w:rPr>
          <w:rFonts w:ascii="Times New Roman" w:hAnsi="Times New Roman" w:cs="Times New Roman" w:eastAsia="Times New Roman" w:hint="default"/>
        </w:rPr>
        <w:t>6,923,076.92</w:t>
      </w:r>
      <w:r>
        <w:rPr/>
        <w:t>元，累计结转</w:t>
      </w:r>
      <w:r>
        <w:rPr>
          <w:rFonts w:ascii="Times New Roman" w:hAnsi="Times New Roman" w:cs="Times New Roman" w:eastAsia="Times New Roman" w:hint="default"/>
        </w:rPr>
        <w:t>7,500,000.00</w:t>
      </w:r>
      <w:r>
        <w:rPr/>
        <w:t>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日余额为</w:t>
      </w:r>
      <w:r>
        <w:rPr>
          <w:rFonts w:ascii="Times New Roman" w:hAnsi="Times New Roman" w:cs="Times New Roman" w:eastAsia="Times New Roman" w:hint="default"/>
        </w:rPr>
        <w:t>0.00</w:t>
      </w:r>
      <w:r>
        <w:rPr/>
        <w:t>元；</w:t>
      </w:r>
    </w:p>
    <w:p>
      <w:pPr>
        <w:pStyle w:val="BodyText"/>
        <w:spacing w:line="300" w:lineRule="auto" w:before="13"/>
        <w:ind w:right="1034" w:firstLine="360"/>
        <w:jc w:val="left"/>
      </w:pPr>
      <w:r>
        <w:rPr/>
        <w:t>注</w:t>
      </w:r>
      <w:r>
        <w:rPr>
          <w:rFonts w:ascii="Times New Roman" w:hAnsi="Times New Roman" w:cs="Times New Roman" w:eastAsia="Times New Roman" w:hint="default"/>
        </w:rPr>
        <w:t>(8)</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月申报的</w:t>
      </w:r>
      <w:r>
        <w:rPr>
          <w:rFonts w:ascii="Times New Roman" w:hAnsi="Times New Roman" w:cs="Times New Roman" w:eastAsia="Times New Roman" w:hint="default"/>
        </w:rPr>
        <w:t>“</w:t>
      </w:r>
      <w:r>
        <w:rPr/>
        <w:t>面向智能终端的嵌入式高能效深度学习引擎开发与产业化</w:t>
      </w:r>
      <w:r>
        <w:rPr>
          <w:rFonts w:ascii="Times New Roman" w:hAnsi="Times New Roman" w:cs="Times New Roman" w:eastAsia="Times New Roman" w:hint="default"/>
        </w:rPr>
        <w:t>”</w:t>
      </w:r>
      <w:r>
        <w:rPr/>
        <w:t>课题项目获得立项批复，并 作为牵头承担单位联合清华大学、东南大学共同承担</w:t>
      </w:r>
      <w:r>
        <w:rPr>
          <w:rFonts w:ascii="Times New Roman" w:hAnsi="Times New Roman" w:cs="Times New Roman" w:eastAsia="Times New Roman" w:hint="default"/>
        </w:rPr>
        <w:t>“</w:t>
      </w:r>
      <w:r>
        <w:rPr/>
        <w:t>核心电子器件、高端通用芯片及基础软件产品</w:t>
      </w:r>
      <w:r>
        <w:rPr>
          <w:rFonts w:ascii="Times New Roman" w:hAnsi="Times New Roman" w:cs="Times New Roman" w:eastAsia="Times New Roman" w:hint="default"/>
        </w:rPr>
        <w:t>”</w:t>
      </w:r>
      <w:r>
        <w:rPr/>
        <w:t>项目。该项目期限为</w:t>
      </w:r>
      <w:r>
        <w:rPr>
          <w:spacing w:val="15"/>
        </w:rPr>
        <w:t> </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w:t>
      </w:r>
      <w:r>
        <w:rPr>
          <w:spacing w:val="-3"/>
        </w:rPr>
        <w:t>月至</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12</w:t>
      </w:r>
      <w:r>
        <w:rPr>
          <w:spacing w:val="-3"/>
        </w:rPr>
        <w:t>月，项目经费按年度分别下拨。</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13</w:t>
      </w:r>
      <w:r>
        <w:rPr>
          <w:spacing w:val="-3"/>
        </w:rPr>
        <w:t>日公司收到工业和信息化部产业发展促进中心拨付的</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t>年度项目经费</w:t>
      </w:r>
      <w:r>
        <w:rPr>
          <w:rFonts w:ascii="Times New Roman" w:hAnsi="Times New Roman" w:cs="Times New Roman" w:eastAsia="Times New Roman" w:hint="default"/>
        </w:rPr>
        <w:t>12,990,000.00</w:t>
      </w:r>
      <w:r>
        <w:rPr/>
        <w:t>元，其中</w:t>
      </w:r>
      <w:r>
        <w:rPr>
          <w:rFonts w:ascii="Times New Roman" w:hAnsi="Times New Roman" w:cs="Times New Roman" w:eastAsia="Times New Roman" w:hint="default"/>
        </w:rPr>
        <w:t>1,713,000.00</w:t>
      </w:r>
      <w:r>
        <w:rPr/>
        <w:t>元为本公司承担的项目经费，</w:t>
      </w:r>
      <w:r>
        <w:rPr>
          <w:rFonts w:ascii="Times New Roman" w:hAnsi="Times New Roman" w:cs="Times New Roman" w:eastAsia="Times New Roman" w:hint="default"/>
        </w:rPr>
        <w:t>11,277,000.00</w:t>
      </w:r>
      <w:r>
        <w:rPr/>
        <w:t>元为清华大学和东南大学承担的 项目经费；公司按照收款日至项目结束日共</w:t>
      </w:r>
      <w:r>
        <w:rPr>
          <w:rFonts w:ascii="Times New Roman" w:hAnsi="Times New Roman" w:cs="Times New Roman" w:eastAsia="Times New Roman" w:hint="default"/>
        </w:rPr>
        <w:t>25</w:t>
      </w:r>
      <w:r>
        <w:rPr/>
        <w:t>个月摊销。本公司</w:t>
      </w:r>
      <w:r>
        <w:rPr>
          <w:rFonts w:ascii="Times New Roman" w:hAnsi="Times New Roman" w:cs="Times New Roman" w:eastAsia="Times New Roman" w:hint="default"/>
        </w:rPr>
        <w:t>2019</w:t>
      </w:r>
      <w:r>
        <w:rPr/>
        <w:t>年结转其他收益</w:t>
      </w:r>
      <w:r>
        <w:rPr>
          <w:rFonts w:ascii="Times New Roman" w:hAnsi="Times New Roman" w:cs="Times New Roman" w:eastAsia="Times New Roman" w:hint="default"/>
        </w:rPr>
        <w:t>822,240.00</w:t>
      </w:r>
      <w:r>
        <w:rPr/>
        <w:t>元，累计结转</w:t>
      </w:r>
      <w:r>
        <w:rPr>
          <w:rFonts w:ascii="Times New Roman" w:hAnsi="Times New Roman" w:cs="Times New Roman" w:eastAsia="Times New Roman" w:hint="default"/>
        </w:rPr>
        <w:t>890,760.00</w:t>
      </w:r>
      <w:r>
        <w:rPr/>
        <w:t>元。 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日余额为</w:t>
      </w:r>
      <w:r>
        <w:rPr>
          <w:rFonts w:ascii="Times New Roman" w:hAnsi="Times New Roman" w:cs="Times New Roman" w:eastAsia="Times New Roman" w:hint="default"/>
        </w:rPr>
        <w:t>822,240.00</w:t>
      </w:r>
      <w:r>
        <w:rPr/>
        <w:t>元；</w:t>
      </w:r>
    </w:p>
    <w:p>
      <w:pPr>
        <w:pStyle w:val="BodyText"/>
        <w:spacing w:line="300" w:lineRule="auto" w:before="13"/>
        <w:ind w:right="1126" w:firstLine="360"/>
        <w:jc w:val="both"/>
      </w:pPr>
      <w:r>
        <w:rPr/>
        <w:t>注</w:t>
      </w:r>
      <w:r>
        <w:rPr>
          <w:rFonts w:ascii="Times New Roman" w:hAnsi="Times New Roman" w:cs="Times New Roman" w:eastAsia="Times New Roman" w:hint="default"/>
        </w:rPr>
        <w:t>(9)</w:t>
      </w:r>
      <w:r>
        <w:rPr/>
        <w:t>：公司申报的</w:t>
      </w:r>
      <w:r>
        <w:rPr>
          <w:rFonts w:ascii="Times New Roman" w:hAnsi="Times New Roman" w:cs="Times New Roman" w:eastAsia="Times New Roman" w:hint="default"/>
        </w:rPr>
        <w:t>“</w:t>
      </w:r>
      <w:r>
        <w:rPr/>
        <w:t>高性能区块链共识算法芯片关键技术研究</w:t>
      </w:r>
      <w:r>
        <w:rPr>
          <w:rFonts w:ascii="Times New Roman" w:hAnsi="Times New Roman" w:cs="Times New Roman" w:eastAsia="Times New Roman" w:hint="default"/>
        </w:rPr>
        <w:t>”</w:t>
      </w:r>
      <w:r>
        <w:rPr/>
        <w:t>课题项目获得立项批复，该项目期限为自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月至</w:t>
      </w:r>
      <w:r>
        <w:rPr>
          <w:spacing w:val="2"/>
        </w:rPr>
        <w:t> </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24</w:t>
      </w:r>
      <w:r>
        <w:rPr>
          <w:spacing w:val="-1"/>
        </w:rPr>
        <w:t>日，公司收到北京市科学技术委员会拨付的项目补助资金</w:t>
      </w:r>
      <w:r>
        <w:rPr>
          <w:rFonts w:ascii="Times New Roman" w:hAnsi="Times New Roman" w:cs="Times New Roman" w:eastAsia="Times New Roman" w:hint="default"/>
          <w:spacing w:val="-1"/>
        </w:rPr>
        <w:t>9,000,000.00</w:t>
      </w:r>
      <w:r>
        <w:rPr>
          <w:spacing w:val="-1"/>
        </w:rPr>
        <w:t>元，按照收款日至项目结束</w:t>
      </w:r>
      <w:r>
        <w:rPr>
          <w:spacing w:val="-72"/>
        </w:rPr>
        <w:t> </w:t>
      </w:r>
      <w:r>
        <w:rPr>
          <w:spacing w:val="-72"/>
        </w:rPr>
      </w:r>
      <w:r>
        <w:rPr>
          <w:spacing w:val="6"/>
        </w:rPr>
        <w:t>日共</w:t>
      </w:r>
      <w:r>
        <w:rPr>
          <w:rFonts w:ascii="Times New Roman" w:hAnsi="Times New Roman" w:cs="Times New Roman" w:eastAsia="Times New Roman" w:hint="default"/>
          <w:spacing w:val="6"/>
        </w:rPr>
        <w:t>22</w:t>
      </w:r>
      <w:r>
        <w:rPr>
          <w:spacing w:val="6"/>
        </w:rPr>
        <w:t>个月摊销。本公司</w:t>
      </w:r>
      <w:r>
        <w:rPr>
          <w:rFonts w:ascii="Times New Roman" w:hAnsi="Times New Roman" w:cs="Times New Roman" w:eastAsia="Times New Roman" w:hint="default"/>
          <w:spacing w:val="6"/>
        </w:rPr>
        <w:t>2019</w:t>
      </w:r>
      <w:r>
        <w:rPr>
          <w:spacing w:val="6"/>
        </w:rPr>
        <w:t>年结转其他收益</w:t>
      </w:r>
      <w:r>
        <w:rPr>
          <w:rFonts w:ascii="Times New Roman" w:hAnsi="Times New Roman" w:cs="Times New Roman" w:eastAsia="Times New Roman" w:hint="default"/>
          <w:spacing w:val="6"/>
        </w:rPr>
        <w:t>4,908,000.00</w:t>
      </w:r>
      <w:r>
        <w:rPr>
          <w:spacing w:val="6"/>
        </w:rPr>
        <w:t>元，累计结转</w:t>
      </w:r>
      <w:r>
        <w:rPr>
          <w:rFonts w:ascii="Times New Roman" w:hAnsi="Times New Roman" w:cs="Times New Roman" w:eastAsia="Times New Roman" w:hint="default"/>
          <w:spacing w:val="6"/>
        </w:rPr>
        <w:t>5,317,000.00</w:t>
      </w:r>
      <w:r>
        <w:rPr>
          <w:rFonts w:ascii="Times New Roman" w:hAnsi="Times New Roman" w:cs="Times New Roman" w:eastAsia="Times New Roman" w:hint="default"/>
          <w:spacing w:val="-18"/>
        </w:rPr>
        <w:t> </w:t>
      </w:r>
      <w:r>
        <w:rPr>
          <w:spacing w:val="8"/>
        </w:rPr>
        <w:t>元。截至</w:t>
      </w:r>
      <w:r>
        <w:rPr>
          <w:rFonts w:ascii="Times New Roman" w:hAnsi="Times New Roman" w:cs="Times New Roman" w:eastAsia="Times New Roman" w:hint="default"/>
          <w:spacing w:val="8"/>
        </w:rPr>
        <w:t>2019</w:t>
      </w:r>
      <w:r>
        <w:rPr>
          <w:spacing w:val="8"/>
        </w:rPr>
        <w:t>年</w:t>
      </w:r>
      <w:r>
        <w:rPr>
          <w:rFonts w:ascii="Times New Roman" w:hAnsi="Times New Roman" w:cs="Times New Roman" w:eastAsia="Times New Roman" w:hint="default"/>
          <w:spacing w:val="8"/>
        </w:rPr>
        <w:t>12</w:t>
      </w:r>
      <w:r>
        <w:rPr>
          <w:spacing w:val="8"/>
        </w:rPr>
        <w:t>月</w:t>
      </w:r>
      <w:r>
        <w:rPr>
          <w:rFonts w:ascii="Times New Roman" w:hAnsi="Times New Roman" w:cs="Times New Roman" w:eastAsia="Times New Roman" w:hint="default"/>
          <w:spacing w:val="8"/>
        </w:rPr>
        <w:t>31</w:t>
      </w:r>
      <w:r>
        <w:rPr>
          <w:spacing w:val="8"/>
        </w:rPr>
        <w:t>日余额为</w:t>
      </w:r>
      <w:r>
        <w:rPr>
          <w:spacing w:val="-60"/>
        </w:rPr>
        <w:t> </w:t>
      </w:r>
      <w:r>
        <w:rPr>
          <w:spacing w:val="-60"/>
        </w:rPr>
      </w:r>
      <w:r>
        <w:rPr>
          <w:rFonts w:ascii="Times New Roman" w:hAnsi="Times New Roman" w:cs="Times New Roman" w:eastAsia="Times New Roman" w:hint="default"/>
        </w:rPr>
        <w:t>3,683,000.00</w:t>
      </w:r>
      <w:r>
        <w:rPr/>
        <w:t>元；</w:t>
      </w:r>
    </w:p>
    <w:p>
      <w:pPr>
        <w:pStyle w:val="BodyText"/>
        <w:spacing w:line="300" w:lineRule="auto" w:before="13"/>
        <w:ind w:right="1128" w:firstLine="360"/>
        <w:jc w:val="both"/>
      </w:pPr>
      <w:r>
        <w:rPr>
          <w:spacing w:val="-1"/>
        </w:rPr>
        <w:t>注</w:t>
      </w:r>
      <w:r>
        <w:rPr>
          <w:rFonts w:ascii="Times New Roman" w:hAnsi="Times New Roman" w:cs="Times New Roman" w:eastAsia="Times New Roman" w:hint="default"/>
          <w:spacing w:val="-1"/>
        </w:rPr>
        <w:t>(10)</w:t>
      </w:r>
      <w:r>
        <w:rPr>
          <w:spacing w:val="-1"/>
        </w:rPr>
        <w:t>：根据《合肥市加快推进软件产业和集成电路产业发展的若干政策》、《合肥市发展改革委关于组织开展</w:t>
      </w:r>
      <w:r>
        <w:rPr>
          <w:rFonts w:ascii="Times New Roman" w:hAnsi="Times New Roman" w:cs="Times New Roman" w:eastAsia="Times New Roman" w:hint="default"/>
          <w:spacing w:val="-1"/>
        </w:rPr>
        <w:t>2018</w:t>
      </w:r>
      <w:r>
        <w:rPr>
          <w:spacing w:val="-1"/>
        </w:rPr>
        <w:t>年</w:t>
      </w:r>
      <w:r>
        <w:rPr/>
        <w:t> </w:t>
      </w:r>
      <w:r>
        <w:rPr>
          <w:spacing w:val="-2"/>
        </w:rPr>
        <w:t>度合肥市集成电路产业发展若干政策相关事项申报工作的通知》（合发改高技〔</w:t>
      </w:r>
      <w:r>
        <w:rPr>
          <w:rFonts w:ascii="Times New Roman" w:hAnsi="Times New Roman" w:cs="Times New Roman" w:eastAsia="Times New Roman" w:hint="default"/>
          <w:spacing w:val="-2"/>
        </w:rPr>
        <w:t>2018</w:t>
      </w:r>
      <w:r>
        <w:rPr>
          <w:spacing w:val="-2"/>
        </w:rPr>
        <w:t>〕</w:t>
      </w:r>
      <w:r>
        <w:rPr>
          <w:rFonts w:ascii="Times New Roman" w:hAnsi="Times New Roman" w:cs="Times New Roman" w:eastAsia="Times New Roman" w:hint="default"/>
          <w:spacing w:val="-2"/>
        </w:rPr>
        <w:t>1271</w:t>
      </w:r>
      <w:r>
        <w:rPr>
          <w:spacing w:val="-2"/>
        </w:rPr>
        <w:t>号）和《合肥市发展改革委关于</w:t>
      </w:r>
      <w:r>
        <w:rPr>
          <w:spacing w:val="-60"/>
        </w:rPr>
        <w:t> </w:t>
      </w:r>
      <w:r>
        <w:rPr>
          <w:spacing w:val="-60"/>
        </w:rPr>
      </w:r>
      <w:r>
        <w:rPr/>
        <w:t>下达</w:t>
      </w:r>
      <w:r>
        <w:rPr>
          <w:rFonts w:ascii="Times New Roman" w:hAnsi="Times New Roman" w:cs="Times New Roman" w:eastAsia="Times New Roman" w:hint="default"/>
        </w:rPr>
        <w:t>2018</w:t>
      </w:r>
      <w:r>
        <w:rPr/>
        <w:t>年度合肥市集成电路产业专项资金支持事项资金安排计划的通知》（合发改高技〔</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378</w:t>
      </w:r>
      <w:r>
        <w:rPr/>
        <w:t>号）文件，北京君正</w:t>
      </w:r>
      <w:r>
        <w:rPr>
          <w:spacing w:val="-86"/>
        </w:rPr>
        <w:t> </w:t>
      </w:r>
      <w:r>
        <w:rPr>
          <w:spacing w:val="-86"/>
        </w:rPr>
      </w:r>
      <w:r>
        <w:rPr/>
        <w:t>集成电路股份有限公司全资子公司合肥君正科技有限公司向合肥市高新技术产业开发区申请了</w:t>
      </w:r>
      <w:r>
        <w:rPr>
          <w:rFonts w:ascii="Times New Roman" w:hAnsi="Times New Roman" w:cs="Times New Roman" w:eastAsia="Times New Roman" w:hint="default"/>
        </w:rPr>
        <w:t>2018</w:t>
      </w:r>
      <w:r>
        <w:rPr/>
        <w:t>年度合肥市集成电路产</w:t>
      </w:r>
      <w:r>
        <w:rPr>
          <w:spacing w:val="-3"/>
        </w:rPr>
        <w:t> </w:t>
      </w:r>
      <w:r>
        <w:rPr>
          <w:spacing w:val="-3"/>
        </w:rPr>
      </w:r>
      <w:r>
        <w:rPr/>
        <w:t>业发展政策兑现项目政府补贴资金。</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29</w:t>
      </w:r>
      <w:r>
        <w:rPr/>
        <w:t>日，合肥君正分别收到合肥高新技术产业开发区财政国库支付中心拨付的</w:t>
      </w:r>
      <w:r>
        <w:rPr>
          <w:spacing w:val="-85"/>
        </w:rPr>
        <w:t> </w:t>
      </w:r>
      <w:r>
        <w:rPr>
          <w:spacing w:val="-85"/>
        </w:rPr>
      </w:r>
      <w:r>
        <w:rPr/>
        <w:t>政府补贴资金现金</w:t>
      </w:r>
      <w:r>
        <w:rPr>
          <w:rFonts w:ascii="Times New Roman" w:hAnsi="Times New Roman" w:cs="Times New Roman" w:eastAsia="Times New Roman" w:hint="default"/>
        </w:rPr>
        <w:t>390,000.00</w:t>
      </w:r>
      <w:r>
        <w:rPr/>
        <w:t>元、</w:t>
      </w:r>
      <w:r>
        <w:rPr>
          <w:rFonts w:ascii="Times New Roman" w:hAnsi="Times New Roman" w:cs="Times New Roman" w:eastAsia="Times New Roman" w:hint="default"/>
        </w:rPr>
        <w:t>2,050,000.16</w:t>
      </w:r>
      <w:r>
        <w:rPr/>
        <w:t>元和</w:t>
      </w:r>
      <w:r>
        <w:rPr>
          <w:rFonts w:ascii="Times New Roman" w:hAnsi="Times New Roman" w:cs="Times New Roman" w:eastAsia="Times New Roman" w:hint="default"/>
        </w:rPr>
        <w:t>500,000.00</w:t>
      </w:r>
      <w:r>
        <w:rPr/>
        <w:t>元；该政府补助是与收益相关的政府补助，公司本期全部结转</w:t>
      </w:r>
      <w:r>
        <w:rPr>
          <w:spacing w:val="-56"/>
        </w:rPr>
        <w:t> </w:t>
      </w:r>
      <w:r>
        <w:rPr>
          <w:spacing w:val="-56"/>
        </w:rPr>
      </w:r>
      <w:r>
        <w:rPr/>
        <w:t>至其他收益；</w:t>
      </w:r>
    </w:p>
    <w:p>
      <w:pPr>
        <w:pStyle w:val="BodyText"/>
        <w:spacing w:line="300" w:lineRule="auto" w:before="31"/>
        <w:ind w:right="1131" w:firstLine="360"/>
        <w:jc w:val="both"/>
      </w:pPr>
      <w:r>
        <w:rPr>
          <w:spacing w:val="-1"/>
        </w:rPr>
        <w:t>注</w:t>
      </w:r>
      <w:r>
        <w:rPr>
          <w:rFonts w:ascii="Times New Roman" w:hAnsi="Times New Roman" w:cs="Times New Roman" w:eastAsia="Times New Roman" w:hint="default"/>
          <w:spacing w:val="-1"/>
        </w:rPr>
        <w:t>(11)</w:t>
      </w:r>
      <w:r>
        <w:rPr>
          <w:spacing w:val="-1"/>
        </w:rPr>
        <w:t>：根据中共合肥市委办公厅合肥市人民政府办公厅关于印发《合肥市加快推进软件产业和集成电路产业发展的若</w:t>
      </w:r>
      <w:r>
        <w:rPr/>
        <w:t> 干政策》的通知（合办【</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27</w:t>
      </w:r>
      <w:r>
        <w:rPr/>
        <w:t>号），北京君正集成电路股份有限公司全资子公司合肥君正科技有限公司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w:t>
      </w:r>
      <w:r>
        <w:rPr>
          <w:spacing w:val="-86"/>
        </w:rPr>
        <w:t> </w:t>
      </w:r>
      <w:r>
        <w:rPr>
          <w:spacing w:val="-1"/>
        </w:rPr>
        <w:t>收到合肥市财政国库支付中心拨付的政府补贴资金现金</w:t>
      </w:r>
      <w:r>
        <w:rPr>
          <w:rFonts w:ascii="Times New Roman" w:hAnsi="Times New Roman" w:cs="Times New Roman" w:eastAsia="Times New Roman" w:hint="default"/>
          <w:spacing w:val="-1"/>
        </w:rPr>
        <w:t>1,000,000.00</w:t>
      </w:r>
      <w:r>
        <w:rPr>
          <w:spacing w:val="-1"/>
        </w:rPr>
        <w:t>元、</w:t>
      </w:r>
      <w:r>
        <w:rPr>
          <w:rFonts w:ascii="Times New Roman" w:hAnsi="Times New Roman" w:cs="Times New Roman" w:eastAsia="Times New Roman" w:hint="default"/>
          <w:spacing w:val="-1"/>
        </w:rPr>
        <w:t>800,000.00</w:t>
      </w:r>
      <w:r>
        <w:rPr>
          <w:spacing w:val="-1"/>
        </w:rPr>
        <w:t>元，该政府补助属于与收益相关的政府补</w:t>
      </w:r>
      <w:r>
        <w:rPr>
          <w:spacing w:val="-69"/>
        </w:rPr>
        <w:t> </w:t>
      </w:r>
      <w:r>
        <w:rPr>
          <w:spacing w:val="-69"/>
        </w:rPr>
      </w:r>
      <w:r>
        <w:rPr/>
        <w:t>助，本期全部结转至其他收益；</w:t>
      </w:r>
    </w:p>
    <w:p>
      <w:pPr>
        <w:pStyle w:val="BodyText"/>
        <w:spacing w:line="300" w:lineRule="auto" w:before="31"/>
        <w:ind w:right="1129" w:firstLine="360"/>
        <w:jc w:val="both"/>
      </w:pPr>
      <w:r>
        <w:rPr>
          <w:spacing w:val="-1"/>
        </w:rPr>
        <w:t>注</w:t>
      </w:r>
      <w:r>
        <w:rPr>
          <w:rFonts w:ascii="Times New Roman" w:hAnsi="Times New Roman" w:cs="Times New Roman" w:eastAsia="Times New Roman" w:hint="default"/>
          <w:spacing w:val="-1"/>
        </w:rPr>
        <w:t>(12)</w:t>
      </w:r>
      <w:r>
        <w:rPr>
          <w:spacing w:val="-1"/>
        </w:rPr>
        <w:t>：本公司全资子公司合肥君正科技有限公司</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29</w:t>
      </w:r>
      <w:r>
        <w:rPr>
          <w:spacing w:val="-1"/>
        </w:rPr>
        <w:t>日收到合肥高新技术产业开发区财政国库支付中心拨付</w:t>
      </w:r>
      <w:r>
        <w:rPr/>
        <w:t> 的外贸促进政策资金</w:t>
      </w:r>
      <w:r>
        <w:rPr>
          <w:rFonts w:ascii="Times New Roman" w:hAnsi="Times New Roman" w:cs="Times New Roman" w:eastAsia="Times New Roman" w:hint="default"/>
        </w:rPr>
        <w:t>69,149.00</w:t>
      </w:r>
      <w:r>
        <w:rPr/>
        <w:t>元，本期全部结转至其他收益；</w:t>
      </w:r>
    </w:p>
    <w:p>
      <w:pPr>
        <w:pStyle w:val="BodyText"/>
        <w:spacing w:line="300" w:lineRule="auto" w:before="13"/>
        <w:ind w:right="1128" w:firstLine="360"/>
        <w:jc w:val="both"/>
      </w:pPr>
      <w:r>
        <w:rPr>
          <w:spacing w:val="-1"/>
        </w:rPr>
        <w:t>注</w:t>
      </w:r>
      <w:r>
        <w:rPr>
          <w:rFonts w:ascii="Times New Roman" w:hAnsi="Times New Roman" w:cs="Times New Roman" w:eastAsia="Times New Roman" w:hint="default"/>
          <w:spacing w:val="-1"/>
        </w:rPr>
        <w:t>(13)</w:t>
      </w:r>
      <w:r>
        <w:rPr>
          <w:spacing w:val="-1"/>
        </w:rPr>
        <w:t>：本公司全资子公司合肥君正科技有限公司</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w:t>
      </w:r>
      <w:r>
        <w:rPr>
          <w:spacing w:val="-1"/>
        </w:rPr>
        <w:t>日收到合肥市总工会拨付的经费补助</w:t>
      </w:r>
      <w:r>
        <w:rPr>
          <w:rFonts w:ascii="Times New Roman" w:hAnsi="Times New Roman" w:cs="Times New Roman" w:eastAsia="Times New Roman" w:hint="default"/>
          <w:spacing w:val="-1"/>
        </w:rPr>
        <w:t>6,400.00</w:t>
      </w:r>
      <w:r>
        <w:rPr>
          <w:spacing w:val="-1"/>
        </w:rPr>
        <w:t>元，本期全</w:t>
      </w:r>
      <w:r>
        <w:rPr/>
        <w:t> 部结转至其他收益；</w:t>
      </w:r>
    </w:p>
    <w:p>
      <w:pPr>
        <w:pStyle w:val="BodyText"/>
        <w:spacing w:line="240" w:lineRule="auto" w:before="31"/>
        <w:ind w:left="513" w:right="1133"/>
        <w:jc w:val="left"/>
      </w:pPr>
      <w:r>
        <w:rPr/>
        <w:t>注</w:t>
      </w:r>
      <w:r>
        <w:rPr>
          <w:rFonts w:ascii="Times New Roman" w:hAnsi="Times New Roman" w:cs="Times New Roman" w:eastAsia="Times New Roman" w:hint="default"/>
        </w:rPr>
        <w:t>(14)</w:t>
      </w:r>
      <w:r>
        <w:rPr/>
        <w:t>：根据《中共合肥市委办公厅合肥市人民政府办公厅关于印发</w:t>
      </w:r>
      <w:r>
        <w:rPr>
          <w:rFonts w:ascii="Times New Roman" w:hAnsi="Times New Roman" w:cs="Times New Roman" w:eastAsia="Times New Roman" w:hint="default"/>
        </w:rPr>
        <w:t>&lt;</w:t>
      </w:r>
      <w:r>
        <w:rPr/>
        <w:t>合肥市加快推进软件产业和集成电路产业发展的</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00" w:lineRule="auto" w:before="44"/>
        <w:ind w:right="1133"/>
        <w:jc w:val="both"/>
      </w:pPr>
      <w:r>
        <w:rPr/>
        <w:t>若干政策</w:t>
      </w:r>
      <w:r>
        <w:rPr>
          <w:rFonts w:ascii="Times New Roman" w:hAnsi="Times New Roman" w:cs="Times New Roman" w:eastAsia="Times New Roman" w:hint="default"/>
        </w:rPr>
        <w:t>&gt;</w:t>
      </w:r>
      <w:r>
        <w:rPr/>
        <w:t>的通知》（合办〔</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27</w:t>
      </w:r>
      <w:r>
        <w:rPr/>
        <w:t>号）、《合肥市发展改革委合肥市财政局关于印发合肥市加快推进软件产品和集成电 路产业发展若干政策实施细则（集成电路产业）的通知》（合发改高技〔</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941</w:t>
      </w:r>
      <w:r>
        <w:rPr/>
        <w:t>号）文件，北京君正集成电路股份有限</w:t>
      </w:r>
      <w:r>
        <w:rPr>
          <w:spacing w:val="-85"/>
        </w:rPr>
        <w:t> </w:t>
      </w:r>
      <w:r>
        <w:rPr>
          <w:spacing w:val="-85"/>
        </w:rPr>
      </w:r>
      <w:r>
        <w:rPr/>
        <w:t>公司全资子公司合肥君正科技有限公司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日收到合肥高新技术产业开发区财政国库支付中心拨付的政府补贴资</w:t>
      </w:r>
      <w:r>
        <w:rPr>
          <w:spacing w:val="-10"/>
        </w:rPr>
        <w:t> </w:t>
      </w:r>
      <w:r>
        <w:rPr>
          <w:spacing w:val="-10"/>
        </w:rPr>
      </w:r>
      <w:r>
        <w:rPr/>
        <w:t>金</w:t>
      </w:r>
      <w:r>
        <w:rPr>
          <w:rFonts w:ascii="Times New Roman" w:hAnsi="Times New Roman" w:cs="Times New Roman" w:eastAsia="Times New Roman" w:hint="default"/>
        </w:rPr>
        <w:t>642.91</w:t>
      </w:r>
      <w:r>
        <w:rPr/>
        <w:t>万元。该政府补助属于与收益相关的政府补助，本期全部结转至其他收益；</w:t>
      </w:r>
    </w:p>
    <w:p>
      <w:pPr>
        <w:pStyle w:val="BodyText"/>
        <w:spacing w:line="300" w:lineRule="auto" w:before="13"/>
        <w:ind w:right="1131" w:firstLine="360"/>
        <w:jc w:val="both"/>
      </w:pPr>
      <w:r>
        <w:rPr/>
        <w:t>注</w:t>
      </w:r>
      <w:r>
        <w:rPr>
          <w:rFonts w:ascii="Times New Roman" w:hAnsi="Times New Roman" w:cs="Times New Roman" w:eastAsia="Times New Roman" w:hint="default"/>
        </w:rPr>
        <w:t>(15)</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日，本公司全资子公司合肥君正科技有限公司因通过</w:t>
      </w:r>
      <w:r>
        <w:rPr>
          <w:rFonts w:ascii="Times New Roman" w:hAnsi="Times New Roman" w:cs="Times New Roman" w:eastAsia="Times New Roman" w:hint="default"/>
        </w:rPr>
        <w:t>“</w:t>
      </w:r>
      <w:r>
        <w:rPr/>
        <w:t>高性能视频监控芯片的研发项目</w:t>
      </w:r>
      <w:r>
        <w:rPr>
          <w:rFonts w:ascii="Times New Roman" w:hAnsi="Times New Roman" w:cs="Times New Roman" w:eastAsia="Times New Roman" w:hint="default"/>
        </w:rPr>
        <w:t>”</w:t>
      </w:r>
      <w:r>
        <w:rPr/>
        <w:t>申报，获 </w:t>
      </w:r>
      <w:r>
        <w:rPr>
          <w:spacing w:val="2"/>
        </w:rPr>
        <w:t>得合肥高新技术产业开发区管理委员会拨付的</w:t>
      </w:r>
      <w:r>
        <w:rPr>
          <w:rFonts w:ascii="Times New Roman" w:hAnsi="Times New Roman" w:cs="Times New Roman" w:eastAsia="Times New Roman" w:hint="default"/>
          <w:spacing w:val="2"/>
        </w:rPr>
        <w:t>“</w:t>
      </w:r>
      <w:r>
        <w:rPr>
          <w:spacing w:val="2"/>
        </w:rPr>
        <w:t>高新区创业服务中心</w:t>
      </w:r>
      <w:r>
        <w:rPr>
          <w:rFonts w:ascii="Times New Roman" w:hAnsi="Times New Roman" w:cs="Times New Roman" w:eastAsia="Times New Roman" w:hint="default"/>
          <w:spacing w:val="2"/>
        </w:rPr>
        <w:t>2019</w:t>
      </w:r>
      <w:r>
        <w:rPr>
          <w:spacing w:val="2"/>
        </w:rPr>
        <w:t>年省集成电路战新基地专项引导资金</w:t>
      </w:r>
      <w:r>
        <w:rPr>
          <w:rFonts w:ascii="Times New Roman" w:hAnsi="Times New Roman" w:cs="Times New Roman" w:eastAsia="Times New Roman" w:hint="default"/>
          <w:spacing w:val="2"/>
        </w:rPr>
        <w:t>”840,000.00</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r>
      <w:r>
        <w:rPr>
          <w:spacing w:val="-2"/>
        </w:rPr>
        <w:t>元，公司按照项目起始日期分</w:t>
      </w:r>
      <w:r>
        <w:rPr>
          <w:rFonts w:ascii="Times New Roman" w:hAnsi="Times New Roman" w:cs="Times New Roman" w:eastAsia="Times New Roman" w:hint="default"/>
          <w:spacing w:val="-2"/>
        </w:rPr>
        <w:t>24</w:t>
      </w:r>
      <w:r>
        <w:rPr>
          <w:spacing w:val="-2"/>
        </w:rPr>
        <w:t>个月摊销。本公司</w:t>
      </w:r>
      <w:r>
        <w:rPr>
          <w:rFonts w:ascii="Times New Roman" w:hAnsi="Times New Roman" w:cs="Times New Roman" w:eastAsia="Times New Roman" w:hint="default"/>
          <w:spacing w:val="-2"/>
        </w:rPr>
        <w:t>2019</w:t>
      </w:r>
      <w:r>
        <w:rPr>
          <w:spacing w:val="-2"/>
        </w:rPr>
        <w:t>年结转其他收益</w:t>
      </w:r>
      <w:r>
        <w:rPr>
          <w:rFonts w:ascii="Times New Roman" w:hAnsi="Times New Roman" w:cs="Times New Roman" w:eastAsia="Times New Roman" w:hint="default"/>
          <w:spacing w:val="-2"/>
        </w:rPr>
        <w:t>420,000.00</w:t>
      </w:r>
      <w:r>
        <w:rPr>
          <w:spacing w:val="-2"/>
        </w:rPr>
        <w:t>元，累计结转</w:t>
      </w:r>
      <w:r>
        <w:rPr>
          <w:rFonts w:ascii="Times New Roman" w:hAnsi="Times New Roman" w:cs="Times New Roman" w:eastAsia="Times New Roman" w:hint="default"/>
          <w:spacing w:val="-2"/>
        </w:rPr>
        <w:t>420,000.00</w:t>
      </w:r>
      <w:r>
        <w:rPr>
          <w:spacing w:val="-2"/>
        </w:rPr>
        <w:t>元。截至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1"/>
        </w:rPr>
        <w:t> </w:t>
      </w:r>
      <w:r>
        <w:rPr/>
        <w:t>月</w:t>
      </w:r>
      <w:r>
        <w:rPr>
          <w:rFonts w:ascii="Times New Roman" w:hAnsi="Times New Roman" w:cs="Times New Roman" w:eastAsia="Times New Roman" w:hint="default"/>
        </w:rPr>
        <w:t>31</w:t>
      </w:r>
      <w:r>
        <w:rPr/>
        <w:t>日余额为</w:t>
      </w:r>
      <w:r>
        <w:rPr>
          <w:rFonts w:ascii="Times New Roman" w:hAnsi="Times New Roman" w:cs="Times New Roman" w:eastAsia="Times New Roman" w:hint="default"/>
        </w:rPr>
        <w:t>420,000.00</w:t>
      </w:r>
      <w:r>
        <w:rPr/>
        <w:t>元；</w:t>
      </w:r>
    </w:p>
    <w:p>
      <w:pPr>
        <w:pStyle w:val="BodyText"/>
        <w:spacing w:line="300" w:lineRule="auto" w:before="13"/>
        <w:ind w:right="1129" w:firstLine="360"/>
        <w:jc w:val="both"/>
      </w:pPr>
      <w:r>
        <w:rPr>
          <w:spacing w:val="-1"/>
        </w:rPr>
        <w:t>注</w:t>
      </w:r>
      <w:r>
        <w:rPr>
          <w:rFonts w:ascii="Times New Roman" w:hAnsi="Times New Roman" w:cs="Times New Roman" w:eastAsia="Times New Roman" w:hint="default"/>
          <w:spacing w:val="-1"/>
        </w:rPr>
        <w:t>(16)</w:t>
      </w:r>
      <w:r>
        <w:rPr>
          <w:spacing w:val="-1"/>
        </w:rPr>
        <w:t>：本公司全资子公司合肥君正科技有限公司</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30</w:t>
      </w:r>
      <w:r>
        <w:rPr>
          <w:spacing w:val="-1"/>
        </w:rPr>
        <w:t>日收到合肥高新技术产业开发区财政国库支付中心拨付</w:t>
      </w:r>
      <w:r>
        <w:rPr/>
        <w:t> 的</w:t>
      </w:r>
      <w:r>
        <w:rPr>
          <w:rFonts w:ascii="Times New Roman" w:hAnsi="Times New Roman" w:cs="Times New Roman" w:eastAsia="Times New Roman" w:hint="default"/>
        </w:rPr>
        <w:t>2018</w:t>
      </w:r>
      <w:r>
        <w:rPr/>
        <w:t>年度普惠政策兑现</w:t>
      </w:r>
      <w:r>
        <w:rPr>
          <w:rFonts w:ascii="Times New Roman" w:hAnsi="Times New Roman" w:cs="Times New Roman" w:eastAsia="Times New Roman" w:hint="default"/>
        </w:rPr>
        <w:t>75,000.00</w:t>
      </w:r>
      <w:r>
        <w:rPr/>
        <w:t>元，本期全部结转至其他收益；</w:t>
      </w:r>
    </w:p>
    <w:p>
      <w:pPr>
        <w:pStyle w:val="BodyText"/>
        <w:spacing w:line="300" w:lineRule="auto" w:before="13"/>
        <w:ind w:right="1126" w:firstLine="360"/>
        <w:jc w:val="both"/>
      </w:pPr>
      <w:r>
        <w:rPr>
          <w:spacing w:val="-1"/>
        </w:rPr>
        <w:t>注</w:t>
      </w:r>
      <w:r>
        <w:rPr>
          <w:rFonts w:ascii="Times New Roman" w:hAnsi="Times New Roman" w:cs="Times New Roman" w:eastAsia="Times New Roman" w:hint="default"/>
          <w:spacing w:val="-1"/>
        </w:rPr>
        <w:t>(17)</w:t>
      </w:r>
      <w:r>
        <w:rPr>
          <w:spacing w:val="-1"/>
        </w:rPr>
        <w:t>：根据《中关村国家自主创新示范区集成电路设计产业发展资金管理办法》（中科园发〔</w:t>
      </w:r>
      <w:r>
        <w:rPr>
          <w:rFonts w:ascii="Times New Roman" w:hAnsi="Times New Roman" w:cs="Times New Roman" w:eastAsia="Times New Roman" w:hint="default"/>
          <w:spacing w:val="-1"/>
        </w:rPr>
        <w:t>2016</w:t>
      </w:r>
      <w:r>
        <w:rPr>
          <w:spacing w:val="-1"/>
        </w:rPr>
        <w:t>〕</w:t>
      </w:r>
      <w:r>
        <w:rPr>
          <w:rFonts w:ascii="Times New Roman" w:hAnsi="Times New Roman" w:cs="Times New Roman" w:eastAsia="Times New Roman" w:hint="default"/>
          <w:spacing w:val="-1"/>
        </w:rPr>
        <w:t>38</w:t>
      </w:r>
      <w:r>
        <w:rPr>
          <w:spacing w:val="-1"/>
        </w:rPr>
        <w:t>号），</w:t>
      </w:r>
      <w:r>
        <w:rPr>
          <w:rFonts w:ascii="Times New Roman" w:hAnsi="Times New Roman" w:cs="Times New Roman" w:eastAsia="Times New Roman" w:hint="default"/>
          <w:spacing w:val="-1"/>
        </w:rPr>
        <w:t>2019</w:t>
      </w:r>
      <w:r>
        <w:rPr>
          <w:spacing w:val="-1"/>
        </w:rPr>
        <w:t>年</w:t>
      </w:r>
      <w:r>
        <w:rPr/>
        <w:t> </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日收到中关村管委会委托北京半导体行业协会拨付的政府补贴资金</w:t>
      </w:r>
      <w:r>
        <w:rPr>
          <w:rFonts w:ascii="Times New Roman" w:hAnsi="Times New Roman" w:cs="Times New Roman" w:eastAsia="Times New Roman" w:hint="default"/>
        </w:rPr>
        <w:t>341,800.00</w:t>
      </w:r>
      <w:r>
        <w:rPr/>
        <w:t>元，该政府补助属于与收益相关的政府补</w:t>
      </w:r>
      <w:r>
        <w:rPr>
          <w:spacing w:val="-85"/>
        </w:rPr>
        <w:t> </w:t>
      </w:r>
      <w:r>
        <w:rPr>
          <w:spacing w:val="-85"/>
        </w:rPr>
      </w:r>
      <w:r>
        <w:rPr/>
        <w:t>助，本期全部结转至其他收益；</w:t>
      </w:r>
    </w:p>
    <w:p>
      <w:pPr>
        <w:pStyle w:val="BodyText"/>
        <w:spacing w:line="300" w:lineRule="auto" w:before="31"/>
        <w:ind w:right="1128" w:firstLine="360"/>
        <w:jc w:val="both"/>
      </w:pPr>
      <w:r>
        <w:rPr/>
        <w:t>注</w:t>
      </w:r>
      <w:r>
        <w:rPr>
          <w:rFonts w:ascii="Times New Roman" w:hAnsi="Times New Roman" w:cs="Times New Roman" w:eastAsia="Times New Roman" w:hint="default"/>
        </w:rPr>
        <w:t>(18)</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月申报的</w:t>
      </w:r>
      <w:r>
        <w:rPr>
          <w:rFonts w:ascii="Times New Roman" w:hAnsi="Times New Roman" w:cs="Times New Roman" w:eastAsia="Times New Roman" w:hint="default"/>
        </w:rPr>
        <w:t>“</w:t>
      </w:r>
      <w:r>
        <w:rPr/>
        <w:t>面向智能终端的嵌入式高能效深度学习引擎开发与产业化</w:t>
      </w:r>
      <w:r>
        <w:rPr>
          <w:rFonts w:ascii="Times New Roman" w:hAnsi="Times New Roman" w:cs="Times New Roman" w:eastAsia="Times New Roman" w:hint="default"/>
        </w:rPr>
        <w:t>”</w:t>
      </w:r>
      <w:r>
        <w:rPr/>
        <w:t>课题项目获得立项批复， </w:t>
      </w:r>
      <w:r>
        <w:rPr>
          <w:spacing w:val="-2"/>
        </w:rPr>
        <w:t>并作为牵头承担单位联合清华大学、东南大学共同承担</w:t>
      </w:r>
      <w:r>
        <w:rPr>
          <w:rFonts w:ascii="Times New Roman" w:hAnsi="Times New Roman" w:cs="Times New Roman" w:eastAsia="Times New Roman" w:hint="default"/>
          <w:spacing w:val="-2"/>
        </w:rPr>
        <w:t>“</w:t>
      </w:r>
      <w:r>
        <w:rPr>
          <w:spacing w:val="-2"/>
        </w:rPr>
        <w:t>核心电子器件、高端通用芯片及基础软件产品</w:t>
      </w:r>
      <w:r>
        <w:rPr>
          <w:rFonts w:ascii="Times New Roman" w:hAnsi="Times New Roman" w:cs="Times New Roman" w:eastAsia="Times New Roman" w:hint="default"/>
          <w:spacing w:val="-2"/>
        </w:rPr>
        <w:t>”</w:t>
      </w:r>
      <w:r>
        <w:rPr>
          <w:spacing w:val="-2"/>
        </w:rPr>
        <w:t>项目。该项目期限为</w:t>
      </w:r>
      <w:r>
        <w:rPr>
          <w:spacing w:val="-42"/>
        </w:rPr>
        <w:t> </w:t>
      </w:r>
      <w:r>
        <w:rPr>
          <w:spacing w:val="-42"/>
        </w:rPr>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12</w:t>
      </w:r>
      <w:r>
        <w:rPr>
          <w:spacing w:val="-2"/>
        </w:rPr>
        <w:t>月，项目经费按年度分别下拨。</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29</w:t>
      </w:r>
      <w:r>
        <w:rPr>
          <w:spacing w:val="-2"/>
        </w:rPr>
        <w:t>日公司收到工业和信息化部产业发展促进中心拨付的</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spacing w:val="-2"/>
        </w:rPr>
        <w:t>年度项目经费</w:t>
      </w:r>
      <w:r>
        <w:rPr>
          <w:rFonts w:ascii="Times New Roman" w:hAnsi="Times New Roman" w:cs="Times New Roman" w:eastAsia="Times New Roman" w:hint="default"/>
          <w:spacing w:val="-2"/>
        </w:rPr>
        <w:t>17,970,000.00</w:t>
      </w:r>
      <w:r>
        <w:rPr>
          <w:spacing w:val="-2"/>
        </w:rPr>
        <w:t>元，其中</w:t>
      </w:r>
      <w:r>
        <w:rPr>
          <w:rFonts w:ascii="Times New Roman" w:hAnsi="Times New Roman" w:cs="Times New Roman" w:eastAsia="Times New Roman" w:hint="default"/>
          <w:spacing w:val="-2"/>
        </w:rPr>
        <w:t>8,988,000.00</w:t>
      </w:r>
      <w:r>
        <w:rPr>
          <w:spacing w:val="-2"/>
        </w:rPr>
        <w:t>元为本公司承担的项目经费，其中共享单位清华大学项目经费为</w:t>
      </w:r>
      <w:r>
        <w:rPr>
          <w:rFonts w:ascii="Times New Roman" w:hAnsi="Times New Roman" w:cs="Times New Roman" w:eastAsia="Times New Roman" w:hint="default"/>
          <w:spacing w:val="-2"/>
        </w:rPr>
        <w:t>4,764,500.00</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spacing w:val="6"/>
        </w:rPr>
        <w:t>元，东南大学项目经费为</w:t>
      </w:r>
      <w:r>
        <w:rPr>
          <w:rFonts w:ascii="Times New Roman" w:hAnsi="Times New Roman" w:cs="Times New Roman" w:eastAsia="Times New Roman" w:hint="default"/>
          <w:spacing w:val="6"/>
        </w:rPr>
        <w:t>4,217,500.00</w:t>
      </w:r>
      <w:r>
        <w:rPr>
          <w:rFonts w:ascii="Times New Roman" w:hAnsi="Times New Roman" w:cs="Times New Roman" w:eastAsia="Times New Roman" w:hint="default"/>
          <w:spacing w:val="-25"/>
        </w:rPr>
        <w:t> </w:t>
      </w:r>
      <w:r>
        <w:rPr>
          <w:spacing w:val="12"/>
        </w:rPr>
        <w:t>元；公司按照收款日至项目结束日共</w:t>
      </w:r>
      <w:r>
        <w:rPr>
          <w:spacing w:val="-70"/>
        </w:rPr>
        <w:t> </w:t>
      </w:r>
      <w:r>
        <w:rPr>
          <w:rFonts w:ascii="Times New Roman" w:hAnsi="Times New Roman" w:cs="Times New Roman" w:eastAsia="Times New Roman" w:hint="default"/>
          <w:spacing w:val="9"/>
        </w:rPr>
        <w:t>20</w:t>
      </w:r>
      <w:r>
        <w:rPr>
          <w:spacing w:val="9"/>
        </w:rPr>
        <w:t>个月摊销。本公司</w:t>
      </w:r>
      <w:r>
        <w:rPr>
          <w:rFonts w:ascii="Times New Roman" w:hAnsi="Times New Roman" w:cs="Times New Roman" w:eastAsia="Times New Roman" w:hint="default"/>
          <w:spacing w:val="9"/>
        </w:rPr>
        <w:t>2019</w:t>
      </w:r>
      <w:r>
        <w:rPr>
          <w:spacing w:val="9"/>
        </w:rPr>
        <w:t>年结转其他收益</w:t>
      </w:r>
      <w:r>
        <w:rPr>
          <w:spacing w:val="-83"/>
        </w:rPr>
        <w:t> </w:t>
      </w:r>
      <w:r>
        <w:rPr>
          <w:spacing w:val="-83"/>
        </w:rPr>
      </w:r>
      <w:r>
        <w:rPr>
          <w:rFonts w:ascii="Times New Roman" w:hAnsi="Times New Roman" w:cs="Times New Roman" w:eastAsia="Times New Roman" w:hint="default"/>
        </w:rPr>
        <w:t>3,595,200.00</w:t>
      </w:r>
      <w:r>
        <w:rPr/>
        <w:t>元，累计结转</w:t>
      </w:r>
      <w:r>
        <w:rPr>
          <w:rFonts w:ascii="Times New Roman" w:hAnsi="Times New Roman" w:cs="Times New Roman" w:eastAsia="Times New Roman" w:hint="default"/>
        </w:rPr>
        <w:t>3,595,200.00</w:t>
      </w:r>
      <w:r>
        <w:rPr/>
        <w:t>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日余额为</w:t>
      </w:r>
      <w:r>
        <w:rPr>
          <w:rFonts w:ascii="Times New Roman" w:hAnsi="Times New Roman" w:cs="Times New Roman" w:eastAsia="Times New Roman" w:hint="default"/>
        </w:rPr>
        <w:t>5,392,800.00</w:t>
      </w:r>
      <w:r>
        <w:rPr/>
        <w:t>元；</w:t>
      </w:r>
    </w:p>
    <w:p>
      <w:pPr>
        <w:pStyle w:val="BodyText"/>
        <w:spacing w:line="300" w:lineRule="auto" w:before="13"/>
        <w:ind w:right="1127" w:firstLine="360"/>
        <w:jc w:val="both"/>
      </w:pPr>
      <w:r>
        <w:rPr/>
        <w:t>注</w:t>
      </w:r>
      <w:r>
        <w:rPr>
          <w:rFonts w:ascii="Times New Roman" w:hAnsi="Times New Roman" w:cs="Times New Roman" w:eastAsia="Times New Roman" w:hint="default"/>
        </w:rPr>
        <w:t>(19)</w:t>
      </w:r>
      <w:r>
        <w:rPr/>
        <w:t>：公司根据《</w:t>
      </w:r>
      <w:r>
        <w:rPr>
          <w:rFonts w:ascii="Times New Roman" w:hAnsi="Times New Roman" w:cs="Times New Roman" w:eastAsia="Times New Roman" w:hint="default"/>
        </w:rPr>
        <w:t>2019</w:t>
      </w:r>
      <w:r>
        <w:rPr/>
        <w:t>年海淀区重大科技项目和创新平台奖励专项申报指南》申报专项奖励，</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月收到中关村 管委会政府补贴资金</w:t>
      </w:r>
      <w:r>
        <w:rPr>
          <w:rFonts w:ascii="Times New Roman" w:hAnsi="Times New Roman" w:cs="Times New Roman" w:eastAsia="Times New Roman" w:hint="default"/>
        </w:rPr>
        <w:t>700,000.00</w:t>
      </w:r>
      <w:r>
        <w:rPr/>
        <w:t>元，该政府补助属于与收益相关的政府补助，本期全部结转至其他收益；</w:t>
      </w:r>
    </w:p>
    <w:p>
      <w:pPr>
        <w:pStyle w:val="BodyText"/>
        <w:spacing w:line="300" w:lineRule="auto" w:before="13"/>
        <w:ind w:right="1128" w:firstLine="360"/>
        <w:jc w:val="both"/>
      </w:pPr>
      <w:r>
        <w:rPr>
          <w:spacing w:val="-1"/>
        </w:rPr>
        <w:t>注</w:t>
      </w:r>
      <w:r>
        <w:rPr>
          <w:rFonts w:ascii="Times New Roman" w:hAnsi="Times New Roman" w:cs="Times New Roman" w:eastAsia="Times New Roman" w:hint="default"/>
          <w:spacing w:val="-1"/>
        </w:rPr>
        <w:t>(20)</w:t>
      </w:r>
      <w:r>
        <w:rPr>
          <w:spacing w:val="-1"/>
        </w:rPr>
        <w:t>：公司根据《关于征集</w:t>
      </w:r>
      <w:r>
        <w:rPr>
          <w:rFonts w:ascii="Times New Roman" w:hAnsi="Times New Roman" w:cs="Times New Roman" w:eastAsia="Times New Roman" w:hint="default"/>
          <w:spacing w:val="-1"/>
        </w:rPr>
        <w:t>2018</w:t>
      </w:r>
      <w:r>
        <w:rPr>
          <w:spacing w:val="-1"/>
        </w:rPr>
        <w:t>年度中关村国家自主创新示范区集成电路设计产业发展支持资金的通知》申报集成电</w:t>
      </w:r>
      <w:r>
        <w:rPr/>
        <w:t> </w:t>
      </w:r>
      <w:r>
        <w:rPr>
          <w:spacing w:val="-2"/>
        </w:rPr>
        <w:t>路设计产业发展资金。</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28</w:t>
      </w:r>
      <w:r>
        <w:rPr>
          <w:spacing w:val="-2"/>
        </w:rPr>
        <w:t>日收到北京半导体行业协会拨付的政府补贴资金</w:t>
      </w:r>
      <w:r>
        <w:rPr>
          <w:rFonts w:ascii="Times New Roman" w:hAnsi="Times New Roman" w:cs="Times New Roman" w:eastAsia="Times New Roman" w:hint="default"/>
          <w:spacing w:val="-2"/>
        </w:rPr>
        <w:t>600,000.00</w:t>
      </w:r>
      <w:r>
        <w:rPr>
          <w:spacing w:val="-2"/>
        </w:rPr>
        <w:t>元，</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w:t>
      </w:r>
      <w:r>
        <w:rPr>
          <w:spacing w:val="-2"/>
        </w:rPr>
        <w:t>日收到北京</w:t>
      </w:r>
      <w:r>
        <w:rPr>
          <w:spacing w:val="-45"/>
        </w:rPr>
        <w:t> </w:t>
      </w:r>
      <w:r>
        <w:rPr>
          <w:spacing w:val="-1"/>
        </w:rPr>
        <w:t>半导体行业协会拨付的政府补贴资金</w:t>
      </w:r>
      <w:r>
        <w:rPr>
          <w:rFonts w:ascii="Times New Roman" w:hAnsi="Times New Roman" w:cs="Times New Roman" w:eastAsia="Times New Roman" w:hint="default"/>
          <w:spacing w:val="-1"/>
        </w:rPr>
        <w:t>400,000.00</w:t>
      </w:r>
      <w:r>
        <w:rPr>
          <w:spacing w:val="-1"/>
        </w:rPr>
        <w:t>元，</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12</w:t>
      </w:r>
      <w:r>
        <w:rPr>
          <w:spacing w:val="-1"/>
        </w:rPr>
        <w:t>收到中关村管委会政府补贴资金</w:t>
      </w:r>
      <w:r>
        <w:rPr>
          <w:rFonts w:ascii="Times New Roman" w:hAnsi="Times New Roman" w:cs="Times New Roman" w:eastAsia="Times New Roman" w:hint="default"/>
          <w:spacing w:val="-1"/>
        </w:rPr>
        <w:t>1,000,000.00</w:t>
      </w:r>
      <w:r>
        <w:rPr>
          <w:spacing w:val="-1"/>
        </w:rPr>
        <w:t>万元，该政府</w:t>
      </w:r>
      <w:r>
        <w:rPr>
          <w:spacing w:val="-67"/>
        </w:rPr>
        <w:t> </w:t>
      </w:r>
      <w:r>
        <w:rPr>
          <w:spacing w:val="-67"/>
        </w:rPr>
      </w:r>
      <w:r>
        <w:rPr/>
        <w:t>补助属于与收益相关的政府补助，本期全部结转至其他收益；</w:t>
      </w:r>
    </w:p>
    <w:p>
      <w:pPr>
        <w:pStyle w:val="BodyText"/>
        <w:spacing w:line="304" w:lineRule="auto" w:before="31"/>
        <w:ind w:right="1043" w:firstLine="360"/>
        <w:jc w:val="both"/>
      </w:pPr>
      <w:r>
        <w:rPr>
          <w:spacing w:val="-2"/>
        </w:rPr>
        <w:t>注</w:t>
      </w:r>
      <w:r>
        <w:rPr>
          <w:rFonts w:ascii="Times New Roman" w:hAnsi="Times New Roman" w:cs="Times New Roman" w:eastAsia="Times New Roman" w:hint="default"/>
          <w:spacing w:val="-2"/>
        </w:rPr>
        <w:t>(21)</w:t>
      </w:r>
      <w:r>
        <w:rPr>
          <w:spacing w:val="-2"/>
        </w:rPr>
        <w:t>：</w:t>
      </w:r>
      <w:r>
        <w:rPr>
          <w:rFonts w:ascii="Times New Roman" w:hAnsi="Times New Roman" w:cs="Times New Roman" w:eastAsia="Times New Roman" w:hint="default"/>
          <w:spacing w:val="-2"/>
        </w:rPr>
        <w:t>"2012</w:t>
      </w:r>
      <w:r>
        <w:rPr>
          <w:spacing w:val="-2"/>
        </w:rPr>
        <w:t>年度核高基课题</w:t>
      </w:r>
      <w:r>
        <w:rPr>
          <w:rFonts w:ascii="Times New Roman" w:hAnsi="Times New Roman" w:cs="Times New Roman" w:eastAsia="Times New Roman" w:hint="default"/>
          <w:spacing w:val="-2"/>
        </w:rPr>
        <w:t>“</w:t>
      </w:r>
      <w:r>
        <w:rPr>
          <w:spacing w:val="-2"/>
        </w:rPr>
        <w:t>基于国产软硬件的手机解决方案及样机研制</w:t>
      </w:r>
      <w:r>
        <w:rPr>
          <w:rFonts w:ascii="Times New Roman" w:hAnsi="Times New Roman" w:cs="Times New Roman" w:eastAsia="Times New Roman" w:hint="default"/>
          <w:spacing w:val="-2"/>
        </w:rPr>
        <w:t>”</w:t>
      </w:r>
      <w:r>
        <w:rPr>
          <w:spacing w:val="-2"/>
        </w:rPr>
        <w:t>的后补助资金，该课题已验收。课题为联合</w:t>
      </w:r>
      <w:r>
        <w:rPr/>
        <w:t> </w:t>
      </w:r>
      <w:r>
        <w:rPr>
          <w:spacing w:val="-2"/>
        </w:rPr>
        <w:t>承担，需要向联合单位拨付剩余资金，具体拨付金额可参照财务验收专家意见中：该课题为前立项后补助课题，后补助中央</w:t>
      </w:r>
      <w:r>
        <w:rPr>
          <w:spacing w:val="-63"/>
        </w:rPr>
        <w:t> </w:t>
      </w:r>
      <w:r>
        <w:rPr>
          <w:spacing w:val="-63"/>
        </w:rPr>
      </w:r>
      <w:r>
        <w:rPr>
          <w:spacing w:val="-2"/>
        </w:rPr>
        <w:t>财政资金</w:t>
      </w:r>
      <w:r>
        <w:rPr>
          <w:rFonts w:ascii="Times New Roman" w:hAnsi="Times New Roman" w:cs="Times New Roman" w:eastAsia="Times New Roman" w:hint="default"/>
          <w:spacing w:val="-2"/>
        </w:rPr>
        <w:t>4,969,200.00</w:t>
      </w:r>
      <w:r>
        <w:rPr>
          <w:spacing w:val="-2"/>
        </w:rPr>
        <w:t>元未拨付，扣除结余</w:t>
      </w:r>
      <w:r>
        <w:rPr>
          <w:rFonts w:ascii="Times New Roman" w:hAnsi="Times New Roman" w:cs="Times New Roman" w:eastAsia="Times New Roman" w:hint="default"/>
          <w:spacing w:val="-2"/>
        </w:rPr>
        <w:t>304,400.00</w:t>
      </w:r>
      <w:r>
        <w:rPr>
          <w:spacing w:val="-2"/>
        </w:rPr>
        <w:t>元，建议拨付后补助中央财政资金</w:t>
      </w:r>
      <w:r>
        <w:rPr>
          <w:rFonts w:ascii="Times New Roman" w:hAnsi="Times New Roman" w:cs="Times New Roman" w:eastAsia="Times New Roman" w:hint="default"/>
          <w:spacing w:val="-2"/>
        </w:rPr>
        <w:t>4,664,800.00</w:t>
      </w:r>
      <w:r>
        <w:rPr>
          <w:spacing w:val="-2"/>
        </w:rPr>
        <w:t>元，其中北京君正集成电</w:t>
      </w:r>
      <w:r>
        <w:rPr>
          <w:spacing w:val="-33"/>
        </w:rPr>
        <w:t> </w:t>
      </w:r>
      <w:r>
        <w:rPr>
          <w:spacing w:val="-33"/>
        </w:rPr>
      </w:r>
      <w:r>
        <w:rPr/>
        <w:t>路股份有限公司</w:t>
      </w:r>
      <w:r>
        <w:rPr>
          <w:rFonts w:ascii="Times New Roman" w:hAnsi="Times New Roman" w:cs="Times New Roman" w:eastAsia="Times New Roman" w:hint="default"/>
        </w:rPr>
        <w:t>2,824,000.00</w:t>
      </w:r>
      <w:r>
        <w:rPr/>
        <w:t>元，</w:t>
      </w:r>
      <w:r>
        <w:rPr>
          <w:rFonts w:ascii="Times New Roman" w:hAnsi="Times New Roman" w:cs="Times New Roman" w:eastAsia="Times New Roman" w:hint="default"/>
        </w:rPr>
        <w:t>19</w:t>
      </w:r>
      <w:r>
        <w:rPr/>
        <w:t>年</w:t>
      </w:r>
      <w:r>
        <w:rPr>
          <w:rFonts w:ascii="Times New Roman" w:hAnsi="Times New Roman" w:cs="Times New Roman" w:eastAsia="Times New Roman" w:hint="default"/>
        </w:rPr>
        <w:t>5</w:t>
      </w:r>
      <w:r>
        <w:rPr/>
        <w:t>月公司收到</w:t>
      </w:r>
      <w:r>
        <w:rPr>
          <w:rFonts w:ascii="Times New Roman" w:hAnsi="Times New Roman" w:cs="Times New Roman" w:eastAsia="Times New Roman" w:hint="default"/>
        </w:rPr>
        <w:t>4,664,800.00</w:t>
      </w:r>
      <w:r>
        <w:rPr/>
        <w:t>元，支付项目共享单位北京凯思昊鹏软件工程技术有限公司</w:t>
      </w:r>
      <w:r>
        <w:rPr>
          <w:spacing w:val="-17"/>
        </w:rPr>
        <w:t> </w:t>
      </w:r>
      <w:r>
        <w:rPr>
          <w:spacing w:val="-17"/>
        </w:rPr>
      </w:r>
      <w:r>
        <w:rPr>
          <w:rFonts w:ascii="Times New Roman" w:hAnsi="Times New Roman" w:cs="Times New Roman" w:eastAsia="Times New Roman" w:hint="default"/>
        </w:rPr>
        <w:t>1,045,700.00</w:t>
      </w:r>
      <w:r>
        <w:rPr/>
        <w:t>元，惠州</w:t>
      </w:r>
      <w:r>
        <w:rPr>
          <w:rFonts w:ascii="Times New Roman" w:hAnsi="Times New Roman" w:cs="Times New Roman" w:eastAsia="Times New Roman" w:hint="default"/>
        </w:rPr>
        <w:t>TCL</w:t>
      </w:r>
      <w:r>
        <w:rPr/>
        <w:t>通信有限公司</w:t>
      </w:r>
      <w:r>
        <w:rPr>
          <w:rFonts w:ascii="Times New Roman" w:hAnsi="Times New Roman" w:cs="Times New Roman" w:eastAsia="Times New Roman" w:hint="default"/>
        </w:rPr>
        <w:t>795,100.00</w:t>
      </w:r>
      <w:r>
        <w:rPr/>
        <w:t>元</w:t>
      </w:r>
      <w:r>
        <w:rPr>
          <w:rFonts w:ascii="Times New Roman" w:hAnsi="Times New Roman" w:cs="Times New Roman" w:eastAsia="Times New Roman" w:hint="default"/>
        </w:rPr>
        <w:t>"</w:t>
      </w:r>
      <w:r>
        <w:rPr/>
        <w:t>，该政府补助属于与收益相关的政府补助，本期全部结转至其他收益。</w:t>
      </w:r>
    </w:p>
    <w:p>
      <w:pPr>
        <w:spacing w:line="240" w:lineRule="auto" w:before="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t>是否已执行新收入准则</w:t>
      </w:r>
    </w:p>
    <w:p>
      <w:pPr>
        <w:pStyle w:val="BodyText"/>
        <w:spacing w:line="240" w:lineRule="auto" w:before="115"/>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53</w:t>
      </w:r>
      <w:r>
        <w:rPr/>
        <w:t>、股本</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85"/>
        <w:gridCol w:w="1208"/>
      </w:tblGrid>
      <w:tr>
        <w:trPr>
          <w:trHeight w:val="205"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left="27" w:right="0"/>
              <w:jc w:val="left"/>
              <w:rPr>
                <w:rFonts w:ascii="Times New Roman" w:hAnsi="Times New Roman" w:cs="Times New Roman" w:eastAsia="Times New Roman" w:hint="default"/>
                <w:sz w:val="18"/>
                <w:szCs w:val="18"/>
              </w:rPr>
            </w:pPr>
            <w:r>
              <w:rPr>
                <w:rFonts w:ascii="Times New Roman"/>
                <w:sz w:val="18"/>
              </w:rPr>
              <w:t>200,664,195.00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18" w:right="0"/>
              <w:jc w:val="left"/>
              <w:rPr>
                <w:rFonts w:ascii="Times New Roman" w:hAnsi="Times New Roman" w:cs="Times New Roman" w:eastAsia="Times New Roman" w:hint="default"/>
                <w:sz w:val="18"/>
                <w:szCs w:val="18"/>
              </w:rPr>
            </w:pPr>
            <w:r>
              <w:rPr>
                <w:rFonts w:ascii="Times New Roman"/>
                <w:sz w:val="18"/>
              </w:rPr>
              <w:t>1,427,898.00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18" w:right="0"/>
              <w:jc w:val="left"/>
              <w:rPr>
                <w:rFonts w:ascii="Times New Roman" w:hAnsi="Times New Roman" w:cs="Times New Roman" w:eastAsia="Times New Roman" w:hint="default"/>
                <w:sz w:val="18"/>
                <w:szCs w:val="18"/>
              </w:rPr>
            </w:pPr>
            <w:r>
              <w:rPr>
                <w:rFonts w:ascii="Times New Roman"/>
                <w:sz w:val="18"/>
              </w:rPr>
              <w:t>1,427,898.00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9" w:right="0"/>
              <w:jc w:val="left"/>
              <w:rPr>
                <w:rFonts w:ascii="Times New Roman" w:hAnsi="Times New Roman" w:cs="Times New Roman" w:eastAsia="Times New Roman" w:hint="default"/>
                <w:sz w:val="18"/>
                <w:szCs w:val="18"/>
              </w:rPr>
            </w:pPr>
            <w:r>
              <w:rPr>
                <w:rFonts w:ascii="Times New Roman"/>
                <w:sz w:val="18"/>
              </w:rPr>
              <w:t>202,092,093.00</w:t>
            </w:r>
          </w:p>
        </w:tc>
      </w:tr>
    </w:tbl>
    <w:p>
      <w:pPr>
        <w:pStyle w:val="BodyText"/>
        <w:spacing w:line="240" w:lineRule="auto" w:before="49"/>
        <w:ind w:right="1133"/>
        <w:jc w:val="left"/>
      </w:pPr>
      <w:r>
        <w:rPr/>
        <w:t>其他说明：</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00" w:lineRule="auto" w:before="44"/>
        <w:ind w:right="1118"/>
        <w:jc w:val="left"/>
      </w:pPr>
      <w:r>
        <w:rPr>
          <w:spacing w:val="-1"/>
        </w:rPr>
        <w:t>注（</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13</w:t>
      </w:r>
      <w:r>
        <w:rPr>
          <w:spacing w:val="-1"/>
        </w:rPr>
        <w:t>日，本公司授予</w:t>
      </w:r>
      <w:r>
        <w:rPr>
          <w:rFonts w:ascii="Times New Roman" w:hAnsi="Times New Roman" w:cs="Times New Roman" w:eastAsia="Times New Roman" w:hint="default"/>
          <w:spacing w:val="-1"/>
        </w:rPr>
        <w:t>101</w:t>
      </w:r>
      <w:r>
        <w:rPr>
          <w:spacing w:val="-1"/>
        </w:rPr>
        <w:t>名公司员工</w:t>
      </w:r>
      <w:r>
        <w:rPr>
          <w:rFonts w:ascii="Times New Roman" w:hAnsi="Times New Roman" w:cs="Times New Roman" w:eastAsia="Times New Roman" w:hint="default"/>
          <w:spacing w:val="-1"/>
        </w:rPr>
        <w:t>2,610,000.00</w:t>
      </w:r>
      <w:r>
        <w:rPr>
          <w:spacing w:val="-1"/>
        </w:rPr>
        <w:t>份股票期权，授予的股票期权自授予日起满</w:t>
      </w:r>
      <w:r>
        <w:rPr>
          <w:rFonts w:ascii="Times New Roman" w:hAnsi="Times New Roman" w:cs="Times New Roman" w:eastAsia="Times New Roman" w:hint="default"/>
          <w:spacing w:val="-1"/>
        </w:rPr>
        <w:t>12</w:t>
      </w:r>
      <w:r>
        <w:rPr>
          <w:spacing w:val="-1"/>
        </w:rPr>
        <w:t>个月后在未</w:t>
      </w:r>
      <w:r>
        <w:rPr>
          <w:spacing w:val="-71"/>
        </w:rPr>
        <w:t> </w:t>
      </w:r>
      <w:r>
        <w:rPr>
          <w:spacing w:val="-71"/>
        </w:rPr>
      </w:r>
      <w:r>
        <w:rPr/>
        <w:t>来</w:t>
      </w:r>
      <w:r>
        <w:rPr>
          <w:rFonts w:ascii="Times New Roman" w:hAnsi="Times New Roman" w:cs="Times New Roman" w:eastAsia="Times New Roman" w:hint="default"/>
        </w:rPr>
        <w:t>36</w:t>
      </w:r>
      <w:r>
        <w:rPr/>
        <w:t>个月内分三期行权。</w:t>
      </w:r>
      <w:r>
        <w:rPr>
          <w:rFonts w:ascii="Times New Roman" w:hAnsi="Times New Roman" w:cs="Times New Roman" w:eastAsia="Times New Roman" w:hint="default"/>
        </w:rPr>
        <w:t>2019</w:t>
      </w:r>
      <w:r>
        <w:rPr/>
        <w:t>年度被授予员工共行权</w:t>
      </w:r>
      <w:r>
        <w:rPr>
          <w:rFonts w:ascii="Times New Roman" w:hAnsi="Times New Roman" w:cs="Times New Roman" w:eastAsia="Times New Roman" w:hint="default"/>
        </w:rPr>
        <w:t>1,427,898.00</w:t>
      </w:r>
      <w:r>
        <w:rPr/>
        <w:t>股。</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否</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725,578,664.01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35,650,261.09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761,228,925.10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7,237,604.09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534,400.00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7,475,739.70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296,264.39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732,816,268.10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36,184,661.09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7,475,739.70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761,525,189.49</w:t>
            </w:r>
          </w:p>
        </w:tc>
      </w:tr>
    </w:tbl>
    <w:p>
      <w:pPr>
        <w:pStyle w:val="BodyText"/>
        <w:spacing w:line="240" w:lineRule="auto" w:before="49"/>
        <w:ind w:right="1133"/>
        <w:jc w:val="left"/>
      </w:pPr>
      <w:r>
        <w:rPr/>
        <w:t>其他说明，包括本期增减变动情况、变动原因说明：</w:t>
      </w:r>
    </w:p>
    <w:p>
      <w:pPr>
        <w:pStyle w:val="BodyText"/>
        <w:spacing w:line="300" w:lineRule="auto" w:before="115"/>
        <w:ind w:right="1124"/>
        <w:jc w:val="left"/>
      </w:pPr>
      <w:r>
        <w:rPr/>
        <w:t>注（</w:t>
      </w:r>
      <w:r>
        <w:rPr>
          <w:rFonts w:ascii="Times New Roman" w:hAnsi="Times New Roman" w:cs="Times New Roman" w:eastAsia="Times New Roman" w:hint="default"/>
        </w:rPr>
        <w:t>1</w:t>
      </w:r>
      <w:r>
        <w:rPr/>
        <w:t>）：本期增加的股本溢价系向激励对象授予的股票期权行权所致； 注（</w:t>
      </w:r>
      <w:r>
        <w:rPr>
          <w:rFonts w:ascii="Times New Roman" w:hAnsi="Times New Roman" w:cs="Times New Roman" w:eastAsia="Times New Roman" w:hint="default"/>
        </w:rPr>
        <w:t>2</w:t>
      </w:r>
      <w:r>
        <w:rPr/>
        <w:t>）：本期其他资本公积增加系股权激励计划发行的股票期权在等待期内确认的管理费用和其他资本公积； 注（</w:t>
      </w:r>
      <w:r>
        <w:rPr>
          <w:rFonts w:ascii="Times New Roman" w:hAnsi="Times New Roman" w:cs="Times New Roman" w:eastAsia="Times New Roman" w:hint="default"/>
        </w:rPr>
        <w:t>3</w:t>
      </w:r>
      <w:r>
        <w:rPr/>
        <w:t>）：本期其他资本公积减少系结转股权激励计划发行的股票期权已行权部分在等待期内确认的其他资本公积转至股本 溢价。</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44"/>
        <w:gridCol w:w="975"/>
        <w:gridCol w:w="852"/>
        <w:gridCol w:w="1052"/>
        <w:gridCol w:w="852"/>
        <w:gridCol w:w="852"/>
        <w:gridCol w:w="853"/>
        <w:gridCol w:w="852"/>
        <w:gridCol w:w="727"/>
      </w:tblGrid>
      <w:tr>
        <w:trPr>
          <w:trHeight w:val="396" w:hRule="exact"/>
        </w:trPr>
        <w:tc>
          <w:tcPr>
            <w:tcW w:w="2544" w:type="dxa"/>
            <w:vMerge w:val="restart"/>
            <w:tcBorders>
              <w:top w:val="single" w:sz="4" w:space="0" w:color="000000"/>
              <w:left w:val="single" w:sz="4" w:space="0" w:color="000000"/>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shd w:val="clear" w:color="auto" w:fill="D2D2D2"/>
          </w:tcPr>
          <w:p>
            <w:pPr/>
          </w:p>
        </w:tc>
        <w:tc>
          <w:tcPr>
            <w:tcW w:w="531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7" w:type="dxa"/>
            <w:vMerge w:val="restart"/>
            <w:tcBorders>
              <w:top w:val="single" w:sz="4" w:space="0" w:color="000000"/>
              <w:left w:val="single" w:sz="4" w:space="0" w:color="000000"/>
              <w:right w:val="single" w:sz="4" w:space="0" w:color="000000"/>
            </w:tcBorders>
            <w:shd w:val="clear" w:color="auto" w:fill="D2D2D2"/>
          </w:tcPr>
          <w:p>
            <w:pPr/>
          </w:p>
        </w:tc>
      </w:tr>
      <w:tr>
        <w:trPr>
          <w:trHeight w:val="168"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62"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853" w:type="dxa"/>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45"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single" w:sz="18" w:space="0" w:color="FFFFFF"/>
              <w:right w:val="single" w:sz="4" w:space="0" w:color="000000"/>
            </w:tcBorders>
            <w:shd w:val="clear" w:color="auto" w:fill="D2D2D2"/>
          </w:tcPr>
          <w:p>
            <w:pPr/>
          </w:p>
        </w:tc>
        <w:tc>
          <w:tcPr>
            <w:tcW w:w="727" w:type="dxa"/>
            <w:vMerge/>
            <w:tcBorders>
              <w:left w:val="single" w:sz="4" w:space="0" w:color="000000"/>
              <w:bottom w:val="single" w:sz="18" w:space="0" w:color="FFFFFF"/>
              <w:right w:val="single" w:sz="4" w:space="0" w:color="000000"/>
            </w:tcBorders>
            <w:shd w:val="clear" w:color="auto" w:fill="D2D2D2"/>
          </w:tcPr>
          <w:p>
            <w:pPr/>
          </w:p>
        </w:tc>
      </w:tr>
      <w:tr>
        <w:trPr>
          <w:trHeight w:val="145" w:hRule="exact"/>
        </w:trPr>
        <w:tc>
          <w:tcPr>
            <w:tcW w:w="2544" w:type="dxa"/>
            <w:vMerge/>
            <w:tcBorders>
              <w:left w:val="single" w:sz="4" w:space="0" w:color="000000"/>
              <w:bottom w:val="nil" w:sz="6" w:space="0" w:color="auto"/>
              <w:right w:val="single" w:sz="4" w:space="0" w:color="000000"/>
            </w:tcBorders>
            <w:shd w:val="clear" w:color="auto" w:fill="D2D2D2"/>
          </w:tcPr>
          <w:p>
            <w:pPr/>
          </w:p>
        </w:tc>
        <w:tc>
          <w:tcPr>
            <w:tcW w:w="975"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62" w:right="59"/>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single" w:sz="18" w:space="0" w:color="FFFFFF"/>
              <w:left w:val="single" w:sz="4" w:space="0" w:color="000000"/>
              <w:right w:val="single" w:sz="4" w:space="0" w:color="000000"/>
            </w:tcBorders>
            <w:shd w:val="clear" w:color="auto" w:fill="D2D2D2"/>
          </w:tcPr>
          <w:p>
            <w:pPr>
              <w:pStyle w:val="TableParagraph"/>
              <w:spacing w:line="316" w:lineRule="auto" w:before="37"/>
              <w:ind w:left="62" w:right="5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27" w:type="dxa"/>
            <w:vMerge w:val="restart"/>
            <w:tcBorders>
              <w:top w:val="single" w:sz="18" w:space="0" w:color="FFFFFF"/>
              <w:left w:val="single" w:sz="4" w:space="0" w:color="000000"/>
              <w:right w:val="single" w:sz="4" w:space="0" w:color="000000"/>
            </w:tcBorders>
            <w:shd w:val="clear" w:color="auto" w:fill="D2D2D2"/>
          </w:tcPr>
          <w:p>
            <w:pPr>
              <w:pStyle w:val="TableParagraph"/>
              <w:spacing w:line="319" w:lineRule="auto"/>
              <w:ind w:left="268" w:right="86"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369" w:hRule="exact"/>
        </w:trPr>
        <w:tc>
          <w:tcPr>
            <w:tcW w:w="2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2"/>
              <w:ind w:left="151" w:right="59"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2"/>
              <w:ind w:left="62" w:right="5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52"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56" w:hRule="exact"/>
        </w:trPr>
        <w:tc>
          <w:tcPr>
            <w:tcW w:w="2544" w:type="dxa"/>
            <w:vMerge w:val="restart"/>
            <w:tcBorders>
              <w:top w:val="nil" w:sz="6" w:space="0" w:color="auto"/>
              <w:left w:val="single" w:sz="4" w:space="0" w:color="000000"/>
              <w:right w:val="single" w:sz="4" w:space="0" w:color="000000"/>
            </w:tcBorders>
            <w:shd w:val="clear" w:color="auto" w:fill="D2D2D2"/>
          </w:tcPr>
          <w:p>
            <w:pPr/>
          </w:p>
        </w:tc>
        <w:tc>
          <w:tcPr>
            <w:tcW w:w="975"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27"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27"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853"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56"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61" w:hRule="exact"/>
        </w:trPr>
        <w:tc>
          <w:tcPr>
            <w:tcW w:w="2544"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合收益</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-7,737,528.4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12,624,28</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9.27</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12,624,28</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9.27</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4,886,76</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0.81</w:t>
            </w:r>
          </w:p>
        </w:tc>
      </w:tr>
      <w:tr>
        <w:trPr>
          <w:trHeight w:val="715" w:hRule="exact"/>
        </w:trPr>
        <w:tc>
          <w:tcPr>
            <w:tcW w:w="2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0" w:firstLine="540"/>
              <w:jc w:val="left"/>
              <w:rPr>
                <w:rFonts w:ascii="宋体" w:hAnsi="宋体" w:cs="宋体" w:eastAsia="宋体" w:hint="default"/>
                <w:sz w:val="18"/>
                <w:szCs w:val="18"/>
              </w:rPr>
            </w:pPr>
            <w:r>
              <w:rPr>
                <w:rFonts w:ascii="宋体" w:hAnsi="宋体" w:cs="宋体" w:eastAsia="宋体" w:hint="default"/>
                <w:sz w:val="18"/>
                <w:szCs w:val="18"/>
              </w:rPr>
              <w:t>其他权益工具投资公允 价值变动</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-9,102,974.6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14,852,10</w:t>
            </w:r>
          </w:p>
          <w:p>
            <w:pPr>
              <w:pStyle w:val="TableParagraph"/>
              <w:spacing w:line="240" w:lineRule="auto" w:before="102"/>
              <w:ind w:left="506" w:right="0"/>
              <w:jc w:val="left"/>
              <w:rPr>
                <w:rFonts w:ascii="Times New Roman" w:hAnsi="Times New Roman" w:cs="Times New Roman" w:eastAsia="Times New Roman" w:hint="default"/>
                <w:sz w:val="18"/>
                <w:szCs w:val="18"/>
              </w:rPr>
            </w:pPr>
            <w:r>
              <w:rPr>
                <w:rFonts w:ascii="Times New Roman"/>
                <w:sz w:val="18"/>
              </w:rPr>
              <w:t>5.02</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14,852,10</w:t>
            </w:r>
          </w:p>
          <w:p>
            <w:pPr>
              <w:pStyle w:val="TableParagraph"/>
              <w:spacing w:line="240" w:lineRule="auto" w:before="102"/>
              <w:ind w:left="506" w:right="0"/>
              <w:jc w:val="left"/>
              <w:rPr>
                <w:rFonts w:ascii="Times New Roman" w:hAnsi="Times New Roman" w:cs="Times New Roman" w:eastAsia="Times New Roman" w:hint="default"/>
                <w:sz w:val="18"/>
                <w:szCs w:val="18"/>
              </w:rPr>
            </w:pPr>
            <w:r>
              <w:rPr>
                <w:rFonts w:ascii="Times New Roman"/>
                <w:sz w:val="18"/>
              </w:rPr>
              <w:t>5.02</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5,749,13</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0.36</w:t>
            </w:r>
          </w:p>
        </w:tc>
      </w:tr>
      <w:tr>
        <w:trPr>
          <w:trHeight w:val="713" w:hRule="exact"/>
        </w:trPr>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4" w:right="0"/>
              <w:jc w:val="left"/>
              <w:rPr>
                <w:rFonts w:ascii="Times New Roman" w:hAnsi="Times New Roman" w:cs="Times New Roman" w:eastAsia="Times New Roman" w:hint="default"/>
                <w:sz w:val="18"/>
                <w:szCs w:val="18"/>
              </w:rPr>
            </w:pPr>
            <w:r>
              <w:rPr>
                <w:rFonts w:ascii="Times New Roman"/>
                <w:sz w:val="18"/>
              </w:rPr>
              <w:t>1,365,446</w:t>
            </w:r>
          </w:p>
          <w:p>
            <w:pPr>
              <w:pStyle w:val="TableParagraph"/>
              <w:spacing w:line="240" w:lineRule="auto" w:before="105"/>
              <w:ind w:left="639" w:right="0"/>
              <w:jc w:val="left"/>
              <w:rPr>
                <w:rFonts w:ascii="Times New Roman" w:hAnsi="Times New Roman" w:cs="Times New Roman" w:eastAsia="Times New Roman" w:hint="default"/>
                <w:sz w:val="18"/>
                <w:szCs w:val="18"/>
              </w:rPr>
            </w:pPr>
            <w:r>
              <w:rPr>
                <w:rFonts w:ascii="Times New Roman"/>
                <w:sz w:val="18"/>
              </w:rPr>
              <w:t>.20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-2,227,8</w:t>
            </w:r>
          </w:p>
          <w:p>
            <w:pPr>
              <w:pStyle w:val="TableParagraph"/>
              <w:spacing w:line="240" w:lineRule="auto" w:before="105"/>
              <w:ind w:left="236" w:right="0"/>
              <w:jc w:val="center"/>
              <w:rPr>
                <w:rFonts w:ascii="Times New Roman" w:hAnsi="Times New Roman" w:cs="Times New Roman" w:eastAsia="Times New Roman" w:hint="default"/>
                <w:sz w:val="18"/>
                <w:szCs w:val="18"/>
              </w:rPr>
            </w:pPr>
            <w:r>
              <w:rPr>
                <w:rFonts w:ascii="Times New Roman"/>
                <w:sz w:val="18"/>
              </w:rPr>
              <w:t>15.75</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-2,227,8</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15.75</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1" w:right="0"/>
              <w:jc w:val="left"/>
              <w:rPr>
                <w:rFonts w:ascii="Times New Roman" w:hAnsi="Times New Roman" w:cs="Times New Roman" w:eastAsia="Times New Roman" w:hint="default"/>
                <w:sz w:val="18"/>
                <w:szCs w:val="18"/>
              </w:rPr>
            </w:pPr>
            <w:r>
              <w:rPr>
                <w:rFonts w:ascii="Times New Roman"/>
                <w:sz w:val="18"/>
              </w:rPr>
              <w:t>-862,3</w:t>
            </w:r>
          </w:p>
          <w:p>
            <w:pPr>
              <w:pStyle w:val="TableParagraph"/>
              <w:spacing w:line="240" w:lineRule="auto" w:before="105"/>
              <w:ind w:left="211" w:right="0"/>
              <w:jc w:val="left"/>
              <w:rPr>
                <w:rFonts w:ascii="Times New Roman" w:hAnsi="Times New Roman" w:cs="Times New Roman" w:eastAsia="Times New Roman" w:hint="default"/>
                <w:sz w:val="18"/>
                <w:szCs w:val="18"/>
              </w:rPr>
            </w:pPr>
            <w:r>
              <w:rPr>
                <w:rFonts w:ascii="Times New Roman"/>
                <w:sz w:val="18"/>
              </w:rPr>
              <w:t>69.55</w:t>
            </w:r>
          </w:p>
        </w:tc>
      </w:tr>
      <w:tr>
        <w:trPr>
          <w:trHeight w:val="716" w:hRule="exact"/>
        </w:trPr>
        <w:tc>
          <w:tcPr>
            <w:tcW w:w="2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20"/>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收益</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-835,719.37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12,352.56</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12,352.56</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8" w:right="0"/>
              <w:jc w:val="left"/>
              <w:rPr>
                <w:rFonts w:ascii="Times New Roman" w:hAnsi="Times New Roman" w:cs="Times New Roman" w:eastAsia="Times New Roman" w:hint="default"/>
                <w:sz w:val="18"/>
                <w:szCs w:val="18"/>
              </w:rPr>
            </w:pPr>
            <w:r>
              <w:rPr>
                <w:rFonts w:ascii="Times New Roman"/>
                <w:sz w:val="18"/>
              </w:rPr>
              <w:t>-823,366</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.81</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555"/>
        <w:gridCol w:w="975"/>
        <w:gridCol w:w="852"/>
        <w:gridCol w:w="1052"/>
        <w:gridCol w:w="852"/>
        <w:gridCol w:w="852"/>
        <w:gridCol w:w="853"/>
        <w:gridCol w:w="852"/>
        <w:gridCol w:w="727"/>
      </w:tblGrid>
      <w:tr>
        <w:trPr>
          <w:trHeight w:val="713" w:hRule="exact"/>
        </w:trPr>
        <w:tc>
          <w:tcPr>
            <w:tcW w:w="2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-835,719.37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12,352.56</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12,352.56</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-823,366</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.81</w:t>
            </w:r>
          </w:p>
        </w:tc>
      </w:tr>
      <w:tr>
        <w:trPr>
          <w:trHeight w:val="715" w:hRule="exact"/>
        </w:trPr>
        <w:tc>
          <w:tcPr>
            <w:tcW w:w="2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-8,573,247.8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12,636,64</w:t>
            </w:r>
          </w:p>
          <w:p>
            <w:pPr>
              <w:pStyle w:val="TableParagraph"/>
              <w:spacing w:line="240" w:lineRule="auto" w:before="102"/>
              <w:ind w:left="506" w:right="0"/>
              <w:jc w:val="left"/>
              <w:rPr>
                <w:rFonts w:ascii="Times New Roman" w:hAnsi="Times New Roman" w:cs="Times New Roman" w:eastAsia="Times New Roman" w:hint="default"/>
                <w:sz w:val="18"/>
                <w:szCs w:val="18"/>
              </w:rPr>
            </w:pPr>
            <w:r>
              <w:rPr>
                <w:rFonts w:ascii="Times New Roman"/>
                <w:sz w:val="18"/>
              </w:rPr>
              <w:t>1.83</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12,636,64</w:t>
            </w:r>
          </w:p>
          <w:p>
            <w:pPr>
              <w:pStyle w:val="TableParagraph"/>
              <w:spacing w:line="240" w:lineRule="auto" w:before="102"/>
              <w:ind w:left="506" w:right="0"/>
              <w:jc w:val="left"/>
              <w:rPr>
                <w:rFonts w:ascii="Times New Roman" w:hAnsi="Times New Roman" w:cs="Times New Roman" w:eastAsia="Times New Roman" w:hint="default"/>
                <w:sz w:val="18"/>
                <w:szCs w:val="18"/>
              </w:rPr>
            </w:pPr>
            <w:r>
              <w:rPr>
                <w:rFonts w:ascii="Times New Roman"/>
                <w:sz w:val="18"/>
              </w:rPr>
              <w:t>1.83</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4,063,39</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4.00</w:t>
            </w:r>
          </w:p>
        </w:tc>
      </w:tr>
    </w:tbl>
    <w:p>
      <w:pPr>
        <w:pStyle w:val="BodyText"/>
        <w:spacing w:line="240" w:lineRule="auto" w:before="49"/>
        <w:ind w:right="1133"/>
        <w:jc w:val="left"/>
      </w:pPr>
      <w:r>
        <w:rPr/>
        <w:t>其他说明，包括对现金流量套期损益的有效部分转为被套期项目初始确认金额调整：无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36,602,463.74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2,264,333.04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38,866,796.78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36,602,463.74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2,264,333.04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38,866,796.78</w:t>
            </w:r>
          </w:p>
        </w:tc>
      </w:tr>
    </w:tbl>
    <w:p>
      <w:pPr>
        <w:pStyle w:val="BodyText"/>
        <w:spacing w:line="240" w:lineRule="auto" w:before="49"/>
        <w:ind w:right="1133"/>
        <w:jc w:val="left"/>
      </w:pPr>
      <w:r>
        <w:rPr/>
        <w:t>盈余公积说明，包括本期增减变动情况、变动原因说明：无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173,262,378.49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165,616,219.92</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5,194,862.07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178,457,240.56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165,616,219.92</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58,659,727.20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13,515,446.01</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2,264,333.04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2,528,087.49</w:t>
            </w:r>
          </w:p>
        </w:tc>
      </w:tr>
      <w:tr>
        <w:trPr>
          <w:trHeight w:val="404"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6,036,298.68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3,341,199.95</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228,816,336.04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173,262,378.49</w:t>
            </w:r>
          </w:p>
        </w:tc>
      </w:tr>
    </w:tbl>
    <w:p>
      <w:pPr>
        <w:pStyle w:val="BodyText"/>
        <w:spacing w:line="240" w:lineRule="auto" w:before="49"/>
        <w:ind w:right="1133"/>
        <w:jc w:val="left"/>
      </w:pPr>
      <w:r>
        <w:rPr/>
        <w:t>调整期初未分配利润明细：</w:t>
      </w:r>
    </w:p>
    <w:p>
      <w:pPr>
        <w:pStyle w:val="BodyText"/>
        <w:spacing w:line="240" w:lineRule="auto" w:before="117"/>
        <w:ind w:right="1133"/>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1133"/>
        <w:jc w:val="left"/>
      </w:pPr>
      <w:r>
        <w:rPr>
          <w:rFonts w:ascii="Times New Roman" w:hAnsi="Times New Roman" w:cs="Times New Roman" w:eastAsia="Times New Roman" w:hint="default"/>
        </w:rPr>
        <w:t>2)</w:t>
      </w:r>
      <w:r>
        <w:rPr/>
        <w:t>、由于会计政策变更，影响期初未分配利润</w:t>
      </w:r>
      <w:r>
        <w:rPr>
          <w:spacing w:val="-47"/>
        </w:rPr>
        <w:t> </w:t>
      </w:r>
      <w:r>
        <w:rPr>
          <w:rFonts w:ascii="Times New Roman" w:hAnsi="Times New Roman" w:cs="Times New Roman" w:eastAsia="Times New Roman" w:hint="default"/>
        </w:rPr>
        <w:t>5,194,862.07</w:t>
      </w:r>
      <w:r>
        <w:rPr>
          <w:rFonts w:ascii="Times New Roman" w:hAnsi="Times New Roman" w:cs="Times New Roman" w:eastAsia="Times New Roman" w:hint="default"/>
          <w:spacing w:val="-3"/>
        </w:rPr>
        <w:t> </w:t>
      </w:r>
      <w:r>
        <w:rPr/>
        <w:t>元。</w:t>
      </w:r>
    </w:p>
    <w:p>
      <w:pPr>
        <w:pStyle w:val="BodyText"/>
        <w:spacing w:line="240" w:lineRule="auto" w:before="103"/>
        <w:ind w:right="1133"/>
        <w:jc w:val="left"/>
      </w:pPr>
      <w:r>
        <w:rPr>
          <w:rFonts w:ascii="Times New Roman" w:hAnsi="Times New Roman" w:cs="Times New Roman" w:eastAsia="Times New Roman" w:hint="default"/>
        </w:rPr>
        <w:t>3)</w:t>
      </w:r>
      <w:r>
        <w:rPr/>
        <w:t>、由于重大会计差错更正，影响期初未分配利润</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33"/>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1133"/>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7"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329,134,967.62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203,716,283.45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249,006,928.56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155,445,588.71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10,216,192.71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655,124.31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10,663,182.64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711,948.87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339,351,160.33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204,371,407.76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259,670,111.20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156,157,537.58</w:t>
            </w:r>
          </w:p>
        </w:tc>
      </w:tr>
    </w:tbl>
    <w:p>
      <w:pPr>
        <w:pStyle w:val="BodyText"/>
        <w:spacing w:line="240" w:lineRule="auto" w:before="49"/>
        <w:ind w:right="1133"/>
        <w:jc w:val="left"/>
      </w:pPr>
      <w:r>
        <w:rPr/>
        <w:t>是否已执行新收入准则</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62</w:t>
      </w:r>
      <w:r>
        <w:rPr/>
        <w:t>、税金及附加</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704,657.16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900,500.36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301,995.92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385,928.71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1,619,362.09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1,732,746.21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115,616.84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146,578.88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3,160.00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301,058.82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231,933.90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201,330.61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257,285.81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53,132.42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42,003.67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残保金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461,000.22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544,583.18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垃圾处理费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59,100.60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54,766.41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3,820,414.68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4,297,137.13</w:t>
            </w:r>
          </w:p>
        </w:tc>
      </w:tr>
    </w:tbl>
    <w:p>
      <w:pPr>
        <w:pStyle w:val="BodyText"/>
        <w:spacing w:line="240" w:lineRule="auto" w:before="49"/>
        <w:ind w:right="113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市场宣传推广费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4,118,441.39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5,768,988.98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5,393,898.37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4,551,123.53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156,766.39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231,021.39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406,858.17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126,604.87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其他销售费用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3,266.00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10,079,230.32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10,677,738.77</w:t>
            </w:r>
          </w:p>
        </w:tc>
      </w:tr>
    </w:tbl>
    <w:p>
      <w:pPr>
        <w:pStyle w:val="BodyText"/>
        <w:spacing w:line="240" w:lineRule="auto" w:before="49"/>
        <w:ind w:right="1133"/>
        <w:jc w:val="left"/>
      </w:pPr>
      <w:r>
        <w:rPr/>
        <w:t>其他说明：无</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397,957.25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414,188.50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514,931.03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848,271.82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1,120,427.24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1,074,349.85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14,856,721.36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13,688,955.33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1,035,561.48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1,482,235.79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房租及物业费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3,935,047.99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4,947,150.48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43,224,515.03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4,631,315.57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2,081,666.85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1,431,536.47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期权成本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1,888,000.00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72,228.89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322,717.03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67,773,457.12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30,728,720.84</w:t>
            </w:r>
          </w:p>
        </w:tc>
      </w:tr>
    </w:tbl>
    <w:p>
      <w:pPr>
        <w:pStyle w:val="BodyText"/>
        <w:spacing w:line="240" w:lineRule="auto" w:before="49"/>
        <w:ind w:right="113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65</w:t>
      </w:r>
      <w:r>
        <w:rPr/>
        <w:t>、研发费用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47,892,765.21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44,500,608.02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2,017,492.00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1,870,182.98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技术授权费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9,688,626.20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5,724,606.38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材料及试制费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437,419.89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20,259,158.32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1,979,324.00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1,609,824.39</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62,015,627.30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73,964,380.09</w:t>
            </w:r>
          </w:p>
        </w:tc>
      </w:tr>
    </w:tbl>
    <w:p>
      <w:pPr>
        <w:pStyle w:val="BodyText"/>
        <w:spacing w:line="240" w:lineRule="auto" w:before="49"/>
        <w:ind w:right="113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66</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1,455,249.91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671,537.55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汇兑净损益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-338,673.66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-301,513.87</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135,627.62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119,790.75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2,272.16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7,989.61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-1,656,023.79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-845,271.06</w:t>
            </w:r>
          </w:p>
        </w:tc>
      </w:tr>
    </w:tbl>
    <w:p>
      <w:pPr>
        <w:pStyle w:val="BodyText"/>
        <w:spacing w:line="240" w:lineRule="auto" w:before="49"/>
        <w:ind w:right="113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67</w:t>
      </w:r>
      <w:r>
        <w:rPr/>
        <w:t>、其他收益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16,228.44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313,831.24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39,662,007.34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15,391,647.22</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39,678,235.78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15,705,478.46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-186,699.65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-148,505.28</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31,914,980.94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29,155,405.96</w:t>
            </w:r>
          </w:p>
        </w:tc>
      </w:tr>
      <w:tr>
        <w:trPr>
          <w:trHeight w:val="404"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31,728,281.29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29,006,900.68</w:t>
            </w:r>
          </w:p>
        </w:tc>
      </w:tr>
    </w:tbl>
    <w:p>
      <w:pPr>
        <w:pStyle w:val="BodyText"/>
        <w:spacing w:line="240" w:lineRule="auto" w:before="49"/>
        <w:ind w:right="113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69</w:t>
      </w:r>
      <w:r>
        <w:rPr/>
        <w:t>、净敞口套期收益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70</w:t>
      </w:r>
      <w:r>
        <w:rPr/>
        <w:t>、公允价值变动收益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604,671.24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604,671.24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71</w:t>
      </w:r>
      <w:r>
        <w:rPr/>
        <w:t>、信用减值损失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129,666.81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22.28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129,689.09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72</w:t>
      </w:r>
      <w:r>
        <w:rPr/>
        <w:t>、资产减值损失</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79" w:top="110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-277,188.33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-2,302,362.17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-7,508,395.53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-2,302,362.17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-13,785,583.86</w:t>
            </w:r>
          </w:p>
        </w:tc>
      </w:tr>
    </w:tbl>
    <w:p>
      <w:pPr>
        <w:pStyle w:val="BodyText"/>
        <w:spacing w:line="240" w:lineRule="auto" w:before="49"/>
        <w:ind w:right="113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73</w:t>
      </w:r>
      <w:r>
        <w:rPr/>
        <w:t>、资产处置收益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74</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2"/>
                <w:sz w:val="18"/>
              </w:rPr>
              <w:t>278,111.78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93,969.99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278,111.78</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278,111.78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93,969.99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278,111.78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3"/>
        <w:spacing w:line="240" w:lineRule="auto" w:before="36"/>
        <w:ind w:right="1133"/>
        <w:jc w:val="left"/>
        <w:rPr>
          <w:b w:val="0"/>
          <w:bCs w:val="0"/>
        </w:rPr>
      </w:pPr>
      <w:r>
        <w:rPr>
          <w:rFonts w:ascii="Times New Roman" w:hAnsi="Times New Roman" w:cs="Times New Roman" w:eastAsia="Times New Roman" w:hint="default"/>
        </w:rPr>
        <w:t>75</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1,660.36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30,710.79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1,660.36</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3,552,092.01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1,748,627.92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3,552,092.01</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193,350.00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113,679.62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193,350.00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3,747,102.37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1,893,018.33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3,747,102.37</w:t>
            </w:r>
          </w:p>
        </w:tc>
      </w:tr>
    </w:tbl>
    <w:p>
      <w:pPr>
        <w:pStyle w:val="BodyText"/>
        <w:spacing w:line="240" w:lineRule="auto" w:before="49"/>
        <w:ind w:right="1133"/>
        <w:jc w:val="left"/>
      </w:pPr>
      <w:r>
        <w:rPr/>
        <w:t>其他说明：无</w:t>
      </w:r>
    </w:p>
    <w:p>
      <w:pPr>
        <w:spacing w:after="0" w:line="240" w:lineRule="auto"/>
        <w:jc w:val="left"/>
        <w:sectPr>
          <w:type w:val="continuous"/>
          <w:pgSz w:w="11910" w:h="16840"/>
          <w:pgMar w:top="106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rFonts w:ascii="Times New Roman" w:hAnsi="Times New Roman" w:cs="Times New Roman" w:eastAsia="Times New Roman" w:hint="default"/>
        </w:rPr>
        <w:t>76</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1,904,194.28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3,094,018.23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-1,247,349.90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-2,791,849.45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656,844.38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302,168.78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59,316,571.58</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5,931,657.16</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-2,237,115.41</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1,322,937.13</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419,754.92</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-467,586.91</w:t>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2"/>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6,801.79</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技术开发费加计扣除的影响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-1,953,881.51</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-2,365,722.79</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656,844.38</w:t>
            </w:r>
          </w:p>
        </w:tc>
      </w:tr>
    </w:tbl>
    <w:p>
      <w:pPr>
        <w:pStyle w:val="BodyText"/>
        <w:spacing w:line="240" w:lineRule="auto" w:before="49"/>
        <w:ind w:right="113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77</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详见附注。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78</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1,701,045.67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2,065,036.77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269,702.16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44,281.22</w:t>
            </w:r>
          </w:p>
        </w:tc>
      </w:tr>
    </w:tbl>
    <w:p>
      <w:pPr>
        <w:spacing w:after="0" w:line="240" w:lineRule="auto"/>
        <w:jc w:val="right"/>
        <w:rPr>
          <w:rFonts w:ascii="Times New Roman" w:hAnsi="Times New Roman" w:cs="Times New Roman" w:eastAsia="Times New Roman" w:hint="default"/>
          <w:sz w:val="18"/>
          <w:szCs w:val="18"/>
        </w:rPr>
        <w:sectPr>
          <w:footerReference w:type="default" r:id="rId22"/>
          <w:pgSz w:w="11910" w:h="16840"/>
          <w:pgMar w:footer="979" w:header="877"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596,541.91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6,331,055.50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1,455,249.91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671,537.55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38,602,300.00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25,624,100.00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42,624,839.65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34,736,011.04</w:t>
            </w:r>
          </w:p>
        </w:tc>
      </w:tr>
    </w:tbl>
    <w:p>
      <w:pPr>
        <w:pStyle w:val="BodyText"/>
        <w:spacing w:line="240" w:lineRule="auto" w:before="49"/>
        <w:ind w:right="1133"/>
        <w:jc w:val="left"/>
      </w:pPr>
      <w:r>
        <w:rPr/>
        <w:t>收到的其他与经营活动有关的现金说明：无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9,205,337.01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6,573,458.53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27,617,448.13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13,147,111.51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11,310,878.57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28,691,975.31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137,879.05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127,868.56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193,379.26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100,421.67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11,306,045.69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6,268,173.49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59,770,967.71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54,909,009.07</w:t>
            </w:r>
          </w:p>
        </w:tc>
      </w:tr>
    </w:tbl>
    <w:p>
      <w:pPr>
        <w:pStyle w:val="BodyText"/>
        <w:spacing w:line="240" w:lineRule="auto" w:before="49"/>
        <w:ind w:right="1133"/>
        <w:jc w:val="left"/>
      </w:pPr>
      <w:r>
        <w:rPr/>
        <w:t>支付的其他与经营活动有关的现金说明：无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股权对价预付款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支付的其他与投资活动有关的现金说明：无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after="0" w:line="240" w:lineRule="auto"/>
        <w:jc w:val="left"/>
        <w:sectPr>
          <w:footerReference w:type="default" r:id="rId23"/>
          <w:pgSz w:w="11910" w:h="16840"/>
          <w:pgMar w:footer="979" w:header="877" w:top="1100" w:bottom="1160" w:left="980" w:right="0"/>
          <w:pgNumType w:start="201"/>
        </w:sectPr>
      </w:pPr>
    </w:p>
    <w:p>
      <w:pPr>
        <w:spacing w:line="240" w:lineRule="auto" w:before="12"/>
        <w:rPr>
          <w:rFonts w:ascii="宋体" w:hAnsi="宋体" w:cs="宋体" w:eastAsia="宋体" w:hint="default"/>
          <w:sz w:val="20"/>
          <w:szCs w:val="20"/>
        </w:rPr>
      </w:pPr>
      <w:r>
        <w:rPr/>
        <w:pict>
          <v:group style="position:absolute;margin-left:223.369995pt;margin-top:387.585968pt;width:151.25pt;height:40.85pt;mso-position-horizontal-relative:page;mso-position-vertical-relative:page;z-index:-1611544" coordorigin="4467,7752" coordsize="3025,817">
            <v:group style="position:absolute;left:4478;top:7763;width:2;height:395" coordorigin="4478,7763" coordsize="2,395">
              <v:shape style="position:absolute;left:4478;top:7763;width:2;height:395" coordorigin="4478,7763" coordsize="0,395" path="m4478,7763l4478,8157e" filled="false" stroked="true" strokeweight="1.08pt" strokecolor="#ffffff">
                <v:path arrowok="t"/>
              </v:shape>
            </v:group>
            <v:group style="position:absolute;left:4489;top:7763;width:3003;height:395" coordorigin="4489,7763" coordsize="3003,395">
              <v:shape style="position:absolute;left:4489;top:7763;width:3003;height:395" coordorigin="4489,7763" coordsize="3003,395" path="m4489,8157l7492,8157,7492,7763,4489,7763,4489,8157xe" filled="true" fillcolor="#ffffff" stroked="false">
                <v:path arrowok="t"/>
                <v:fill type="solid"/>
              </v:shape>
            </v:group>
            <v:group style="position:absolute;left:4478;top:8166;width:2;height:392" coordorigin="4478,8166" coordsize="2,392">
              <v:shape style="position:absolute;left:4478;top:8166;width:2;height:392" coordorigin="4478,8166" coordsize="0,392" path="m4478,8166l4478,8557e" filled="false" stroked="true" strokeweight="1.08pt" strokecolor="#ffffff">
                <v:path arrowok="t"/>
              </v:shape>
            </v:group>
            <v:group style="position:absolute;left:4489;top:8166;width:3003;height:392" coordorigin="4489,8166" coordsize="3003,392">
              <v:shape style="position:absolute;left:4489;top:8166;width:3003;height:392" coordorigin="4489,8166" coordsize="3003,392" path="m4489,8557l7492,8557,7492,8166,4489,8166,4489,8557xe" filled="true" fillcolor="#ffffff" stroked="false">
                <v:path arrowok="t"/>
                <v:fill type="solid"/>
              </v:shape>
            </v:group>
            <w10:wrap type="none"/>
          </v:group>
        </w:pict>
      </w:r>
    </w:p>
    <w:p>
      <w:pPr>
        <w:pStyle w:val="Heading3"/>
        <w:spacing w:line="240" w:lineRule="auto" w:before="36"/>
        <w:ind w:right="1133"/>
        <w:jc w:val="left"/>
        <w:rPr>
          <w:b w:val="0"/>
          <w:bCs w:val="0"/>
        </w:rPr>
      </w:pPr>
      <w:r>
        <w:rPr>
          <w:rFonts w:ascii="Times New Roman" w:hAnsi="Times New Roman" w:cs="Times New Roman" w:eastAsia="Times New Roman" w:hint="default"/>
        </w:rPr>
        <w:t>79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58,659,727.20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13,515,446.01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2,172,673.08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13,785,583.86</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2,875,056.77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3,109,232.18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801,574.20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955,135.46</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866,621.54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828,134.34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1,660.36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30,710.79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-604,671.24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-287,361.96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-212,187.30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-31,728,281.29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-29,006,900.68</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tabs>
                <w:tab w:pos="2022" w:val="left" w:leader="none"/>
              </w:tabs>
              <w:spacing w:line="240" w:lineRule="auto" w:before="49"/>
              <w:ind w:left="-119"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-1,314,906.41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-2,791,849.45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tabs>
                <w:tab w:pos="2307" w:val="left" w:leader="none"/>
              </w:tabs>
              <w:spacing w:line="240" w:lineRule="auto" w:before="49"/>
              <w:ind w:left="-119" w:right="21"/>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67,556.51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-33,554,668.79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18,737,323.38</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381,429.56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-8,260,883.65</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16,315,124.28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23,792,996.72</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534,400.00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1,888,000.00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15,185,933.81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36,370,741.66</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151,234,510.36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160,601,847.85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160,601,847.85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40,799,054.96</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-9,367,337.49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119,802,792.89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151,234,510.36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160,601,847.85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67,827.73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44,488.38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151,166,682.63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160,557,359.47</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151,234,510.36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160,601,847.85</w:t>
            </w:r>
          </w:p>
        </w:tc>
      </w:tr>
    </w:tbl>
    <w:p>
      <w:pPr>
        <w:pStyle w:val="BodyText"/>
        <w:spacing w:line="240" w:lineRule="auto" w:before="49"/>
        <w:ind w:right="1133"/>
        <w:jc w:val="left"/>
      </w:pPr>
      <w:r>
        <w:rPr/>
        <w:t>其他说明：无</w:t>
      </w:r>
    </w:p>
    <w:p>
      <w:pPr>
        <w:spacing w:line="240" w:lineRule="auto" w:before="0"/>
        <w:rPr>
          <w:rFonts w:ascii="宋体" w:hAnsi="宋体" w:cs="宋体" w:eastAsia="宋体" w:hint="default"/>
          <w:sz w:val="18"/>
          <w:szCs w:val="18"/>
        </w:rPr>
      </w:pPr>
    </w:p>
    <w:p>
      <w:pPr>
        <w:spacing w:line="544" w:lineRule="auto" w:before="120"/>
        <w:ind w:left="152" w:right="51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80</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项目名称及调整金额等事项：无 </w:t>
      </w: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49"/>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82</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519,791.65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3,626,170.51</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4,994.73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7.81550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39,036.31</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42,228.57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0.89580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37,828.35</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83"/>
        <w:gridCol w:w="2305"/>
        <w:gridCol w:w="2391"/>
        <w:gridCol w:w="2391"/>
      </w:tblGrid>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48"/>
              <w:jc w:val="righ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8"/>
              <w:jc w:val="righ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48"/>
              <w:jc w:val="righ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其他说明：无</w:t>
      </w:r>
    </w:p>
    <w:p>
      <w:pPr>
        <w:spacing w:line="240" w:lineRule="auto" w:before="0"/>
        <w:rPr>
          <w:rFonts w:ascii="宋体" w:hAnsi="宋体" w:cs="宋体" w:eastAsia="宋体" w:hint="default"/>
          <w:sz w:val="18"/>
          <w:szCs w:val="18"/>
        </w:rPr>
      </w:pPr>
    </w:p>
    <w:p>
      <w:pPr>
        <w:pStyle w:val="Heading3"/>
        <w:spacing w:line="259" w:lineRule="auto" w:before="118"/>
        <w:ind w:right="1133"/>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83</w:t>
      </w:r>
      <w:r>
        <w:rPr/>
        <w:t>、套期</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按照套期类别披露套期项目及相关套期工具、被套期风险的定性和定量信息：无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84</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309"/>
        <w:gridCol w:w="1760"/>
        <w:gridCol w:w="1757"/>
        <w:gridCol w:w="1757"/>
      </w:tblGrid>
      <w:tr>
        <w:trPr>
          <w:trHeight w:val="404" w:hRule="exact"/>
        </w:trPr>
        <w:tc>
          <w:tcPr>
            <w:tcW w:w="4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3"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1"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合肥君正产业转型政策兑现补助</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764,090.52</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16,228.44</w:t>
            </w:r>
          </w:p>
        </w:tc>
      </w:tr>
      <w:tr>
        <w:trPr>
          <w:trHeight w:val="403"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合肥高新区财政国库支付中心集成电路基地资金</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2,812,700.00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2,812,700.00</w:t>
            </w:r>
          </w:p>
        </w:tc>
      </w:tr>
      <w:tr>
        <w:trPr>
          <w:trHeight w:val="401"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高新区创业服务中民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集成电路基地专项资金</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6,923,076.92</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6,923,076.92</w:t>
            </w:r>
          </w:p>
        </w:tc>
      </w:tr>
      <w:tr>
        <w:trPr>
          <w:trHeight w:val="403"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核心电子器件、高端通用芯片及基础软件产品项目</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1,644,480.00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822,240.00</w:t>
            </w:r>
          </w:p>
        </w:tc>
      </w:tr>
      <w:tr>
        <w:trPr>
          <w:trHeight w:val="401"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高性能区块链共识算法芯片关键技术研究项目</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8,591,000.00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4,908,000.00</w:t>
            </w:r>
          </w:p>
        </w:tc>
      </w:tr>
      <w:tr>
        <w:trPr>
          <w:trHeight w:val="403"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高新区创业服务中心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合肥集成电路产业专项资金</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500,000.00</w:t>
            </w:r>
          </w:p>
        </w:tc>
      </w:tr>
      <w:tr>
        <w:trPr>
          <w:trHeight w:val="713"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高新区创业服务中心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年度合肥集成电路产业专项 资金</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2,051,600.00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2,051,600.00</w:t>
            </w:r>
          </w:p>
        </w:tc>
      </w:tr>
      <w:tr>
        <w:trPr>
          <w:trHeight w:val="715"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高新区创业服务中心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年度合肥市集成电路产业专 项资金</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390,000.00</w:t>
            </w:r>
          </w:p>
        </w:tc>
      </w:tr>
      <w:tr>
        <w:trPr>
          <w:trHeight w:val="713"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3"/>
              <w:jc w:val="left"/>
              <w:rPr>
                <w:rFonts w:ascii="宋体" w:hAnsi="宋体" w:cs="宋体" w:eastAsia="宋体" w:hint="default"/>
                <w:sz w:val="18"/>
                <w:szCs w:val="18"/>
              </w:rPr>
            </w:pPr>
            <w:r>
              <w:rPr>
                <w:rFonts w:ascii="宋体" w:hAnsi="宋体" w:cs="宋体" w:eastAsia="宋体" w:hint="default"/>
                <w:sz w:val="18"/>
                <w:szCs w:val="18"/>
              </w:rPr>
              <w:t>合肥市经济和信息化局支持新产品设计工程产品首轮 流片款补贴</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1,000,000.00</w:t>
            </w:r>
          </w:p>
        </w:tc>
      </w:tr>
      <w:tr>
        <w:trPr>
          <w:trHeight w:val="403"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合肥市经信化局促进企业加速成长</w:t>
            </w:r>
            <w:r>
              <w:rPr>
                <w:rFonts w:ascii="Times New Roman" w:hAnsi="Times New Roman" w:cs="Times New Roman" w:eastAsia="Times New Roman" w:hint="default"/>
                <w:sz w:val="18"/>
                <w:szCs w:val="18"/>
              </w:rPr>
              <w:t>-</w:t>
            </w:r>
            <w:r>
              <w:rPr>
                <w:rFonts w:ascii="宋体" w:hAnsi="宋体" w:cs="宋体" w:eastAsia="宋体" w:hint="default"/>
                <w:sz w:val="18"/>
                <w:szCs w:val="18"/>
              </w:rPr>
              <w:t>企业上台阶奖励</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800,000.00</w:t>
            </w:r>
          </w:p>
        </w:tc>
      </w:tr>
      <w:tr>
        <w:trPr>
          <w:trHeight w:val="401"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高新区经贸局高新区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年合肥市外贸促进政策资金</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69,149.00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69,149.00</w:t>
            </w:r>
          </w:p>
        </w:tc>
      </w:tr>
      <w:tr>
        <w:trPr>
          <w:trHeight w:val="403"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合肥市总工会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年度工会经费补助</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6,400.00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6,400.00</w:t>
            </w:r>
          </w:p>
        </w:tc>
      </w:tr>
      <w:tr>
        <w:trPr>
          <w:trHeight w:val="401"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年合肥市集成电产业专项引导资金</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6,429,100.00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6,429,100.00</w:t>
            </w:r>
          </w:p>
        </w:tc>
      </w:tr>
      <w:tr>
        <w:trPr>
          <w:trHeight w:val="715"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高新区创业服务中心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年省集成电路战新基地专项 引导资金</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420,000.00</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309"/>
        <w:gridCol w:w="1760"/>
        <w:gridCol w:w="1757"/>
        <w:gridCol w:w="1757"/>
      </w:tblGrid>
      <w:tr>
        <w:trPr>
          <w:trHeight w:val="401"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合肥市高新区领军人才引进计划项目</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75,000.00</w:t>
            </w:r>
          </w:p>
        </w:tc>
      </w:tr>
      <w:tr>
        <w:trPr>
          <w:trHeight w:val="715"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8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年度中关村国家自主创新示范区集成电路设计产 业发展资金</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341,800.00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341,800.00</w:t>
            </w:r>
          </w:p>
        </w:tc>
      </w:tr>
      <w:tr>
        <w:trPr>
          <w:trHeight w:val="713"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3"/>
              <w:jc w:val="left"/>
              <w:rPr>
                <w:rFonts w:ascii="宋体" w:hAnsi="宋体" w:cs="宋体" w:eastAsia="宋体" w:hint="default"/>
                <w:sz w:val="18"/>
                <w:szCs w:val="18"/>
              </w:rPr>
            </w:pPr>
            <w:r>
              <w:rPr>
                <w:rFonts w:ascii="宋体" w:hAnsi="宋体" w:cs="宋体" w:eastAsia="宋体" w:hint="default"/>
                <w:sz w:val="18"/>
                <w:szCs w:val="18"/>
              </w:rPr>
              <w:t>面向智能终端的嵌入式高能效深度学习引擎开发与产 业化项目专项资金</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8,988,000.00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3,595,200.00</w:t>
            </w:r>
          </w:p>
        </w:tc>
      </w:tr>
      <w:tr>
        <w:trPr>
          <w:trHeight w:val="403"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年海淀区重大科技项目和创新平台奖励专项资金</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700,000.00</w:t>
            </w:r>
          </w:p>
        </w:tc>
      </w:tr>
      <w:tr>
        <w:trPr>
          <w:trHeight w:val="713"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188"/>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年度中关村集成电路设计产业发展资金专项资 金</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2,000,000.00</w:t>
            </w:r>
          </w:p>
        </w:tc>
      </w:tr>
      <w:tr>
        <w:trPr>
          <w:trHeight w:val="716"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33"/>
              <w:jc w:val="left"/>
              <w:rPr>
                <w:rFonts w:ascii="宋体" w:hAnsi="宋体" w:cs="宋体" w:eastAsia="宋体" w:hint="default"/>
                <w:sz w:val="18"/>
                <w:szCs w:val="18"/>
              </w:rPr>
            </w:pPr>
            <w:r>
              <w:rPr>
                <w:rFonts w:ascii="宋体" w:hAnsi="宋体" w:cs="宋体" w:eastAsia="宋体" w:hint="default"/>
                <w:sz w:val="18"/>
                <w:szCs w:val="18"/>
              </w:rPr>
              <w:t>基于国产软硬件的手机解决方案及样机研制项目后 补助资金</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2,824,000.00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2,824,000.00</w:t>
            </w:r>
          </w:p>
        </w:tc>
      </w:tr>
      <w:tr>
        <w:trPr>
          <w:trHeight w:val="401"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增值税即征即退返还</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2,353,515.32</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2,353,515.32</w:t>
            </w:r>
          </w:p>
        </w:tc>
      </w:tr>
      <w:tr>
        <w:trPr>
          <w:trHeight w:val="403"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年社保稳岗补贴</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83,266.46</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83,266.46</w:t>
            </w:r>
          </w:p>
        </w:tc>
      </w:tr>
      <w:tr>
        <w:trPr>
          <w:trHeight w:val="401"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代扣代缴税费返还</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19,233.19</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19,233.19</w:t>
            </w:r>
          </w:p>
        </w:tc>
      </w:tr>
      <w:tr>
        <w:trPr>
          <w:trHeight w:val="403"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深圳市科技创新企业研发资助款</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400,000.00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400,000.00</w:t>
            </w:r>
          </w:p>
        </w:tc>
      </w:tr>
      <w:tr>
        <w:trPr>
          <w:trHeight w:val="401"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深圳社保局稳岗补贴款</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4,491.45</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4,491.45</w:t>
            </w:r>
          </w:p>
        </w:tc>
      </w:tr>
      <w:tr>
        <w:trPr>
          <w:trHeight w:val="403"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高新区经贸局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年三重一创资金</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100,000.00</w:t>
            </w:r>
          </w:p>
        </w:tc>
      </w:tr>
      <w:tr>
        <w:trPr>
          <w:trHeight w:val="401"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合肥市财政局企业稳岗补贴</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33,235.00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33,235.00</w:t>
            </w:r>
          </w:p>
        </w:tc>
      </w:tr>
      <w:tr>
        <w:trPr>
          <w:trHeight w:val="404"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b/>
                <w:spacing w:val="-1"/>
                <w:sz w:val="18"/>
              </w:rPr>
              <w:t>50,744,137.86</w:t>
            </w:r>
            <w:r>
              <w:rPr>
                <w:rFonts w:ascii="Times New Roman"/>
                <w:spacing w:val="-1"/>
                <w:sz w:val="18"/>
              </w:rPr>
            </w:r>
          </w:p>
        </w:tc>
        <w:tc>
          <w:tcPr>
            <w:tcW w:w="1757"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b/>
                <w:sz w:val="18"/>
              </w:rPr>
              <w:t>39,678,235.78</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624" w:lineRule="exact" w:before="55"/>
        <w:ind w:left="152" w:right="8585" w:firstLine="0"/>
        <w:jc w:val="left"/>
        <w:rPr>
          <w:rFonts w:ascii="宋体" w:hAnsi="宋体" w:cs="宋体" w:eastAsia="宋体" w:hint="default"/>
          <w:sz w:val="24"/>
          <w:szCs w:val="24"/>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85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八、合并范围的变更</w:t>
      </w:r>
      <w:r>
        <w:rPr>
          <w:rFonts w:ascii="宋体" w:hAnsi="宋体" w:cs="宋体" w:eastAsia="宋体" w:hint="default"/>
          <w:sz w:val="24"/>
          <w:szCs w:val="24"/>
        </w:rPr>
      </w:r>
    </w:p>
    <w:p>
      <w:pPr>
        <w:spacing w:line="240" w:lineRule="auto" w:before="7"/>
        <w:rPr>
          <w:rFonts w:ascii="宋体" w:hAnsi="宋体" w:cs="宋体" w:eastAsia="宋体" w:hint="default"/>
          <w:b/>
          <w:bCs/>
          <w:sz w:val="19"/>
          <w:szCs w:val="19"/>
        </w:rPr>
      </w:pPr>
    </w:p>
    <w:p>
      <w:pPr>
        <w:pStyle w:val="BodyText"/>
        <w:spacing w:line="240" w:lineRule="auto"/>
        <w:ind w:right="1133"/>
        <w:jc w:val="left"/>
      </w:pPr>
      <w:r>
        <w:rPr/>
        <w:t>无</w:t>
      </w:r>
    </w:p>
    <w:p>
      <w:pPr>
        <w:spacing w:line="240" w:lineRule="auto" w:before="1"/>
        <w:rPr>
          <w:rFonts w:ascii="宋体" w:hAnsi="宋体" w:cs="宋体" w:eastAsia="宋体" w:hint="default"/>
          <w:sz w:val="25"/>
          <w:szCs w:val="25"/>
        </w:rPr>
      </w:pPr>
    </w:p>
    <w:p>
      <w:pPr>
        <w:pStyle w:val="Heading2"/>
        <w:spacing w:line="240" w:lineRule="auto"/>
        <w:ind w:right="1133"/>
        <w:jc w:val="left"/>
        <w:rPr>
          <w:b w:val="0"/>
          <w:bCs w:val="0"/>
        </w:rPr>
      </w:pP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pict>
          <v:group style="position:absolute;margin-left:330.670013pt;margin-top:87.103668pt;width:66.6pt;height:20.65pt;mso-position-horizontal-relative:page;mso-position-vertical-relative:paragraph;z-index:-1611520" coordorigin="6613,1742" coordsize="1332,413">
            <v:group style="position:absolute;left:6624;top:1753;width:2;height:392" coordorigin="6624,1753" coordsize="2,392">
              <v:shape style="position:absolute;left:6624;top:1753;width:2;height:392" coordorigin="6624,1753" coordsize="0,392" path="m6624,1753l6624,2144e" filled="false" stroked="true" strokeweight="1.08pt" strokecolor="#ffffff">
                <v:path arrowok="t"/>
              </v:shape>
            </v:group>
            <v:group style="position:absolute;left:6635;top:1753;width:1311;height:392" coordorigin="6635,1753" coordsize="1311,392">
              <v:shape style="position:absolute;left:6635;top:1753;width:1311;height:392" coordorigin="6635,1753" coordsize="1311,392" path="m6635,2144l7945,2144,7945,1753,6635,1753,6635,2144xe" filled="true" fillcolor="#ffffff" stroked="false">
                <v:path arrowok="t"/>
                <v:fill type="solid"/>
              </v:shape>
            </v:group>
            <w10:wrap type="none"/>
          </v:group>
        </w:pict>
      </w:r>
      <w:r>
        <w:rPr/>
        <w:t>（</w:t>
      </w:r>
      <w:r>
        <w:rPr>
          <w:rFonts w:ascii="Times New Roman" w:hAnsi="Times New Roman" w:cs="Times New Roman" w:eastAsia="Times New Roman" w:hint="default"/>
        </w:rPr>
        <w:t>1</w:t>
      </w:r>
      <w:r>
        <w:rPr/>
        <w:t>）企业集团的构成</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北京君正集成电 路（香港）集团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both"/>
              <w:rPr>
                <w:rFonts w:ascii="宋体" w:hAnsi="宋体" w:cs="宋体" w:eastAsia="宋体" w:hint="default"/>
                <w:sz w:val="18"/>
                <w:szCs w:val="18"/>
              </w:rPr>
            </w:pPr>
            <w:r>
              <w:rPr>
                <w:rFonts w:ascii="宋体" w:hAnsi="宋体" w:cs="宋体" w:eastAsia="宋体" w:hint="default"/>
                <w:sz w:val="18"/>
                <w:szCs w:val="18"/>
              </w:rPr>
              <w:t>集成电路开发、 </w:t>
            </w:r>
            <w:r>
              <w:rPr>
                <w:rFonts w:ascii="宋体" w:hAnsi="宋体" w:cs="宋体" w:eastAsia="宋体" w:hint="default"/>
                <w:spacing w:val="-6"/>
                <w:sz w:val="18"/>
                <w:szCs w:val="18"/>
              </w:rPr>
              <w:t>销售、技术开发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tabs>
                <w:tab w:pos="688" w:val="left" w:leader="none"/>
              </w:tabs>
              <w:spacing w:line="240" w:lineRule="auto" w:before="128"/>
              <w:ind w:left="-1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bl>
    <w:p>
      <w:pPr>
        <w:spacing w:after="0" w:line="314"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深圳君正时代集 成电路有限公司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集成电路开发、 </w:t>
            </w:r>
            <w:r>
              <w:rPr>
                <w:rFonts w:ascii="宋体" w:hAnsi="宋体" w:cs="宋体" w:eastAsia="宋体" w:hint="default"/>
                <w:spacing w:val="-6"/>
                <w:sz w:val="18"/>
                <w:szCs w:val="18"/>
              </w:rPr>
              <w:t>销售、技术开发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tabs>
                <w:tab w:pos="688" w:val="left" w:leader="none"/>
              </w:tabs>
              <w:spacing w:line="240" w:lineRule="auto" w:before="126"/>
              <w:ind w:left="-1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4" w:right="75"/>
              <w:jc w:val="left"/>
              <w:rPr>
                <w:rFonts w:ascii="宋体" w:hAnsi="宋体" w:cs="宋体" w:eastAsia="宋体" w:hint="default"/>
                <w:sz w:val="18"/>
                <w:szCs w:val="18"/>
              </w:rPr>
            </w:pPr>
            <w:r>
              <w:rPr>
                <w:rFonts w:ascii="宋体" w:hAnsi="宋体" w:cs="宋体" w:eastAsia="宋体" w:hint="default"/>
                <w:sz w:val="18"/>
                <w:szCs w:val="18"/>
              </w:rPr>
              <w:t>合肥君正科技有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both"/>
              <w:rPr>
                <w:rFonts w:ascii="宋体" w:hAnsi="宋体" w:cs="宋体" w:eastAsia="宋体" w:hint="default"/>
                <w:sz w:val="18"/>
                <w:szCs w:val="18"/>
              </w:rPr>
            </w:pPr>
            <w:r>
              <w:rPr>
                <w:rFonts w:ascii="宋体" w:hAnsi="宋体" w:cs="宋体" w:eastAsia="宋体" w:hint="default"/>
                <w:sz w:val="18"/>
                <w:szCs w:val="18"/>
              </w:rPr>
              <w:t>集成电路开发、 </w:t>
            </w:r>
            <w:r>
              <w:rPr>
                <w:rFonts w:ascii="宋体" w:hAnsi="宋体" w:cs="宋体" w:eastAsia="宋体" w:hint="default"/>
                <w:spacing w:val="-6"/>
                <w:sz w:val="18"/>
                <w:szCs w:val="18"/>
              </w:rPr>
              <w:t>销售、技术开发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tabs>
                <w:tab w:pos="688" w:val="left" w:leader="none"/>
              </w:tabs>
              <w:spacing w:line="240" w:lineRule="auto" w:before="128"/>
              <w:ind w:left="-1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pict>
          <v:group style="position:absolute;margin-left:330.670013pt;margin-top:-100.116333pt;width:66.6pt;height:20.65pt;mso-position-horizontal-relative:page;mso-position-vertical-relative:paragraph;z-index:-1611496" coordorigin="6613,-2002" coordsize="1332,413">
            <v:group style="position:absolute;left:6624;top:-1992;width:2;height:392" coordorigin="6624,-1992" coordsize="2,392">
              <v:shape style="position:absolute;left:6624;top:-1992;width:2;height:392" coordorigin="6624,-1992" coordsize="0,392" path="m6624,-1992l6624,-1600e" filled="false" stroked="true" strokeweight="1.08pt" strokecolor="#ffffff">
                <v:path arrowok="t"/>
              </v:shape>
            </v:group>
            <v:group style="position:absolute;left:6635;top:-1992;width:1311;height:392" coordorigin="6635,-1992" coordsize="1311,392">
              <v:shape style="position:absolute;left:6635;top:-1992;width:1311;height:392" coordorigin="6635,-1992" coordsize="1311,392" path="m6635,-1600l7945,-1600,7945,-1992,6635,-1992,6635,-1600xe" filled="true" fillcolor="#ffffff" stroked="false">
                <v:path arrowok="t"/>
                <v:fill type="solid"/>
              </v:shape>
            </v:group>
            <w10:wrap type="none"/>
          </v:group>
        </w:pict>
      </w:r>
      <w:r>
        <w:rPr/>
        <w:pict>
          <v:group style="position:absolute;margin-left:330.670013pt;margin-top:-48.756336pt;width:66.6pt;height:20.65pt;mso-position-horizontal-relative:page;mso-position-vertical-relative:paragraph;z-index:-1611472" coordorigin="6613,-975" coordsize="1332,413">
            <v:group style="position:absolute;left:6624;top:-964;width:2;height:392" coordorigin="6624,-964" coordsize="2,392">
              <v:shape style="position:absolute;left:6624;top:-964;width:2;height:392" coordorigin="6624,-964" coordsize="0,392" path="m6624,-964l6624,-573e" filled="false" stroked="true" strokeweight="1.08pt" strokecolor="#ffffff">
                <v:path arrowok="t"/>
              </v:shape>
            </v:group>
            <v:group style="position:absolute;left:6635;top:-964;width:1311;height:392" coordorigin="6635,-964" coordsize="1311,392">
              <v:shape style="position:absolute;left:6635;top:-964;width:1311;height:392" coordorigin="6635,-964" coordsize="1311,392" path="m6635,-573l7945,-573,7945,-964,6635,-964,6635,-573xe" filled="true" fillcolor="#ffffff" stroked="false">
                <v:path arrowok="t"/>
                <v:fill type="solid"/>
              </v:shape>
            </v:group>
            <w10:wrap type="none"/>
          </v:group>
        </w:pict>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1,649,390.92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1,836,090.57</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-186,699.65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-148,505.28</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未纳入合并财务报表范围的结构化主体的相关说明：无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1133"/>
        <w:jc w:val="left"/>
        <w:rPr>
          <w:b w:val="0"/>
          <w:bCs w:val="0"/>
        </w:rPr>
      </w:pP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34" w:firstLine="360"/>
        <w:jc w:val="left"/>
      </w:pPr>
      <w:r>
        <w:rPr>
          <w:spacing w:val="-2"/>
        </w:rPr>
        <w:t>本公司从事风险管理的目标是在风险和收益之间取得平衡，将风险对本公司经营业绩的负面影响降至最低水平，使股东</w:t>
      </w:r>
      <w:r>
        <w:rPr/>
        <w:t> 和其他权益投资者的利益最大化。基于该风险管理目标，本公司风险管理的基本策略是确认和分析本公司面临的各种风险， 建立适当的风险承受底线和进行风险管理，并及时可靠地对各种风险进行监督，将风险控制在限定的范围内。</w:t>
      </w:r>
    </w:p>
    <w:p>
      <w:pPr>
        <w:pStyle w:val="BodyText"/>
        <w:spacing w:line="316" w:lineRule="auto" w:before="57"/>
        <w:ind w:right="1118" w:firstLine="360"/>
        <w:jc w:val="left"/>
      </w:pPr>
      <w:r>
        <w:rPr>
          <w:spacing w:val="-2"/>
        </w:rPr>
        <w:t>本公司的金融工具面临的主要风险是信用风险、流动风险及市场风险。管理层已审议并批准管理这些风险的政策，概括</w:t>
      </w:r>
      <w:r>
        <w:rPr/>
        <w:t> 如下：</w:t>
      </w:r>
    </w:p>
    <w:p>
      <w:pPr>
        <w:spacing w:after="0" w:line="316"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60" w:lineRule="auto" w:before="44"/>
        <w:ind w:left="513" w:right="3913"/>
        <w:jc w:val="left"/>
      </w:pPr>
      <w:r>
        <w:rPr/>
        <w:t>（一）信用风险 信用风险，是指金融工具的一方不能履行义务，造成另一方发生财务损失的风险。</w:t>
      </w:r>
    </w:p>
    <w:p>
      <w:pPr>
        <w:pStyle w:val="BodyText"/>
        <w:spacing w:line="240" w:lineRule="auto" w:before="25"/>
        <w:ind w:left="513" w:right="1133"/>
        <w:jc w:val="left"/>
      </w:pPr>
      <w:r>
        <w:rPr/>
        <w:t>本公司的信用风险主要来自银行存款和应收款项。为控制上述相关风险，本公司分别采取了以下措施：</w:t>
      </w:r>
    </w:p>
    <w:p>
      <w:pPr>
        <w:pStyle w:val="BodyText"/>
        <w:spacing w:line="348" w:lineRule="auto" w:before="117"/>
        <w:ind w:left="513" w:right="4633"/>
        <w:jc w:val="left"/>
      </w:pPr>
      <w:r>
        <w:rPr>
          <w:rFonts w:ascii="Times New Roman" w:hAnsi="Times New Roman" w:cs="Times New Roman" w:eastAsia="Times New Roman" w:hint="default"/>
        </w:rPr>
        <w:t>1</w:t>
      </w:r>
      <w:r>
        <w:rPr/>
        <w:t>、银行存款 本公司将银行存款存放于信用评级较高的金融机构，故其信用风险较低。 </w:t>
      </w:r>
      <w:r>
        <w:rPr>
          <w:rFonts w:ascii="Times New Roman" w:hAnsi="Times New Roman" w:cs="Times New Roman" w:eastAsia="Times New Roman" w:hint="default"/>
        </w:rPr>
        <w:t>2</w:t>
      </w:r>
      <w:r>
        <w:rPr/>
        <w:t>、应收账款、应收票据</w:t>
      </w:r>
    </w:p>
    <w:p>
      <w:pPr>
        <w:pStyle w:val="BodyText"/>
        <w:spacing w:line="309" w:lineRule="auto" w:before="14"/>
        <w:ind w:right="1133" w:firstLine="360"/>
        <w:jc w:val="both"/>
      </w:pPr>
      <w:r>
        <w:rPr>
          <w:spacing w:val="-2"/>
        </w:rPr>
        <w:t>本公司仅与经认可的、信誉良好的第三方进行交易。由于业务的特殊性，公司的销售渠道较为固定，与主要客户的关系</w:t>
      </w:r>
      <w:r>
        <w:rPr/>
        <w:t> 长期且稳定。截止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日，本公司的前五大客户的应收款占本公司应收账款总额</w:t>
      </w:r>
      <w:r>
        <w:rPr>
          <w:rFonts w:ascii="Times New Roman" w:hAnsi="Times New Roman" w:cs="Times New Roman" w:eastAsia="Times New Roman" w:hint="default"/>
        </w:rPr>
        <w:t>99.21%</w:t>
      </w:r>
      <w:r>
        <w:rPr/>
        <w:t>。另外，本公司对应收账</w:t>
      </w:r>
      <w:r>
        <w:rPr>
          <w:spacing w:val="-22"/>
        </w:rPr>
        <w:t> </w:t>
      </w:r>
      <w:r>
        <w:rPr>
          <w:spacing w:val="-22"/>
        </w:rPr>
      </w:r>
      <w:r>
        <w:rPr/>
        <w:t>款余额进行持续监控，以确保本公司不致面临重大坏账风险。</w:t>
      </w:r>
    </w:p>
    <w:p>
      <w:pPr>
        <w:pStyle w:val="BodyText"/>
        <w:spacing w:line="338" w:lineRule="auto" w:before="65"/>
        <w:ind w:left="513" w:right="1033"/>
        <w:jc w:val="left"/>
      </w:pPr>
      <w:r>
        <w:rPr>
          <w:rFonts w:ascii="Times New Roman" w:hAnsi="Times New Roman" w:cs="Times New Roman" w:eastAsia="Times New Roman" w:hint="default"/>
        </w:rPr>
        <w:t>3</w:t>
      </w:r>
      <w:r>
        <w:rPr/>
        <w:t>、其他应收款 本公司的其他应收款主要系应收押金、保证金及部门备用金等，公司对此等款项与相关经济业务一并管理并持续监控，</w:t>
      </w:r>
    </w:p>
    <w:p>
      <w:pPr>
        <w:pStyle w:val="BodyText"/>
        <w:spacing w:line="240" w:lineRule="auto" w:before="2"/>
        <w:ind w:right="1133"/>
        <w:jc w:val="left"/>
      </w:pPr>
      <w:r>
        <w:rPr/>
        <w:t>以确保本公司不致面临重大坏账风险。</w:t>
      </w:r>
    </w:p>
    <w:p>
      <w:pPr>
        <w:pStyle w:val="BodyText"/>
        <w:spacing w:line="360" w:lineRule="auto" w:before="117"/>
        <w:ind w:left="513" w:right="1118"/>
        <w:jc w:val="left"/>
      </w:pPr>
      <w:r>
        <w:rPr/>
        <w:t>（二）流动风险 </w:t>
      </w:r>
      <w:r>
        <w:rPr>
          <w:spacing w:val="-2"/>
        </w:rPr>
        <w:t>流动性风险是指企业在履行以交付现金或其他金融资产的方式结算的义务时发生资金短缺的风险。本公司的政策是确保</w:t>
      </w:r>
    </w:p>
    <w:p>
      <w:pPr>
        <w:pStyle w:val="BodyText"/>
        <w:spacing w:line="236" w:lineRule="exact"/>
        <w:ind w:right="986"/>
        <w:jc w:val="left"/>
      </w:pPr>
      <w:r>
        <w:rPr/>
        <w:t>拥有充足的现金以偿还到期债务</w:t>
      </w:r>
      <w:r>
        <w:rPr>
          <w:spacing w:val="-87"/>
        </w:rPr>
        <w:t>。</w:t>
      </w:r>
      <w:r>
        <w:rPr/>
        <w:t>本公司通过监控现金余额</w:t>
      </w:r>
      <w:r>
        <w:rPr>
          <w:spacing w:val="-87"/>
        </w:rPr>
        <w:t>、</w:t>
      </w:r>
      <w:r>
        <w:rPr/>
        <w:t>可随时变现的有价证券以及对未</w:t>
      </w:r>
      <w:r>
        <w:rPr>
          <w:spacing w:val="1"/>
        </w:rPr>
        <w:t>来</w:t>
      </w:r>
      <w:r>
        <w:rPr>
          <w:rFonts w:ascii="Times New Roman" w:hAnsi="Times New Roman" w:cs="Times New Roman" w:eastAsia="Times New Roman" w:hint="default"/>
          <w:spacing w:val="1"/>
        </w:rPr>
        <w:t>12</w:t>
      </w:r>
      <w:r>
        <w:rPr/>
        <w:t>个月现金流量的滚动</w:t>
      </w:r>
      <w:r>
        <w:rPr>
          <w:spacing w:val="-3"/>
        </w:rPr>
        <w:t>预</w:t>
      </w:r>
      <w:r>
        <w:rPr/>
        <w:t>测，</w:t>
      </w:r>
    </w:p>
    <w:p>
      <w:pPr>
        <w:pStyle w:val="BodyText"/>
        <w:spacing w:line="240" w:lineRule="auto" w:before="63"/>
        <w:ind w:right="1133"/>
        <w:jc w:val="left"/>
      </w:pPr>
      <w:r>
        <w:rPr/>
        <w:t>确保公司在所有合理预测的情况下拥有充足的资金偿还债务。本公司定期分析负债结构和期限，以确保有充裕的资金。</w:t>
      </w:r>
    </w:p>
    <w:p>
      <w:pPr>
        <w:pStyle w:val="BodyText"/>
        <w:spacing w:line="360" w:lineRule="auto" w:before="115"/>
        <w:ind w:left="513" w:right="1118"/>
        <w:jc w:val="left"/>
      </w:pPr>
      <w:r>
        <w:rPr/>
        <w:t>（三）市场风险 </w:t>
      </w:r>
      <w:r>
        <w:rPr>
          <w:spacing w:val="-2"/>
        </w:rPr>
        <w:t>市场风险，是指金融工具的公允价值或未来现金流量因市场价格变动而发生波动的风险。市场风险主要包括利率风险和</w:t>
      </w:r>
    </w:p>
    <w:p>
      <w:pPr>
        <w:pStyle w:val="BodyText"/>
        <w:spacing w:line="222" w:lineRule="exact"/>
        <w:ind w:right="1133"/>
        <w:jc w:val="left"/>
      </w:pPr>
      <w:r>
        <w:rPr/>
        <w:t>外汇风险。</w:t>
      </w:r>
    </w:p>
    <w:p>
      <w:pPr>
        <w:pStyle w:val="BodyText"/>
        <w:spacing w:line="338" w:lineRule="auto" w:before="117"/>
        <w:ind w:left="513" w:right="1118"/>
        <w:jc w:val="left"/>
      </w:pPr>
      <w:r>
        <w:rPr>
          <w:rFonts w:ascii="Times New Roman" w:hAnsi="Times New Roman" w:cs="Times New Roman" w:eastAsia="Times New Roman" w:hint="default"/>
        </w:rPr>
        <w:t>1</w:t>
      </w:r>
      <w:r>
        <w:rPr/>
        <w:t>、利率风险 </w:t>
      </w:r>
      <w:r>
        <w:rPr>
          <w:spacing w:val="-2"/>
        </w:rPr>
        <w:t>利率风险，是指金融工具的公允价值或未来现金流量因市场利率变动而发生波动的风险。本公司借款均为固定利率，将</w:t>
      </w:r>
    </w:p>
    <w:p>
      <w:pPr>
        <w:pStyle w:val="BodyText"/>
        <w:spacing w:line="240" w:lineRule="auto" w:before="2"/>
        <w:ind w:right="1133"/>
        <w:jc w:val="left"/>
      </w:pPr>
      <w:r>
        <w:rPr/>
        <w:t>不会对本公司的利润总额和股东权益产生重大的影响。</w:t>
      </w:r>
    </w:p>
    <w:p>
      <w:pPr>
        <w:pStyle w:val="BodyText"/>
        <w:spacing w:line="340" w:lineRule="auto" w:before="117"/>
        <w:ind w:left="513" w:right="1118"/>
        <w:jc w:val="left"/>
      </w:pPr>
      <w:r>
        <w:rPr>
          <w:rFonts w:ascii="Times New Roman" w:hAnsi="Times New Roman" w:cs="Times New Roman" w:eastAsia="Times New Roman" w:hint="default"/>
        </w:rPr>
        <w:t>2</w:t>
      </w:r>
      <w:r>
        <w:rPr/>
        <w:t>、外汇风险 </w:t>
      </w:r>
      <w:r>
        <w:rPr>
          <w:spacing w:val="-2"/>
        </w:rPr>
        <w:t>外汇风险是因汇率变动产生的风险。本公司面临的汇率变动的风险主要与本公司外币货币性资产和负债有关。本公司于</w:t>
      </w:r>
    </w:p>
    <w:p>
      <w:pPr>
        <w:pStyle w:val="BodyText"/>
        <w:spacing w:line="240" w:lineRule="auto" w:before="1"/>
        <w:ind w:right="1133"/>
        <w:jc w:val="left"/>
      </w:pPr>
      <w:r>
        <w:rPr/>
        <w:t>中国内地经营，且其主要活动以人民币计价。因此，本公司所承担的外汇变动市场风险不重大。</w:t>
      </w:r>
    </w:p>
    <w:p>
      <w:pPr>
        <w:spacing w:line="240" w:lineRule="auto" w:before="1"/>
        <w:rPr>
          <w:rFonts w:ascii="宋体" w:hAnsi="宋体" w:cs="宋体" w:eastAsia="宋体" w:hint="default"/>
          <w:sz w:val="25"/>
          <w:szCs w:val="25"/>
        </w:rPr>
      </w:pPr>
    </w:p>
    <w:p>
      <w:pPr>
        <w:pStyle w:val="Heading2"/>
        <w:spacing w:line="240" w:lineRule="auto"/>
        <w:ind w:right="1133"/>
        <w:jc w:val="left"/>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3"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645,904,671.24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645,904,671.24</w:t>
            </w:r>
          </w:p>
        </w:tc>
      </w:tr>
      <w:tr>
        <w:trPr>
          <w:trHeight w:val="361" w:hRule="exact"/>
        </w:trPr>
        <w:tc>
          <w:tcPr>
            <w:tcW w:w="19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w:t>
            </w:r>
          </w:p>
        </w:tc>
        <w:tc>
          <w:tcPr>
            <w:tcW w:w="1837" w:type="dxa"/>
            <w:vMerge w:val="restart"/>
            <w:tcBorders>
              <w:top w:val="single" w:sz="4" w:space="0" w:color="000000"/>
              <w:left w:val="single" w:sz="4" w:space="0" w:color="000000"/>
              <w:right w:val="single" w:sz="4" w:space="0" w:color="000000"/>
            </w:tcBorders>
          </w:tcPr>
          <w:p>
            <w:pPr/>
          </w:p>
        </w:tc>
        <w:tc>
          <w:tcPr>
            <w:tcW w:w="1913" w:type="dxa"/>
            <w:tcBorders>
              <w:top w:val="single" w:sz="4" w:space="0" w:color="000000"/>
              <w:left w:val="single" w:sz="4" w:space="0" w:color="000000"/>
              <w:bottom w:val="nil" w:sz="6" w:space="0" w:color="auto"/>
              <w:right w:val="single" w:sz="4" w:space="0" w:color="000000"/>
            </w:tcBorders>
          </w:tcPr>
          <w:p>
            <w:pPr/>
          </w:p>
        </w:tc>
        <w:tc>
          <w:tcPr>
            <w:tcW w:w="1913" w:type="dxa"/>
            <w:vMerge w:val="restart"/>
            <w:tcBorders>
              <w:top w:val="single" w:sz="4" w:space="0" w:color="000000"/>
              <w:left w:val="single" w:sz="4" w:space="0" w:color="000000"/>
              <w:right w:val="single" w:sz="4" w:space="0" w:color="000000"/>
            </w:tcBorders>
          </w:tcPr>
          <w:p>
            <w:pPr/>
          </w:p>
        </w:tc>
        <w:tc>
          <w:tcPr>
            <w:tcW w:w="191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99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动计入当期损益的金融</w:t>
            </w:r>
          </w:p>
        </w:tc>
        <w:tc>
          <w:tcPr>
            <w:tcW w:w="1837" w:type="dxa"/>
            <w:vMerge/>
            <w:tcBorders>
              <w:left w:val="single" w:sz="4" w:space="0" w:color="000000"/>
              <w:right w:val="single" w:sz="4" w:space="0" w:color="000000"/>
            </w:tcBorders>
          </w:tcPr>
          <w:p>
            <w:pPr/>
          </w:p>
        </w:tc>
        <w:tc>
          <w:tcPr>
            <w:tcW w:w="1913"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645,904,671.24</w:t>
            </w:r>
          </w:p>
        </w:tc>
        <w:tc>
          <w:tcPr>
            <w:tcW w:w="1913" w:type="dxa"/>
            <w:vMerge/>
            <w:tcBorders>
              <w:left w:val="single" w:sz="4" w:space="0" w:color="000000"/>
              <w:right w:val="single" w:sz="4" w:space="0" w:color="000000"/>
            </w:tcBorders>
          </w:tcPr>
          <w:p>
            <w:pPr/>
          </w:p>
        </w:tc>
        <w:tc>
          <w:tcPr>
            <w:tcW w:w="1916"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2" w:right="0"/>
              <w:jc w:val="center"/>
              <w:rPr>
                <w:rFonts w:ascii="Times New Roman" w:hAnsi="Times New Roman" w:cs="Times New Roman" w:eastAsia="Times New Roman" w:hint="default"/>
                <w:sz w:val="18"/>
                <w:szCs w:val="18"/>
              </w:rPr>
            </w:pPr>
            <w:r>
              <w:rPr>
                <w:rFonts w:ascii="Times New Roman"/>
                <w:sz w:val="18"/>
              </w:rPr>
              <w:t>645,904,671.24</w:t>
            </w:r>
          </w:p>
        </w:tc>
      </w:tr>
      <w:tr>
        <w:trPr>
          <w:trHeight w:val="354" w:hRule="exact"/>
        </w:trPr>
        <w:tc>
          <w:tcPr>
            <w:tcW w:w="19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837" w:type="dxa"/>
            <w:vMerge/>
            <w:tcBorders>
              <w:left w:val="single" w:sz="4" w:space="0" w:color="000000"/>
              <w:bottom w:val="single" w:sz="4" w:space="0" w:color="000000"/>
              <w:right w:val="single" w:sz="4" w:space="0" w:color="000000"/>
            </w:tcBorders>
          </w:tcPr>
          <w:p>
            <w:pPr/>
          </w:p>
        </w:tc>
        <w:tc>
          <w:tcPr>
            <w:tcW w:w="1913" w:type="dxa"/>
            <w:tcBorders>
              <w:top w:val="nil" w:sz="6" w:space="0" w:color="auto"/>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c>
          <w:tcPr>
            <w:tcW w:w="1916"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645,904,671.24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645,904,671.24</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1"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4"/>
                <w:sz w:val="18"/>
                <w:szCs w:val="18"/>
              </w:rPr>
              <w:t>（三）其他权益工具投资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134,437,397.84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134,437,397.84</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持有的以公允价值计量 的资产总额</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645,904,671.24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134,437,397.84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780,342,069.08</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对于不在活跃市场上交易的金融工具，以收益法及资产基础法评估价值以及账面净资产为依据确定其公允价值。</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9</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after="0" w:line="240" w:lineRule="auto"/>
        <w:jc w:val="left"/>
        <w:sectPr>
          <w:pgSz w:w="11910" w:h="16840"/>
          <w:pgMar w:header="877" w:footer="979" w:top="1100" w:bottom="1160" w:left="980" w:right="0"/>
        </w:sectPr>
      </w:pPr>
    </w:p>
    <w:p>
      <w:pPr>
        <w:spacing w:line="240" w:lineRule="auto" w:before="10"/>
        <w:rPr>
          <w:rFonts w:ascii="宋体" w:hAnsi="宋体" w:cs="宋体" w:eastAsia="宋体" w:hint="default"/>
          <w:sz w:val="19"/>
          <w:szCs w:val="19"/>
        </w:rPr>
      </w:pPr>
    </w:p>
    <w:p>
      <w:pPr>
        <w:pStyle w:val="Heading2"/>
        <w:spacing w:line="240" w:lineRule="auto" w:before="26"/>
        <w:ind w:right="1133"/>
        <w:jc w:val="left"/>
        <w:rPr>
          <w:b w:val="0"/>
          <w:bCs w:val="0"/>
        </w:rPr>
      </w:pPr>
      <w:r>
        <w:rPr/>
        <w:t>十二、关联方及关联交易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刘强</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12.73%</w:t>
            </w:r>
          </w:p>
        </w:tc>
      </w:tr>
    </w:tbl>
    <w:p>
      <w:pPr>
        <w:pStyle w:val="BodyText"/>
        <w:spacing w:line="357" w:lineRule="auto" w:before="49"/>
        <w:ind w:right="8054"/>
        <w:jc w:val="left"/>
      </w:pPr>
      <w:r>
        <w:rPr/>
        <w:t>本企业的母公司情况的说明：无 本企业最终控制方是刘强、李杰。 其他说明：无</w:t>
      </w:r>
    </w:p>
    <w:p>
      <w:pPr>
        <w:spacing w:line="240" w:lineRule="auto" w:before="3"/>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本企业子公司的情况详见附注。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本企业合营和联营企业情况详见附注。</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北京君诚易恒科技有限公司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本公司的参股公司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北京华如科技股份有限公司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本公司实际控制人李杰控制的公司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北京庚顿数据科技有限公司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本公司实际控制人李杰任董事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拉萨君品创业投资有限公司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本公司实际控制人刘强控制的公司</w:t>
            </w:r>
          </w:p>
        </w:tc>
      </w:tr>
      <w:tr>
        <w:trPr>
          <w:trHeight w:val="71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青岛君品投资合伙企业（有限合伙）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本公司实际控制人刘强控制的公司拉萨君品创业投资有限公 司任执行事务合伙人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合肥君诺志成集成电路投资有限公司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本公司实际控制人刘强任执行董事、经理</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北京四海君芯有限公司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本公司实际控制人刘强任执行董事、经理</w:t>
            </w:r>
          </w:p>
        </w:tc>
      </w:tr>
    </w:tbl>
    <w:p>
      <w:pPr>
        <w:pStyle w:val="BodyText"/>
        <w:spacing w:line="240" w:lineRule="auto" w:before="49"/>
        <w:ind w:right="113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本公司作为出租方：</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北京华如科技股份有限公司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3" w:right="0"/>
              <w:jc w:val="left"/>
              <w:rPr>
                <w:rFonts w:ascii="Times New Roman" w:hAnsi="Times New Roman" w:cs="Times New Roman" w:eastAsia="Times New Roman" w:hint="default"/>
                <w:sz w:val="18"/>
                <w:szCs w:val="18"/>
              </w:rPr>
            </w:pPr>
            <w:r>
              <w:rPr>
                <w:rFonts w:ascii="Times New Roman"/>
                <w:sz w:val="18"/>
              </w:rPr>
              <w:t>7,033,687.11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6" w:right="0"/>
              <w:jc w:val="left"/>
              <w:rPr>
                <w:rFonts w:ascii="Times New Roman" w:hAnsi="Times New Roman" w:cs="Times New Roman" w:eastAsia="Times New Roman" w:hint="default"/>
                <w:sz w:val="18"/>
                <w:szCs w:val="18"/>
              </w:rPr>
            </w:pPr>
            <w:r>
              <w:rPr>
                <w:rFonts w:ascii="Times New Roman"/>
                <w:sz w:val="18"/>
              </w:rPr>
              <w:t>7,080,965.88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3,256,000.00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3,269,000.00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4"/>
        <w:gridCol w:w="2392"/>
        <w:gridCol w:w="2381"/>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北京华如科技股份有限公司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3" w:right="0"/>
              <w:jc w:val="left"/>
              <w:rPr>
                <w:rFonts w:ascii="Times New Roman" w:hAnsi="Times New Roman" w:cs="Times New Roman" w:eastAsia="Times New Roman" w:hint="default"/>
                <w:sz w:val="18"/>
                <w:szCs w:val="18"/>
              </w:rPr>
            </w:pPr>
            <w:r>
              <w:rPr>
                <w:rFonts w:ascii="Times New Roman"/>
                <w:sz w:val="18"/>
              </w:rPr>
              <w:t>1,219,366.96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1,173,217.20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1"/>
        <w:rPr>
          <w:rFonts w:ascii="宋体" w:hAnsi="宋体" w:cs="宋体" w:eastAsia="宋体" w:hint="default"/>
          <w:sz w:val="25"/>
          <w:szCs w:val="25"/>
        </w:rPr>
      </w:pPr>
    </w:p>
    <w:p>
      <w:pPr>
        <w:pStyle w:val="Heading2"/>
        <w:spacing w:line="240" w:lineRule="auto"/>
        <w:ind w:right="1133"/>
        <w:jc w:val="left"/>
        <w:rPr>
          <w:b w:val="0"/>
          <w:bCs w:val="0"/>
        </w:rPr>
      </w:pPr>
      <w:r>
        <w:rPr/>
        <w:t>十三、股份支付</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29,586,046.56</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509,600.00</w:t>
            </w:r>
          </w:p>
        </w:tc>
      </w:tr>
      <w:tr>
        <w:trPr>
          <w:trHeight w:val="71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最晚行权时间为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bl>
    <w:p>
      <w:pPr>
        <w:pStyle w:val="BodyText"/>
        <w:spacing w:line="240" w:lineRule="auto" w:before="49"/>
        <w:ind w:right="113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模型</w:t>
            </w:r>
          </w:p>
        </w:tc>
      </w:tr>
      <w:tr>
        <w:trPr>
          <w:trHeight w:val="715"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根据《北京君正集成电路股份有限公司股票期权激励计划</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（草案</w:t>
            </w:r>
            <w:r>
              <w:rPr>
                <w:rFonts w:ascii="宋体" w:hAnsi="宋体" w:cs="宋体" w:eastAsia="宋体" w:hint="default"/>
                <w:spacing w:val="-92"/>
                <w:sz w:val="18"/>
                <w:szCs w:val="18"/>
              </w:rPr>
              <w:t>）</w:t>
            </w:r>
            <w:r>
              <w:rPr>
                <w:rFonts w:ascii="宋体" w:hAnsi="宋体" w:cs="宋体" w:eastAsia="宋体" w:hint="default"/>
                <w:sz w:val="18"/>
                <w:szCs w:val="18"/>
              </w:rPr>
              <w:t>》的相关规定</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61,521,410.64</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534,400.00</w:t>
            </w:r>
          </w:p>
        </w:tc>
      </w:tr>
    </w:tbl>
    <w:p>
      <w:pPr>
        <w:pStyle w:val="BodyText"/>
        <w:spacing w:line="240" w:lineRule="auto" w:before="49"/>
        <w:ind w:right="113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5</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3"/>
        <w:rPr>
          <w:rFonts w:ascii="宋体" w:hAnsi="宋体" w:cs="宋体" w:eastAsia="宋体" w:hint="default"/>
          <w:sz w:val="25"/>
          <w:szCs w:val="25"/>
        </w:rPr>
      </w:pPr>
    </w:p>
    <w:p>
      <w:pPr>
        <w:spacing w:line="506" w:lineRule="auto" w:before="0"/>
        <w:ind w:left="152" w:right="8054" w:firstLine="0"/>
        <w:jc w:val="left"/>
        <w:rPr>
          <w:rFonts w:ascii="宋体" w:hAnsi="宋体" w:cs="宋体" w:eastAsia="宋体" w:hint="default"/>
          <w:sz w:val="18"/>
          <w:szCs w:val="18"/>
        </w:rPr>
      </w:pP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03"/>
          <w:sz w:val="21"/>
          <w:szCs w:val="21"/>
        </w:rPr>
        <w:t> </w:t>
      </w:r>
      <w:r>
        <w:rPr>
          <w:rFonts w:ascii="宋体" w:hAnsi="宋体" w:cs="宋体" w:eastAsia="宋体" w:hint="default"/>
          <w:sz w:val="18"/>
          <w:szCs w:val="18"/>
        </w:rPr>
        <w:t>资产负债表日存在的重要承诺：无</w:t>
      </w:r>
    </w:p>
    <w:p>
      <w:pPr>
        <w:pStyle w:val="Heading3"/>
        <w:spacing w:line="240" w:lineRule="auto" w:before="156"/>
        <w:ind w:right="1133"/>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624" w:lineRule="exact" w:before="55"/>
        <w:ind w:left="152" w:right="7694" w:firstLine="0"/>
        <w:jc w:val="left"/>
        <w:rPr>
          <w:rFonts w:ascii="宋体" w:hAnsi="宋体" w:cs="宋体" w:eastAsia="宋体" w:hint="default"/>
          <w:sz w:val="24"/>
          <w:szCs w:val="24"/>
        </w:rPr>
      </w:pPr>
      <w:r>
        <w:rPr>
          <w:rFonts w:ascii="宋体" w:hAnsi="宋体" w:cs="宋体" w:eastAsia="宋体" w:hint="default"/>
          <w:sz w:val="18"/>
          <w:szCs w:val="18"/>
        </w:rPr>
        <w:t>公司不存在需要披露的重要或有事项。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sz w:val="24"/>
          <w:szCs w:val="24"/>
        </w:rPr>
      </w:r>
    </w:p>
    <w:p>
      <w:pPr>
        <w:spacing w:line="240" w:lineRule="auto" w:before="12"/>
        <w:rPr>
          <w:rFonts w:ascii="宋体" w:hAnsi="宋体" w:cs="宋体" w:eastAsia="宋体" w:hint="default"/>
          <w:b/>
          <w:bCs/>
          <w:sz w:val="17"/>
          <w:szCs w:val="17"/>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7712"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、其他资产负债表日后事项说明</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3"/>
        <w:spacing w:line="240" w:lineRule="auto" w:before="81"/>
        <w:ind w:right="1133"/>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本公司以产品市场分部为基础，由于各分部共同使用同一资产，资产、负债无法在不同的分部之间分配。</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1" w:right="0"/>
              <w:jc w:val="left"/>
              <w:rPr>
                <w:rFonts w:ascii="宋体" w:hAnsi="宋体" w:cs="宋体" w:eastAsia="宋体" w:hint="default"/>
                <w:sz w:val="18"/>
                <w:szCs w:val="18"/>
              </w:rPr>
            </w:pPr>
            <w:r>
              <w:rPr>
                <w:rFonts w:ascii="宋体" w:hAnsi="宋体" w:cs="宋体" w:eastAsia="宋体" w:hint="default"/>
                <w:sz w:val="18"/>
                <w:szCs w:val="18"/>
              </w:rPr>
              <w:t>微处理器芯片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智能视频芯片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146,807,036.68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178,542,505.87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2,855,487.22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929,937.85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329,134,967.62</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67,153,862.09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136,378,817.54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183,603.82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203,716,283.45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68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4"/>
        <w:ind w:right="1133"/>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4"/>
        <w:gridCol w:w="761"/>
        <w:gridCol w:w="763"/>
        <w:gridCol w:w="802"/>
        <w:gridCol w:w="763"/>
        <w:gridCol w:w="797"/>
        <w:gridCol w:w="800"/>
        <w:gridCol w:w="790"/>
        <w:gridCol w:w="931"/>
      </w:tblGrid>
      <w:tr>
        <w:trPr>
          <w:trHeight w:val="402"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6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02" w:type="dxa"/>
            <w:vMerge w:val="restart"/>
            <w:tcBorders>
              <w:top w:val="single" w:sz="4" w:space="0" w:color="000000"/>
              <w:left w:val="single" w:sz="4" w:space="0" w:color="000000"/>
              <w:right w:val="single" w:sz="4" w:space="0" w:color="000000"/>
            </w:tcBorders>
            <w:shd w:val="clear" w:color="auto" w:fill="D2D2D2"/>
          </w:tcPr>
          <w:p>
            <w:pPr/>
          </w:p>
        </w:tc>
        <w:tc>
          <w:tcPr>
            <w:tcW w:w="15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nil" w:sz="6" w:space="0" w:color="auto"/>
              <w:right w:val="single" w:sz="4" w:space="0" w:color="000000"/>
            </w:tcBorders>
            <w:shd w:val="clear" w:color="auto" w:fill="D2D2D2"/>
          </w:tcPr>
          <w:p>
            <w:pPr/>
          </w:p>
        </w:tc>
        <w:tc>
          <w:tcPr>
            <w:tcW w:w="1560"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802" w:type="dxa"/>
            <w:vMerge/>
            <w:tcBorders>
              <w:left w:val="single" w:sz="4" w:space="0" w:color="000000"/>
              <w:bottom w:val="nil" w:sz="6" w:space="0" w:color="auto"/>
              <w:right w:val="single" w:sz="4" w:space="0" w:color="000000"/>
            </w:tcBorders>
            <w:shd w:val="clear" w:color="auto" w:fill="D2D2D2"/>
          </w:tcPr>
          <w:p>
            <w:pPr/>
          </w:p>
        </w:tc>
        <w:tc>
          <w:tcPr>
            <w:tcW w:w="7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802" w:type="dxa"/>
            <w:vMerge w:val="restart"/>
            <w:tcBorders>
              <w:top w:val="nil" w:sz="6" w:space="0" w:color="auto"/>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12,123,2</w:t>
            </w:r>
          </w:p>
          <w:p>
            <w:pPr>
              <w:pStyle w:val="TableParagraph"/>
              <w:spacing w:line="240" w:lineRule="auto" w:before="105"/>
              <w:ind w:left="329" w:right="0"/>
              <w:jc w:val="left"/>
              <w:rPr>
                <w:rFonts w:ascii="Times New Roman" w:hAnsi="Times New Roman" w:cs="Times New Roman" w:eastAsia="Times New Roman" w:hint="default"/>
                <w:sz w:val="18"/>
                <w:szCs w:val="18"/>
              </w:rPr>
            </w:pPr>
            <w:r>
              <w:rPr>
                <w:rFonts w:ascii="Times New Roman"/>
                <w:sz w:val="18"/>
              </w:rPr>
              <w:t>65.05</w:t>
            </w: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12,123,26</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5.05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8,033,314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22.28</w:t>
            </w: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8,033,291.8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40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10" w:space="0" w:color="D2D2D2"/>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12,123,2</w:t>
            </w:r>
          </w:p>
          <w:p>
            <w:pPr>
              <w:pStyle w:val="TableParagraph"/>
              <w:spacing w:line="240" w:lineRule="auto" w:before="105"/>
              <w:ind w:left="329" w:right="0"/>
              <w:jc w:val="left"/>
              <w:rPr>
                <w:rFonts w:ascii="Times New Roman" w:hAnsi="Times New Roman" w:cs="Times New Roman" w:eastAsia="Times New Roman" w:hint="default"/>
                <w:sz w:val="18"/>
                <w:szCs w:val="18"/>
              </w:rPr>
            </w:pPr>
            <w:r>
              <w:rPr>
                <w:rFonts w:ascii="Times New Roman"/>
                <w:sz w:val="18"/>
              </w:rPr>
              <w:t>65.05</w:t>
            </w:r>
          </w:p>
        </w:tc>
        <w:tc>
          <w:tcPr>
            <w:tcW w:w="764" w:type="dxa"/>
            <w:vMerge w:val="restart"/>
            <w:tcBorders>
              <w:top w:val="single" w:sz="4" w:space="0" w:color="000000"/>
              <w:left w:val="single" w:sz="4" w:space="0" w:color="000000"/>
              <w:right w:val="single" w:sz="4" w:space="0" w:color="000000"/>
            </w:tcBorders>
          </w:tcPr>
          <w:p>
            <w:pPr/>
          </w:p>
        </w:tc>
        <w:tc>
          <w:tcPr>
            <w:tcW w:w="761" w:type="dxa"/>
            <w:vMerge w:val="restart"/>
            <w:tcBorders>
              <w:top w:val="single" w:sz="4" w:space="0" w:color="000000"/>
              <w:left w:val="single" w:sz="4" w:space="0" w:color="000000"/>
              <w:right w:val="single" w:sz="4" w:space="0" w:color="000000"/>
            </w:tcBorders>
          </w:tcPr>
          <w:p>
            <w:pPr/>
          </w:p>
        </w:tc>
        <w:tc>
          <w:tcPr>
            <w:tcW w:w="763" w:type="dxa"/>
            <w:vMerge w:val="restart"/>
            <w:tcBorders>
              <w:top w:val="single" w:sz="4" w:space="0" w:color="000000"/>
              <w:left w:val="single" w:sz="4" w:space="0" w:color="000000"/>
              <w:right w:val="single" w:sz="4" w:space="0" w:color="000000"/>
            </w:tcBorders>
          </w:tcPr>
          <w:p>
            <w:pP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12,123,26</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5.05</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8,033,314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.17</w:t>
            </w: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22.28</w:t>
            </w:r>
          </w:p>
        </w:tc>
        <w:tc>
          <w:tcPr>
            <w:tcW w:w="790"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8,033,291.8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392"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10" w:space="0" w:color="D2D2D2"/>
              <w:right w:val="single" w:sz="4" w:space="0" w:color="000000"/>
            </w:tcBorders>
          </w:tcPr>
          <w:p>
            <w:pPr/>
          </w:p>
        </w:tc>
        <w:tc>
          <w:tcPr>
            <w:tcW w:w="764"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3"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10" w:space="0" w:color="D2D2D2"/>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如是按照预期信用损失一般模型计提应收账款坏账准备，请参照其他应收款的披露方式披露坏账准备的相关信息：</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39"/>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12,123,265.05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个月以内</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12,123,265.05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12,123,265.05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78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应收账款坏账准备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25" w:right="0"/>
              <w:jc w:val="left"/>
              <w:rPr>
                <w:rFonts w:ascii="Times New Roman" w:hAnsi="Times New Roman" w:cs="Times New Roman" w:eastAsia="Times New Roman" w:hint="default"/>
                <w:sz w:val="18"/>
                <w:szCs w:val="18"/>
              </w:rPr>
            </w:pPr>
            <w:r>
              <w:rPr>
                <w:rFonts w:ascii="Times New Roman"/>
                <w:sz w:val="18"/>
              </w:rPr>
              <w:t>12,087,801.99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99.71%</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32,690.06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1,580.00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12,123,123.05</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44,663.01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31,255,648.60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9,773,427.18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31,255,648.60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9,818,090.19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1" w:type="dxa"/>
            <w:tcBorders>
              <w:top w:val="single" w:sz="4" w:space="0" w:color="000000"/>
              <w:left w:val="single" w:sz="10"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44,663.01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0"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44,663.01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9,648,334.03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职工暂借款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1,586.98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14,122.21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1,254,061.62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240,637.75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31,255,648.60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9,903,093.99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1"/>
        <w:gridCol w:w="1805"/>
      </w:tblGrid>
      <w:tr>
        <w:trPr>
          <w:trHeight w:val="401"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60"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129,666.81</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129,666.81</w:t>
            </w:r>
          </w:p>
        </w:tc>
      </w:tr>
      <w:tr>
        <w:trPr>
          <w:trHeight w:val="161"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129,666.81</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129,666.81</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pStyle w:val="BodyText"/>
        <w:spacing w:line="240" w:lineRule="auto" w:before="49"/>
        <w:ind w:right="-20"/>
        <w:jc w:val="left"/>
      </w:pPr>
      <w:r>
        <w:rPr/>
        <w:t>损失准备本期变动金额重大的账面余额变动情况</w:t>
      </w:r>
    </w:p>
    <w:p>
      <w:pPr>
        <w:pStyle w:val="BodyText"/>
        <w:spacing w:line="340" w:lineRule="auto" w:before="115"/>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3" w:space="489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31,254,648.60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1,000.00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1,000.00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31,255,648.60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88"/>
        <w:gridCol w:w="1304"/>
        <w:gridCol w:w="1591"/>
        <w:gridCol w:w="1594"/>
        <w:gridCol w:w="1304"/>
        <w:gridCol w:w="1889"/>
      </w:tblGrid>
      <w:tr>
        <w:trPr>
          <w:trHeight w:val="401" w:hRule="exact"/>
        </w:trPr>
        <w:tc>
          <w:tcPr>
            <w:tcW w:w="18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4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8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8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8" w:type="dxa"/>
            <w:vMerge/>
            <w:tcBorders>
              <w:left w:val="single" w:sz="4" w:space="0" w:color="000000"/>
              <w:bottom w:val="single" w:sz="4" w:space="0" w:color="000000"/>
              <w:right w:val="single" w:sz="4" w:space="0" w:color="000000"/>
            </w:tcBorders>
            <w:shd w:val="clear" w:color="auto" w:fill="D2D2D2"/>
          </w:tcPr>
          <w:p>
            <w:pPr/>
          </w:p>
        </w:tc>
        <w:tc>
          <w:tcPr>
            <w:tcW w:w="1304" w:type="dxa"/>
            <w:vMerge/>
            <w:tcBorders>
              <w:left w:val="single" w:sz="4" w:space="0" w:color="000000"/>
              <w:bottom w:val="single" w:sz="4" w:space="0" w:color="000000"/>
              <w:right w:val="single" w:sz="4" w:space="0" w:color="000000"/>
            </w:tcBorders>
            <w:shd w:val="clear" w:color="auto" w:fill="D2D2D2"/>
          </w:tcPr>
          <w:p>
            <w:pP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889"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889"/>
        <w:gridCol w:w="1304"/>
        <w:gridCol w:w="1591"/>
        <w:gridCol w:w="1594"/>
        <w:gridCol w:w="1304"/>
        <w:gridCol w:w="1889"/>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其他应收款坏账准备</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129,666.81</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129,666.81</w:t>
            </w:r>
          </w:p>
        </w:tc>
        <w:tc>
          <w:tcPr>
            <w:tcW w:w="130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129,666.81</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129,666.81</w:t>
            </w:r>
          </w:p>
        </w:tc>
        <w:tc>
          <w:tcPr>
            <w:tcW w:w="130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719"/>
        <w:gridCol w:w="1385"/>
        <w:gridCol w:w="1551"/>
        <w:gridCol w:w="1616"/>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合肥君正科技有限公 司</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95.98%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1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中国证券登记结算有</w:t>
            </w:r>
          </w:p>
        </w:tc>
        <w:tc>
          <w:tcPr>
            <w:tcW w:w="1719" w:type="dxa"/>
            <w:tcBorders>
              <w:top w:val="single" w:sz="4" w:space="0" w:color="000000"/>
              <w:left w:val="single" w:sz="4" w:space="0" w:color="000000"/>
              <w:bottom w:val="nil" w:sz="6" w:space="0" w:color="auto"/>
              <w:right w:val="single" w:sz="4" w:space="0" w:color="000000"/>
            </w:tcBorders>
          </w:tcPr>
          <w:p>
            <w:pPr/>
          </w:p>
        </w:tc>
        <w:tc>
          <w:tcPr>
            <w:tcW w:w="1385" w:type="dxa"/>
            <w:tcBorders>
              <w:top w:val="single" w:sz="4" w:space="0" w:color="000000"/>
              <w:left w:val="single" w:sz="4" w:space="0" w:color="000000"/>
              <w:bottom w:val="nil" w:sz="6" w:space="0" w:color="auto"/>
              <w:right w:val="single" w:sz="4" w:space="0" w:color="000000"/>
            </w:tcBorders>
          </w:tcPr>
          <w:p>
            <w:pPr/>
          </w:p>
        </w:tc>
        <w:tc>
          <w:tcPr>
            <w:tcW w:w="1551" w:type="dxa"/>
            <w:tcBorders>
              <w:top w:val="single" w:sz="4" w:space="0" w:color="000000"/>
              <w:left w:val="single" w:sz="4" w:space="0" w:color="000000"/>
              <w:bottom w:val="nil" w:sz="6" w:space="0" w:color="auto"/>
              <w:right w:val="single" w:sz="4" w:space="0" w:color="000000"/>
            </w:tcBorders>
          </w:tcPr>
          <w:p>
            <w:pPr/>
          </w:p>
        </w:tc>
        <w:tc>
          <w:tcPr>
            <w:tcW w:w="1616" w:type="dxa"/>
            <w:tcBorders>
              <w:top w:val="single" w:sz="4" w:space="0" w:color="000000"/>
              <w:left w:val="single" w:sz="4" w:space="0" w:color="000000"/>
              <w:bottom w:val="nil" w:sz="6" w:space="0" w:color="auto"/>
              <w:right w:val="single" w:sz="4" w:space="0" w:color="000000"/>
            </w:tcBorders>
          </w:tcPr>
          <w:p>
            <w:pPr/>
          </w:p>
        </w:tc>
        <w:tc>
          <w:tcPr>
            <w:tcW w:w="1615" w:type="dxa"/>
            <w:vMerge w:val="restart"/>
            <w:tcBorders>
              <w:top w:val="single" w:sz="4" w:space="0" w:color="000000"/>
              <w:left w:val="single" w:sz="4" w:space="0" w:color="000000"/>
              <w:right w:val="single" w:sz="4" w:space="0" w:color="000000"/>
            </w:tcBorders>
          </w:tcPr>
          <w:p>
            <w:pPr/>
          </w:p>
        </w:tc>
      </w:tr>
      <w:tr>
        <w:trPr>
          <w:trHeight w:val="317" w:hRule="exact"/>
        </w:trPr>
        <w:tc>
          <w:tcPr>
            <w:tcW w:w="1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限责任公司深圳分公</w:t>
            </w:r>
          </w:p>
        </w:tc>
        <w:tc>
          <w:tcPr>
            <w:tcW w:w="17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员工行权款</w:t>
            </w:r>
          </w:p>
        </w:tc>
        <w:tc>
          <w:tcPr>
            <w:tcW w:w="138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1,121,138.48</w:t>
            </w:r>
          </w:p>
        </w:tc>
        <w:tc>
          <w:tcPr>
            <w:tcW w:w="15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3.59%</w:t>
            </w:r>
          </w:p>
        </w:tc>
        <w:tc>
          <w:tcPr>
            <w:tcW w:w="1615" w:type="dxa"/>
            <w:vMerge/>
            <w:tcBorders>
              <w:left w:val="single" w:sz="4" w:space="0" w:color="000000"/>
              <w:right w:val="single" w:sz="4" w:space="0" w:color="000000"/>
            </w:tcBorders>
          </w:tcPr>
          <w:p>
            <w:pPr/>
          </w:p>
        </w:tc>
      </w:tr>
      <w:tr>
        <w:trPr>
          <w:trHeight w:val="353" w:hRule="exact"/>
        </w:trPr>
        <w:tc>
          <w:tcPr>
            <w:tcW w:w="1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19" w:type="dxa"/>
            <w:tcBorders>
              <w:top w:val="nil" w:sz="6" w:space="0" w:color="auto"/>
              <w:left w:val="single" w:sz="4" w:space="0" w:color="000000"/>
              <w:bottom w:val="single" w:sz="4" w:space="0" w:color="000000"/>
              <w:right w:val="single" w:sz="4" w:space="0" w:color="000000"/>
            </w:tcBorders>
          </w:tcPr>
          <w:p>
            <w:pPr/>
          </w:p>
        </w:tc>
        <w:tc>
          <w:tcPr>
            <w:tcW w:w="1385" w:type="dxa"/>
            <w:tcBorders>
              <w:top w:val="nil" w:sz="6" w:space="0" w:color="auto"/>
              <w:left w:val="single" w:sz="4" w:space="0" w:color="000000"/>
              <w:bottom w:val="single" w:sz="4" w:space="0" w:color="000000"/>
              <w:right w:val="single" w:sz="4" w:space="0" w:color="000000"/>
            </w:tcBorders>
          </w:tcPr>
          <w:p>
            <w:pPr/>
          </w:p>
        </w:tc>
        <w:tc>
          <w:tcPr>
            <w:tcW w:w="1551" w:type="dxa"/>
            <w:tcBorders>
              <w:top w:val="nil" w:sz="6" w:space="0" w:color="auto"/>
              <w:left w:val="single" w:sz="4" w:space="0" w:color="000000"/>
              <w:bottom w:val="single" w:sz="4" w:space="0" w:color="000000"/>
              <w:right w:val="single" w:sz="4" w:space="0" w:color="000000"/>
            </w:tcBorders>
          </w:tcPr>
          <w:p>
            <w:pPr/>
          </w:p>
        </w:tc>
        <w:tc>
          <w:tcPr>
            <w:tcW w:w="1616" w:type="dxa"/>
            <w:tcBorders>
              <w:top w:val="nil" w:sz="6" w:space="0" w:color="auto"/>
              <w:left w:val="single" w:sz="4" w:space="0" w:color="000000"/>
              <w:bottom w:val="single" w:sz="4" w:space="0" w:color="000000"/>
              <w:right w:val="single" w:sz="4" w:space="0" w:color="000000"/>
            </w:tcBorders>
          </w:tcPr>
          <w:p>
            <w:pPr/>
          </w:p>
        </w:tc>
        <w:tc>
          <w:tcPr>
            <w:tcW w:w="1615" w:type="dxa"/>
            <w:vMerge/>
            <w:tcBorders>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应收出口退税款</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应收出口退税补贴款</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132,923.14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0.43%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员工一</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职工暂借款项</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员工二</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职工暂借款项</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586.98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31,255,648.60</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68"/>
        <w:gridCol w:w="1357"/>
        <w:gridCol w:w="1368"/>
        <w:gridCol w:w="1367"/>
        <w:gridCol w:w="1367"/>
        <w:gridCol w:w="1366"/>
        <w:gridCol w:w="135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0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1"/>
              <w:jc w:val="center"/>
              <w:rPr>
                <w:rFonts w:ascii="宋体" w:hAnsi="宋体" w:cs="宋体" w:eastAsia="宋体" w:hint="default"/>
                <w:sz w:val="18"/>
                <w:szCs w:val="18"/>
              </w:rPr>
            </w:pPr>
            <w:r>
              <w:rPr>
                <w:rFonts w:ascii="宋体" w:hAnsi="宋体" w:cs="宋体" w:eastAsia="宋体" w:hint="default"/>
                <w:sz w:val="18"/>
                <w:szCs w:val="18"/>
              </w:rPr>
              <w:t>项目</w:t>
            </w:r>
          </w:p>
        </w:tc>
        <w:tc>
          <w:tcPr>
            <w:tcW w:w="4092" w:type="dxa"/>
            <w:gridSpan w:val="3"/>
            <w:vMerge/>
            <w:tcBorders>
              <w:left w:val="single" w:sz="4" w:space="0" w:color="000000"/>
              <w:bottom w:val="single" w:sz="4" w:space="0" w:color="000000"/>
              <w:right w:val="single" w:sz="4" w:space="0" w:color="000000"/>
            </w:tcBorders>
            <w:shd w:val="clear" w:color="auto" w:fill="D2D2D2"/>
          </w:tcPr>
          <w:p>
            <w:pPr/>
          </w:p>
        </w:tc>
        <w:tc>
          <w:tcPr>
            <w:tcW w:w="4090"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57"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5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left="188" w:right="0"/>
              <w:jc w:val="left"/>
              <w:rPr>
                <w:rFonts w:ascii="Times New Roman" w:hAnsi="Times New Roman" w:cs="Times New Roman" w:eastAsia="Times New Roman" w:hint="default"/>
                <w:sz w:val="18"/>
                <w:szCs w:val="18"/>
              </w:rPr>
            </w:pPr>
            <w:r>
              <w:rPr>
                <w:rFonts w:ascii="Times New Roman"/>
                <w:sz w:val="18"/>
              </w:rPr>
              <w:t>323,700,871.41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8" w:right="0"/>
              <w:jc w:val="left"/>
              <w:rPr>
                <w:rFonts w:ascii="Times New Roman" w:hAnsi="Times New Roman" w:cs="Times New Roman" w:eastAsia="Times New Roman" w:hint="default"/>
                <w:sz w:val="18"/>
                <w:szCs w:val="18"/>
              </w:rPr>
            </w:pPr>
            <w:r>
              <w:rPr>
                <w:rFonts w:ascii="Times New Roman"/>
                <w:sz w:val="18"/>
              </w:rPr>
              <w:t>323,700,871.41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7" w:right="0"/>
              <w:jc w:val="left"/>
              <w:rPr>
                <w:rFonts w:ascii="Times New Roman" w:hAnsi="Times New Roman" w:cs="Times New Roman" w:eastAsia="Times New Roman" w:hint="default"/>
                <w:sz w:val="18"/>
                <w:szCs w:val="18"/>
              </w:rPr>
            </w:pPr>
            <w:r>
              <w:rPr>
                <w:rFonts w:ascii="Times New Roman"/>
                <w:sz w:val="18"/>
              </w:rPr>
              <w:t>273,700,871.41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8" w:right="0"/>
              <w:jc w:val="left"/>
              <w:rPr>
                <w:rFonts w:ascii="Times New Roman" w:hAnsi="Times New Roman" w:cs="Times New Roman" w:eastAsia="Times New Roman" w:hint="default"/>
                <w:sz w:val="18"/>
                <w:szCs w:val="18"/>
              </w:rPr>
            </w:pPr>
            <w:r>
              <w:rPr>
                <w:rFonts w:ascii="Times New Roman"/>
                <w:sz w:val="18"/>
              </w:rPr>
              <w:t>273,700,871.41</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1,649,390.92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1,649,390.92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1,836,090.57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1,836,090.57</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325,350,262.33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325,350,262.33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275,536,961.98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275,536,961.98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402"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3"/>
              <w:ind w:left="278" w:right="9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3"/>
              <w:ind w:left="391" w:right="2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422"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1"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r>
      <w:tr>
        <w:trPr>
          <w:trHeight w:val="357" w:hRule="exact"/>
        </w:trPr>
        <w:tc>
          <w:tcPr>
            <w:tcW w:w="1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北京君正集成</w:t>
            </w:r>
          </w:p>
        </w:tc>
        <w:tc>
          <w:tcPr>
            <w:tcW w:w="1166" w:type="dxa"/>
            <w:tcBorders>
              <w:top w:val="single" w:sz="4" w:space="0" w:color="000000"/>
              <w:left w:val="single" w:sz="4" w:space="0" w:color="000000"/>
              <w:bottom w:val="nil" w:sz="6" w:space="0" w:color="auto"/>
              <w:right w:val="single" w:sz="4" w:space="0" w:color="000000"/>
            </w:tcBorders>
          </w:tcPr>
          <w:p>
            <w:pPr/>
          </w:p>
        </w:tc>
        <w:tc>
          <w:tcPr>
            <w:tcW w:w="1167" w:type="dxa"/>
            <w:vMerge w:val="restart"/>
            <w:tcBorders>
              <w:top w:val="single" w:sz="4" w:space="0" w:color="000000"/>
              <w:left w:val="single" w:sz="4" w:space="0" w:color="000000"/>
              <w:right w:val="single" w:sz="4" w:space="0" w:color="000000"/>
            </w:tcBorders>
          </w:tcPr>
          <w:p>
            <w:pPr/>
          </w:p>
        </w:tc>
        <w:tc>
          <w:tcPr>
            <w:tcW w:w="1164" w:type="dxa"/>
            <w:vMerge w:val="restart"/>
            <w:tcBorders>
              <w:top w:val="single" w:sz="4" w:space="0" w:color="000000"/>
              <w:left w:val="single" w:sz="4" w:space="0" w:color="000000"/>
              <w:right w:val="single" w:sz="4" w:space="0" w:color="000000"/>
            </w:tcBorders>
          </w:tcPr>
          <w:p>
            <w:pPr/>
          </w:p>
        </w:tc>
        <w:tc>
          <w:tcPr>
            <w:tcW w:w="1167" w:type="dxa"/>
            <w:vMerge w:val="restart"/>
            <w:tcBorders>
              <w:top w:val="single" w:sz="4" w:space="0" w:color="000000"/>
              <w:left w:val="single" w:sz="4" w:space="0" w:color="000000"/>
              <w:right w:val="single" w:sz="4" w:space="0" w:color="000000"/>
            </w:tcBorders>
          </w:tcPr>
          <w:p>
            <w:pPr/>
          </w:p>
        </w:tc>
        <w:tc>
          <w:tcPr>
            <w:tcW w:w="1214" w:type="dxa"/>
            <w:vMerge w:val="restart"/>
            <w:tcBorders>
              <w:top w:val="single" w:sz="4" w:space="0" w:color="000000"/>
              <w:left w:val="single" w:sz="4" w:space="0" w:color="000000"/>
              <w:right w:val="single" w:sz="4" w:space="0" w:color="000000"/>
            </w:tcBorders>
          </w:tcPr>
          <w:p>
            <w:pPr/>
          </w:p>
        </w:tc>
        <w:tc>
          <w:tcPr>
            <w:tcW w:w="1213" w:type="dxa"/>
            <w:tcBorders>
              <w:top w:val="single" w:sz="4" w:space="0" w:color="000000"/>
              <w:left w:val="single" w:sz="4" w:space="0" w:color="000000"/>
              <w:bottom w:val="nil" w:sz="6" w:space="0" w:color="auto"/>
              <w:right w:val="single" w:sz="4" w:space="0" w:color="000000"/>
            </w:tcBorders>
          </w:tcPr>
          <w:p>
            <w:pPr/>
          </w:p>
        </w:tc>
        <w:tc>
          <w:tcPr>
            <w:tcW w:w="1214" w:type="dxa"/>
            <w:vMerge w:val="restart"/>
            <w:tcBorders>
              <w:top w:val="single" w:sz="4" w:space="0" w:color="000000"/>
              <w:left w:val="single" w:sz="4" w:space="0" w:color="000000"/>
              <w:right w:val="single" w:sz="4" w:space="0" w:color="000000"/>
            </w:tcBorders>
          </w:tcPr>
          <w:p>
            <w:pPr/>
          </w:p>
        </w:tc>
      </w:tr>
      <w:tr>
        <w:trPr>
          <w:trHeight w:val="317" w:hRule="exact"/>
        </w:trPr>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pacing w:val="-7"/>
                <w:sz w:val="18"/>
                <w:szCs w:val="18"/>
              </w:rPr>
              <w:t>电路（香港）集</w:t>
            </w:r>
          </w:p>
        </w:tc>
        <w:tc>
          <w:tcPr>
            <w:tcW w:w="1166"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168" w:right="0"/>
              <w:jc w:val="center"/>
              <w:rPr>
                <w:rFonts w:ascii="Times New Roman" w:hAnsi="Times New Roman" w:cs="Times New Roman" w:eastAsia="Times New Roman" w:hint="default"/>
                <w:sz w:val="18"/>
                <w:szCs w:val="18"/>
              </w:rPr>
            </w:pPr>
            <w:r>
              <w:rPr>
                <w:rFonts w:ascii="Times New Roman"/>
                <w:sz w:val="18"/>
              </w:rPr>
              <w:t>5,700,871.41</w:t>
            </w:r>
          </w:p>
        </w:tc>
        <w:tc>
          <w:tcPr>
            <w:tcW w:w="1167" w:type="dxa"/>
            <w:vMerge/>
            <w:tcBorders>
              <w:left w:val="single" w:sz="4" w:space="0" w:color="000000"/>
              <w:right w:val="single" w:sz="4" w:space="0" w:color="000000"/>
            </w:tcBorders>
          </w:tcPr>
          <w:p>
            <w:pPr/>
          </w:p>
        </w:tc>
        <w:tc>
          <w:tcPr>
            <w:tcW w:w="1164" w:type="dxa"/>
            <w:vMerge/>
            <w:tcBorders>
              <w:left w:val="single" w:sz="4" w:space="0" w:color="000000"/>
              <w:right w:val="single" w:sz="4" w:space="0" w:color="000000"/>
            </w:tcBorders>
          </w:tcPr>
          <w:p>
            <w:pPr/>
          </w:p>
        </w:tc>
        <w:tc>
          <w:tcPr>
            <w:tcW w:w="1167" w:type="dxa"/>
            <w:vMerge/>
            <w:tcBorders>
              <w:left w:val="single" w:sz="4" w:space="0" w:color="000000"/>
              <w:right w:val="single" w:sz="4" w:space="0" w:color="000000"/>
            </w:tcBorders>
          </w:tcPr>
          <w:p>
            <w:pPr/>
          </w:p>
        </w:tc>
        <w:tc>
          <w:tcPr>
            <w:tcW w:w="1214" w:type="dxa"/>
            <w:vMerge/>
            <w:tcBorders>
              <w:left w:val="single" w:sz="4" w:space="0" w:color="000000"/>
              <w:right w:val="single" w:sz="4" w:space="0" w:color="000000"/>
            </w:tcBorders>
          </w:tcPr>
          <w:p>
            <w:pPr/>
          </w:p>
        </w:tc>
        <w:tc>
          <w:tcPr>
            <w:tcW w:w="1213"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5,700,871.41</w:t>
            </w:r>
          </w:p>
        </w:tc>
        <w:tc>
          <w:tcPr>
            <w:tcW w:w="1214" w:type="dxa"/>
            <w:vMerge/>
            <w:tcBorders>
              <w:left w:val="single" w:sz="4" w:space="0" w:color="000000"/>
              <w:right w:val="single" w:sz="4" w:space="0" w:color="000000"/>
            </w:tcBorders>
          </w:tcPr>
          <w:p>
            <w:pPr/>
          </w:p>
        </w:tc>
      </w:tr>
      <w:tr>
        <w:trPr>
          <w:trHeight w:val="354" w:hRule="exact"/>
        </w:trPr>
        <w:tc>
          <w:tcPr>
            <w:tcW w:w="1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团有限公司</w:t>
            </w:r>
          </w:p>
        </w:tc>
        <w:tc>
          <w:tcPr>
            <w:tcW w:w="1166" w:type="dxa"/>
            <w:tcBorders>
              <w:top w:val="nil" w:sz="6" w:space="0" w:color="auto"/>
              <w:left w:val="single" w:sz="4" w:space="0" w:color="000000"/>
              <w:bottom w:val="single" w:sz="4" w:space="0" w:color="000000"/>
              <w:right w:val="single" w:sz="4" w:space="0" w:color="000000"/>
            </w:tcBorders>
          </w:tcPr>
          <w:p>
            <w:pPr/>
          </w:p>
        </w:tc>
        <w:tc>
          <w:tcPr>
            <w:tcW w:w="1167"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4" w:space="0" w:color="000000"/>
            </w:tcBorders>
          </w:tcPr>
          <w:p>
            <w:pPr/>
          </w:p>
        </w:tc>
        <w:tc>
          <w:tcPr>
            <w:tcW w:w="1167" w:type="dxa"/>
            <w:vMerge/>
            <w:tcBorders>
              <w:left w:val="single" w:sz="4" w:space="0" w:color="000000"/>
              <w:bottom w:val="single" w:sz="4" w:space="0" w:color="000000"/>
              <w:right w:val="single" w:sz="4" w:space="0" w:color="000000"/>
            </w:tcBorders>
          </w:tcPr>
          <w:p>
            <w:pPr/>
          </w:p>
        </w:tc>
        <w:tc>
          <w:tcPr>
            <w:tcW w:w="1214" w:type="dxa"/>
            <w:vMerge/>
            <w:tcBorders>
              <w:left w:val="single" w:sz="4" w:space="0" w:color="000000"/>
              <w:bottom w:val="single" w:sz="4" w:space="0" w:color="000000"/>
              <w:right w:val="single" w:sz="4" w:space="0" w:color="000000"/>
            </w:tcBorders>
          </w:tcPr>
          <w:p>
            <w:pPr/>
          </w:p>
        </w:tc>
        <w:tc>
          <w:tcPr>
            <w:tcW w:w="1213" w:type="dxa"/>
            <w:tcBorders>
              <w:top w:val="nil" w:sz="6" w:space="0" w:color="auto"/>
              <w:left w:val="single" w:sz="4" w:space="0" w:color="000000"/>
              <w:bottom w:val="single" w:sz="4" w:space="0" w:color="000000"/>
              <w:right w:val="single" w:sz="4" w:space="0" w:color="000000"/>
            </w:tcBorders>
          </w:tcPr>
          <w:p>
            <w:pPr/>
          </w:p>
        </w:tc>
        <w:tc>
          <w:tcPr>
            <w:tcW w:w="1214" w:type="dxa"/>
            <w:vMerge/>
            <w:tcBorders>
              <w:left w:val="single" w:sz="4" w:space="0" w:color="000000"/>
              <w:bottom w:val="single" w:sz="4" w:space="0" w:color="000000"/>
              <w:right w:val="single" w:sz="4" w:space="0" w:color="000000"/>
            </w:tcBorders>
          </w:tcPr>
          <w:p>
            <w:pPr/>
          </w:p>
        </w:tc>
      </w:tr>
      <w:tr>
        <w:trPr>
          <w:trHeight w:val="355" w:hRule="exact"/>
        </w:trPr>
        <w:tc>
          <w:tcPr>
            <w:tcW w:w="1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深圳君正时代</w:t>
            </w:r>
          </w:p>
        </w:tc>
        <w:tc>
          <w:tcPr>
            <w:tcW w:w="1166" w:type="dxa"/>
            <w:tcBorders>
              <w:top w:val="single" w:sz="4" w:space="0" w:color="000000"/>
              <w:left w:val="single" w:sz="4" w:space="0" w:color="000000"/>
              <w:bottom w:val="nil" w:sz="6" w:space="0" w:color="auto"/>
              <w:right w:val="single" w:sz="4" w:space="0" w:color="000000"/>
            </w:tcBorders>
          </w:tcPr>
          <w:p>
            <w:pPr/>
          </w:p>
        </w:tc>
        <w:tc>
          <w:tcPr>
            <w:tcW w:w="1167" w:type="dxa"/>
            <w:tcBorders>
              <w:top w:val="single" w:sz="4" w:space="0" w:color="000000"/>
              <w:left w:val="single" w:sz="4" w:space="0" w:color="000000"/>
              <w:bottom w:val="nil" w:sz="6" w:space="0" w:color="auto"/>
              <w:right w:val="single" w:sz="4" w:space="0" w:color="000000"/>
            </w:tcBorders>
          </w:tcPr>
          <w:p>
            <w:pPr/>
          </w:p>
        </w:tc>
        <w:tc>
          <w:tcPr>
            <w:tcW w:w="1164" w:type="dxa"/>
            <w:vMerge w:val="restart"/>
            <w:tcBorders>
              <w:top w:val="single" w:sz="4" w:space="0" w:color="000000"/>
              <w:left w:val="single" w:sz="4" w:space="0" w:color="000000"/>
              <w:right w:val="single" w:sz="4" w:space="0" w:color="000000"/>
            </w:tcBorders>
          </w:tcPr>
          <w:p>
            <w:pPr/>
          </w:p>
        </w:tc>
        <w:tc>
          <w:tcPr>
            <w:tcW w:w="1167" w:type="dxa"/>
            <w:vMerge w:val="restart"/>
            <w:tcBorders>
              <w:top w:val="single" w:sz="4" w:space="0" w:color="000000"/>
              <w:left w:val="single" w:sz="4" w:space="0" w:color="000000"/>
              <w:right w:val="single" w:sz="4" w:space="0" w:color="000000"/>
            </w:tcBorders>
          </w:tcPr>
          <w:p>
            <w:pPr/>
          </w:p>
        </w:tc>
        <w:tc>
          <w:tcPr>
            <w:tcW w:w="1214" w:type="dxa"/>
            <w:vMerge w:val="restart"/>
            <w:tcBorders>
              <w:top w:val="single" w:sz="4" w:space="0" w:color="000000"/>
              <w:left w:val="single" w:sz="4" w:space="0" w:color="000000"/>
              <w:right w:val="single" w:sz="4" w:space="0" w:color="000000"/>
            </w:tcBorders>
          </w:tcPr>
          <w:p>
            <w:pPr/>
          </w:p>
        </w:tc>
        <w:tc>
          <w:tcPr>
            <w:tcW w:w="1213" w:type="dxa"/>
            <w:tcBorders>
              <w:top w:val="single" w:sz="4" w:space="0" w:color="000000"/>
              <w:left w:val="single" w:sz="4" w:space="0" w:color="000000"/>
              <w:bottom w:val="nil" w:sz="6" w:space="0" w:color="auto"/>
              <w:right w:val="single" w:sz="4" w:space="0" w:color="000000"/>
            </w:tcBorders>
          </w:tcPr>
          <w:p>
            <w:pPr/>
          </w:p>
        </w:tc>
        <w:tc>
          <w:tcPr>
            <w:tcW w:w="1214" w:type="dxa"/>
            <w:vMerge w:val="restart"/>
            <w:tcBorders>
              <w:top w:val="single" w:sz="4" w:space="0" w:color="000000"/>
              <w:left w:val="single" w:sz="4" w:space="0" w:color="000000"/>
              <w:right w:val="single" w:sz="4" w:space="0" w:color="000000"/>
            </w:tcBorders>
          </w:tcPr>
          <w:p>
            <w:pPr/>
          </w:p>
        </w:tc>
      </w:tr>
      <w:tr>
        <w:trPr>
          <w:trHeight w:val="317" w:hRule="exact"/>
        </w:trPr>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集成电路有限</w:t>
            </w:r>
          </w:p>
        </w:tc>
        <w:tc>
          <w:tcPr>
            <w:tcW w:w="116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9" w:right="0"/>
              <w:jc w:val="center"/>
              <w:rPr>
                <w:rFonts w:ascii="Times New Roman" w:hAnsi="Times New Roman" w:cs="Times New Roman" w:eastAsia="Times New Roman" w:hint="default"/>
                <w:sz w:val="18"/>
                <w:szCs w:val="18"/>
              </w:rPr>
            </w:pPr>
            <w:r>
              <w:rPr>
                <w:rFonts w:ascii="Times New Roman"/>
                <w:sz w:val="18"/>
              </w:rPr>
              <w:t>33,000,000.00</w:t>
            </w:r>
          </w:p>
        </w:tc>
        <w:tc>
          <w:tcPr>
            <w:tcW w:w="116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8" w:right="0"/>
              <w:jc w:val="center"/>
              <w:rPr>
                <w:rFonts w:ascii="Times New Roman" w:hAnsi="Times New Roman" w:cs="Times New Roman" w:eastAsia="Times New Roman" w:hint="default"/>
                <w:sz w:val="18"/>
                <w:szCs w:val="18"/>
              </w:rPr>
            </w:pPr>
            <w:r>
              <w:rPr>
                <w:rFonts w:ascii="Times New Roman"/>
                <w:sz w:val="18"/>
              </w:rPr>
              <w:t>50,000,000.00</w:t>
            </w:r>
          </w:p>
        </w:tc>
        <w:tc>
          <w:tcPr>
            <w:tcW w:w="1164" w:type="dxa"/>
            <w:vMerge/>
            <w:tcBorders>
              <w:left w:val="single" w:sz="4" w:space="0" w:color="000000"/>
              <w:right w:val="single" w:sz="4" w:space="0" w:color="000000"/>
            </w:tcBorders>
          </w:tcPr>
          <w:p>
            <w:pPr/>
          </w:p>
        </w:tc>
        <w:tc>
          <w:tcPr>
            <w:tcW w:w="1167" w:type="dxa"/>
            <w:vMerge/>
            <w:tcBorders>
              <w:left w:val="single" w:sz="4" w:space="0" w:color="000000"/>
              <w:right w:val="single" w:sz="4" w:space="0" w:color="000000"/>
            </w:tcBorders>
          </w:tcPr>
          <w:p>
            <w:pPr/>
          </w:p>
        </w:tc>
        <w:tc>
          <w:tcPr>
            <w:tcW w:w="1214" w:type="dxa"/>
            <w:vMerge/>
            <w:tcBorders>
              <w:left w:val="single" w:sz="4" w:space="0" w:color="000000"/>
              <w:right w:val="single" w:sz="4" w:space="0" w:color="000000"/>
            </w:tcBorders>
          </w:tcPr>
          <w:p>
            <w:pPr/>
          </w:p>
        </w:tc>
        <w:tc>
          <w:tcPr>
            <w:tcW w:w="121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83,000,000.00</w:t>
            </w:r>
          </w:p>
        </w:tc>
        <w:tc>
          <w:tcPr>
            <w:tcW w:w="1214" w:type="dxa"/>
            <w:vMerge/>
            <w:tcBorders>
              <w:left w:val="single" w:sz="4" w:space="0" w:color="000000"/>
              <w:right w:val="single" w:sz="4" w:space="0" w:color="000000"/>
            </w:tcBorders>
          </w:tcPr>
          <w:p>
            <w:pPr/>
          </w:p>
        </w:tc>
      </w:tr>
      <w:tr>
        <w:trPr>
          <w:trHeight w:val="353" w:hRule="exact"/>
        </w:trPr>
        <w:tc>
          <w:tcPr>
            <w:tcW w:w="1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66" w:type="dxa"/>
            <w:tcBorders>
              <w:top w:val="nil" w:sz="6" w:space="0" w:color="auto"/>
              <w:left w:val="single" w:sz="4" w:space="0" w:color="000000"/>
              <w:bottom w:val="single" w:sz="4" w:space="0" w:color="000000"/>
              <w:right w:val="single" w:sz="4" w:space="0" w:color="000000"/>
            </w:tcBorders>
          </w:tcPr>
          <w:p>
            <w:pPr/>
          </w:p>
        </w:tc>
        <w:tc>
          <w:tcPr>
            <w:tcW w:w="1167" w:type="dxa"/>
            <w:tcBorders>
              <w:top w:val="nil" w:sz="6" w:space="0" w:color="auto"/>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4" w:space="0" w:color="000000"/>
            </w:tcBorders>
          </w:tcPr>
          <w:p>
            <w:pPr/>
          </w:p>
        </w:tc>
        <w:tc>
          <w:tcPr>
            <w:tcW w:w="1167" w:type="dxa"/>
            <w:vMerge/>
            <w:tcBorders>
              <w:left w:val="single" w:sz="4" w:space="0" w:color="000000"/>
              <w:bottom w:val="single" w:sz="4" w:space="0" w:color="000000"/>
              <w:right w:val="single" w:sz="4" w:space="0" w:color="000000"/>
            </w:tcBorders>
          </w:tcPr>
          <w:p>
            <w:pPr/>
          </w:p>
        </w:tc>
        <w:tc>
          <w:tcPr>
            <w:tcW w:w="1214" w:type="dxa"/>
            <w:vMerge/>
            <w:tcBorders>
              <w:left w:val="single" w:sz="4" w:space="0" w:color="000000"/>
              <w:bottom w:val="single" w:sz="4" w:space="0" w:color="000000"/>
              <w:right w:val="single" w:sz="4" w:space="0" w:color="000000"/>
            </w:tcBorders>
          </w:tcPr>
          <w:p>
            <w:pPr/>
          </w:p>
        </w:tc>
        <w:tc>
          <w:tcPr>
            <w:tcW w:w="1213" w:type="dxa"/>
            <w:tcBorders>
              <w:top w:val="nil" w:sz="6" w:space="0" w:color="auto"/>
              <w:left w:val="single" w:sz="4" w:space="0" w:color="000000"/>
              <w:bottom w:val="single" w:sz="4" w:space="0" w:color="000000"/>
              <w:right w:val="single" w:sz="4" w:space="0" w:color="000000"/>
            </w:tcBorders>
          </w:tcPr>
          <w:p>
            <w:pPr/>
          </w:p>
        </w:tc>
        <w:tc>
          <w:tcPr>
            <w:tcW w:w="1214" w:type="dxa"/>
            <w:vMerge/>
            <w:tcBorders>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合肥君正科技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235,000,000.0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273,700,871.4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50,000,000.00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323,700,871.41</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1"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7"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7"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41"/>
              <w:jc w:val="both"/>
              <w:rPr>
                <w:rFonts w:ascii="宋体" w:hAnsi="宋体" w:cs="宋体" w:eastAsia="宋体" w:hint="default"/>
                <w:sz w:val="18"/>
                <w:szCs w:val="18"/>
              </w:rPr>
            </w:pPr>
            <w:r>
              <w:rPr>
                <w:rFonts w:ascii="宋体" w:hAnsi="宋体" w:cs="宋体" w:eastAsia="宋体" w:hint="default"/>
                <w:sz w:val="18"/>
                <w:szCs w:val="18"/>
              </w:rPr>
              <w:t>北京君诚 易恒科技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1,836,090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-186,699.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1,649,390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10" w:space="0" w:color="D2D2D2"/>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1,836,090</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-186,699.</w:t>
            </w: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1,649,390</w:t>
            </w:r>
          </w:p>
        </w:tc>
        <w:tc>
          <w:tcPr>
            <w:tcW w:w="797" w:type="dxa"/>
            <w:vMerge w:val="restart"/>
            <w:tcBorders>
              <w:top w:val="single" w:sz="4" w:space="0" w:color="000000"/>
              <w:left w:val="single" w:sz="4" w:space="0" w:color="000000"/>
              <w:right w:val="single" w:sz="4" w:space="0" w:color="000000"/>
            </w:tcBorders>
          </w:tcPr>
          <w:p>
            <w:pPr/>
          </w:p>
        </w:tc>
      </w:tr>
      <w:tr>
        <w:trPr>
          <w:trHeight w:val="204" w:hRule="exact"/>
        </w:trPr>
        <w:tc>
          <w:tcPr>
            <w:tcW w:w="7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vMerge/>
            <w:tcBorders>
              <w:left w:val="single" w:sz="10" w:space="0" w:color="D2D2D2"/>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r>
      <w:tr>
        <w:trPr>
          <w:trHeight w:val="187" w:hRule="exact"/>
        </w:trPr>
        <w:tc>
          <w:tcPr>
            <w:tcW w:w="796"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10" w:space="0" w:color="D2D2D2"/>
              <w:right w:val="single" w:sz="4" w:space="0" w:color="000000"/>
            </w:tcBorders>
          </w:tcPr>
          <w:p>
            <w:pPr>
              <w:pStyle w:val="TableParagraph"/>
              <w:spacing w:line="240" w:lineRule="auto" w:before="42"/>
              <w:ind w:right="18"/>
              <w:jc w:val="right"/>
              <w:rPr>
                <w:rFonts w:ascii="Times New Roman" w:hAnsi="Times New Roman" w:cs="Times New Roman" w:eastAsia="Times New Roman" w:hint="default"/>
                <w:sz w:val="18"/>
                <w:szCs w:val="18"/>
              </w:rPr>
            </w:pPr>
            <w:r>
              <w:rPr>
                <w:rFonts w:ascii="Times New Roman"/>
                <w:sz w:val="18"/>
              </w:rPr>
              <w:t>.57</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val="restart"/>
            <w:tcBorders>
              <w:top w:val="nil" w:sz="6" w:space="0" w:color="auto"/>
              <w:left w:val="single" w:sz="4" w:space="0" w:color="000000"/>
              <w:right w:val="single" w:sz="4" w:space="0" w:color="000000"/>
            </w:tcBorders>
          </w:tcPr>
          <w:p>
            <w:pPr>
              <w:pStyle w:val="TableParagraph"/>
              <w:spacing w:line="240" w:lineRule="auto" w:before="42"/>
              <w:ind w:right="19"/>
              <w:jc w:val="right"/>
              <w:rPr>
                <w:rFonts w:ascii="Times New Roman" w:hAnsi="Times New Roman" w:cs="Times New Roman" w:eastAsia="Times New Roman" w:hint="default"/>
                <w:sz w:val="18"/>
                <w:szCs w:val="18"/>
              </w:rPr>
            </w:pPr>
            <w:r>
              <w:rPr>
                <w:rFonts w:ascii="Times New Roman"/>
                <w:sz w:val="18"/>
              </w:rPr>
              <w:t>65</w:t>
            </w: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val="restart"/>
            <w:tcBorders>
              <w:top w:val="nil" w:sz="6" w:space="0" w:color="auto"/>
              <w:left w:val="single" w:sz="4" w:space="0" w:color="000000"/>
              <w:right w:val="single" w:sz="4" w:space="0" w:color="000000"/>
            </w:tcBorders>
          </w:tcPr>
          <w:p>
            <w:pPr>
              <w:pStyle w:val="TableParagraph"/>
              <w:spacing w:line="240" w:lineRule="auto" w:before="42"/>
              <w:ind w:right="21"/>
              <w:jc w:val="right"/>
              <w:rPr>
                <w:rFonts w:ascii="Times New Roman" w:hAnsi="Times New Roman" w:cs="Times New Roman" w:eastAsia="Times New Roman" w:hint="default"/>
                <w:sz w:val="18"/>
                <w:szCs w:val="18"/>
              </w:rPr>
            </w:pPr>
            <w:r>
              <w:rPr>
                <w:rFonts w:ascii="Times New Roman"/>
                <w:sz w:val="18"/>
              </w:rPr>
              <w:t>.92</w:t>
            </w:r>
          </w:p>
        </w:tc>
        <w:tc>
          <w:tcPr>
            <w:tcW w:w="797"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10"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1"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10" w:space="0" w:color="D2D2D2"/>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1,836,090</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-186,699.</w:t>
            </w: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1,649,390</w:t>
            </w:r>
          </w:p>
        </w:tc>
        <w:tc>
          <w:tcPr>
            <w:tcW w:w="797" w:type="dxa"/>
            <w:vMerge w:val="restart"/>
            <w:tcBorders>
              <w:top w:val="single" w:sz="4" w:space="0" w:color="000000"/>
              <w:left w:val="single" w:sz="4" w:space="0" w:color="000000"/>
              <w:right w:val="single" w:sz="4" w:space="0" w:color="000000"/>
            </w:tcBorders>
          </w:tcPr>
          <w:p>
            <w:pPr/>
          </w:p>
        </w:tc>
      </w:tr>
      <w:tr>
        <w:trPr>
          <w:trHeight w:val="204" w:hRule="exact"/>
        </w:trPr>
        <w:tc>
          <w:tcPr>
            <w:tcW w:w="7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vMerge/>
            <w:tcBorders>
              <w:left w:val="single" w:sz="10" w:space="0" w:color="D2D2D2"/>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r>
      <w:tr>
        <w:trPr>
          <w:trHeight w:val="187" w:hRule="exact"/>
        </w:trPr>
        <w:tc>
          <w:tcPr>
            <w:tcW w:w="796"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10" w:space="0" w:color="D2D2D2"/>
              <w:right w:val="single" w:sz="4" w:space="0" w:color="000000"/>
            </w:tcBorders>
          </w:tcPr>
          <w:p>
            <w:pPr>
              <w:pStyle w:val="TableParagraph"/>
              <w:spacing w:line="240" w:lineRule="auto" w:before="42"/>
              <w:ind w:right="18"/>
              <w:jc w:val="right"/>
              <w:rPr>
                <w:rFonts w:ascii="Times New Roman" w:hAnsi="Times New Roman" w:cs="Times New Roman" w:eastAsia="Times New Roman" w:hint="default"/>
                <w:sz w:val="18"/>
                <w:szCs w:val="18"/>
              </w:rPr>
            </w:pPr>
            <w:r>
              <w:rPr>
                <w:rFonts w:ascii="Times New Roman"/>
                <w:sz w:val="18"/>
              </w:rPr>
              <w:t>.57</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val="restart"/>
            <w:tcBorders>
              <w:top w:val="nil" w:sz="6" w:space="0" w:color="auto"/>
              <w:left w:val="single" w:sz="4" w:space="0" w:color="000000"/>
              <w:right w:val="single" w:sz="4" w:space="0" w:color="000000"/>
            </w:tcBorders>
          </w:tcPr>
          <w:p>
            <w:pPr>
              <w:pStyle w:val="TableParagraph"/>
              <w:spacing w:line="240" w:lineRule="auto" w:before="42"/>
              <w:ind w:right="19"/>
              <w:jc w:val="right"/>
              <w:rPr>
                <w:rFonts w:ascii="Times New Roman" w:hAnsi="Times New Roman" w:cs="Times New Roman" w:eastAsia="Times New Roman" w:hint="default"/>
                <w:sz w:val="18"/>
                <w:szCs w:val="18"/>
              </w:rPr>
            </w:pPr>
            <w:r>
              <w:rPr>
                <w:rFonts w:ascii="Times New Roman"/>
                <w:sz w:val="18"/>
              </w:rPr>
              <w:t>65</w:t>
            </w: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val="restart"/>
            <w:tcBorders>
              <w:top w:val="nil" w:sz="6" w:space="0" w:color="auto"/>
              <w:left w:val="single" w:sz="4" w:space="0" w:color="000000"/>
              <w:right w:val="single" w:sz="4" w:space="0" w:color="000000"/>
            </w:tcBorders>
          </w:tcPr>
          <w:p>
            <w:pPr>
              <w:pStyle w:val="TableParagraph"/>
              <w:spacing w:line="240" w:lineRule="auto" w:before="42"/>
              <w:ind w:right="21"/>
              <w:jc w:val="right"/>
              <w:rPr>
                <w:rFonts w:ascii="Times New Roman" w:hAnsi="Times New Roman" w:cs="Times New Roman" w:eastAsia="Times New Roman" w:hint="default"/>
                <w:sz w:val="18"/>
                <w:szCs w:val="18"/>
              </w:rPr>
            </w:pPr>
            <w:r>
              <w:rPr>
                <w:rFonts w:ascii="Times New Roman"/>
                <w:sz w:val="18"/>
              </w:rPr>
              <w:t>.92</w:t>
            </w:r>
          </w:p>
        </w:tc>
        <w:tc>
          <w:tcPr>
            <w:tcW w:w="797"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10"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124,401,978.92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63,009,181.24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141,883,305.27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89,924,539.78</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10,216,192.71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655,124.31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10,663,182.64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711,948.87</w:t>
            </w: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134,618,171.63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63,664,305.55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152,546,487.91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90,636,488.65</w:t>
            </w:r>
          </w:p>
        </w:tc>
      </w:tr>
    </w:tbl>
    <w:p>
      <w:pPr>
        <w:pStyle w:val="BodyText"/>
        <w:spacing w:line="240" w:lineRule="auto" w:before="49"/>
        <w:ind w:right="1133"/>
        <w:jc w:val="left"/>
      </w:pPr>
      <w:r>
        <w:rPr/>
        <w:t>是否已执行新收入准则</w:t>
      </w:r>
    </w:p>
    <w:p>
      <w:pPr>
        <w:pStyle w:val="BodyText"/>
        <w:spacing w:line="338" w:lineRule="auto" w:before="117"/>
        <w:ind w:right="91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其他说明：无</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-186,699.65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-148,505.28</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26,086,069.38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28,905,432.99</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25,899,369.73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28,756,927.71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2"/>
          <w:szCs w:val="22"/>
        </w:rPr>
      </w:pPr>
    </w:p>
    <w:p>
      <w:pPr>
        <w:pStyle w:val="Heading2"/>
        <w:spacing w:line="240" w:lineRule="auto"/>
        <w:ind w:right="1133"/>
        <w:jc w:val="left"/>
        <w:rPr>
          <w:b w:val="0"/>
          <w:bCs w:val="0"/>
        </w:rPr>
      </w:pPr>
      <w:r>
        <w:rPr/>
        <w:t>十八、补充资料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-1,660.36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37,324,720.46</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356" w:hRule="exact"/>
        </w:trPr>
        <w:tc>
          <w:tcPr>
            <w:tcW w:w="332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w:t>
            </w:r>
          </w:p>
        </w:tc>
        <w:tc>
          <w:tcPr>
            <w:tcW w:w="3060" w:type="dxa"/>
            <w:tcBorders>
              <w:top w:val="single" w:sz="4" w:space="0" w:color="000000"/>
              <w:left w:val="single" w:sz="4" w:space="0" w:color="000000"/>
              <w:bottom w:val="nil" w:sz="6" w:space="0" w:color="auto"/>
              <w:right w:val="single" w:sz="4" w:space="0" w:color="000000"/>
            </w:tcBorders>
          </w:tcPr>
          <w:p>
            <w:pPr/>
          </w:p>
        </w:tc>
        <w:tc>
          <w:tcPr>
            <w:tcW w:w="3185" w:type="dxa"/>
            <w:vMerge w:val="restart"/>
            <w:tcBorders>
              <w:top w:val="single" w:sz="4" w:space="0" w:color="000000"/>
              <w:left w:val="single" w:sz="4" w:space="0" w:color="000000"/>
              <w:right w:val="single" w:sz="4" w:space="0" w:color="000000"/>
            </w:tcBorders>
          </w:tcPr>
          <w:p>
            <w:pPr/>
          </w:p>
        </w:tc>
      </w:tr>
      <w:tr>
        <w:trPr>
          <w:trHeight w:val="312" w:hRule="exact"/>
        </w:trPr>
        <w:tc>
          <w:tcPr>
            <w:tcW w:w="33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值业务外，持有交易性金融资产、衍生金</w:t>
            </w:r>
          </w:p>
        </w:tc>
        <w:tc>
          <w:tcPr>
            <w:tcW w:w="3060" w:type="dxa"/>
            <w:tcBorders>
              <w:top w:val="nil" w:sz="6" w:space="0" w:color="auto"/>
              <w:left w:val="single" w:sz="4" w:space="0" w:color="000000"/>
              <w:bottom w:val="nil" w:sz="6" w:space="0" w:color="auto"/>
              <w:right w:val="single" w:sz="4" w:space="0" w:color="000000"/>
            </w:tcBorders>
          </w:tcPr>
          <w:p>
            <w:pPr/>
          </w:p>
        </w:tc>
        <w:tc>
          <w:tcPr>
            <w:tcW w:w="3185" w:type="dxa"/>
            <w:vMerge/>
            <w:tcBorders>
              <w:left w:val="single" w:sz="4" w:space="0" w:color="000000"/>
              <w:right w:val="single" w:sz="4" w:space="0" w:color="000000"/>
            </w:tcBorders>
          </w:tcPr>
          <w:p>
            <w:pPr/>
          </w:p>
        </w:tc>
      </w:tr>
      <w:tr>
        <w:trPr>
          <w:trHeight w:val="312" w:hRule="exact"/>
        </w:trPr>
        <w:tc>
          <w:tcPr>
            <w:tcW w:w="33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融资产、交易性金融负债、衍生金融负债</w:t>
            </w:r>
          </w:p>
        </w:tc>
        <w:tc>
          <w:tcPr>
            <w:tcW w:w="3060" w:type="dxa"/>
            <w:tcBorders>
              <w:top w:val="nil" w:sz="6" w:space="0" w:color="auto"/>
              <w:left w:val="single" w:sz="4" w:space="0" w:color="000000"/>
              <w:bottom w:val="nil" w:sz="6" w:space="0" w:color="auto"/>
              <w:right w:val="single" w:sz="4" w:space="0" w:color="000000"/>
            </w:tcBorders>
          </w:tcPr>
          <w:p>
            <w:pPr/>
          </w:p>
        </w:tc>
        <w:tc>
          <w:tcPr>
            <w:tcW w:w="3185" w:type="dxa"/>
            <w:vMerge/>
            <w:tcBorders>
              <w:left w:val="single" w:sz="4" w:space="0" w:color="000000"/>
              <w:right w:val="single" w:sz="4" w:space="0" w:color="000000"/>
            </w:tcBorders>
          </w:tcPr>
          <w:p>
            <w:pPr/>
          </w:p>
        </w:tc>
      </w:tr>
      <w:tr>
        <w:trPr>
          <w:trHeight w:val="317" w:hRule="exact"/>
        </w:trPr>
        <w:tc>
          <w:tcPr>
            <w:tcW w:w="33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产生的公允价值变动损益，以及处置交易</w:t>
            </w:r>
          </w:p>
        </w:tc>
        <w:tc>
          <w:tcPr>
            <w:tcW w:w="306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32,519,652.18</w:t>
            </w:r>
          </w:p>
        </w:tc>
        <w:tc>
          <w:tcPr>
            <w:tcW w:w="3185" w:type="dxa"/>
            <w:vMerge/>
            <w:tcBorders>
              <w:left w:val="single" w:sz="4" w:space="0" w:color="000000"/>
              <w:right w:val="single" w:sz="4" w:space="0" w:color="000000"/>
            </w:tcBorders>
          </w:tcPr>
          <w:p>
            <w:pPr/>
          </w:p>
        </w:tc>
      </w:tr>
      <w:tr>
        <w:trPr>
          <w:trHeight w:val="307" w:hRule="exact"/>
        </w:trPr>
        <w:tc>
          <w:tcPr>
            <w:tcW w:w="33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性金融资产、衍生金融资产、交易性金融</w:t>
            </w:r>
          </w:p>
        </w:tc>
        <w:tc>
          <w:tcPr>
            <w:tcW w:w="3060" w:type="dxa"/>
            <w:tcBorders>
              <w:top w:val="nil" w:sz="6" w:space="0" w:color="auto"/>
              <w:left w:val="single" w:sz="4" w:space="0" w:color="000000"/>
              <w:bottom w:val="nil" w:sz="6" w:space="0" w:color="auto"/>
              <w:right w:val="single" w:sz="4" w:space="0" w:color="000000"/>
            </w:tcBorders>
          </w:tcPr>
          <w:p>
            <w:pPr/>
          </w:p>
        </w:tc>
        <w:tc>
          <w:tcPr>
            <w:tcW w:w="3185" w:type="dxa"/>
            <w:vMerge/>
            <w:tcBorders>
              <w:left w:val="single" w:sz="4" w:space="0" w:color="000000"/>
              <w:right w:val="single" w:sz="4" w:space="0" w:color="000000"/>
            </w:tcBorders>
          </w:tcPr>
          <w:p>
            <w:pPr/>
          </w:p>
        </w:tc>
      </w:tr>
      <w:tr>
        <w:trPr>
          <w:trHeight w:val="312" w:hRule="exact"/>
        </w:trPr>
        <w:tc>
          <w:tcPr>
            <w:tcW w:w="33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负债、衍生金融负债和其他债权投资取得</w:t>
            </w:r>
          </w:p>
        </w:tc>
        <w:tc>
          <w:tcPr>
            <w:tcW w:w="3060" w:type="dxa"/>
            <w:tcBorders>
              <w:top w:val="nil" w:sz="6" w:space="0" w:color="auto"/>
              <w:left w:val="single" w:sz="4" w:space="0" w:color="000000"/>
              <w:bottom w:val="nil" w:sz="6" w:space="0" w:color="auto"/>
              <w:right w:val="single" w:sz="4" w:space="0" w:color="000000"/>
            </w:tcBorders>
          </w:tcPr>
          <w:p>
            <w:pPr/>
          </w:p>
        </w:tc>
        <w:tc>
          <w:tcPr>
            <w:tcW w:w="3185" w:type="dxa"/>
            <w:vMerge/>
            <w:tcBorders>
              <w:left w:val="single" w:sz="4" w:space="0" w:color="000000"/>
              <w:right w:val="single" w:sz="4" w:space="0" w:color="000000"/>
            </w:tcBorders>
          </w:tcPr>
          <w:p>
            <w:pPr/>
          </w:p>
        </w:tc>
      </w:tr>
      <w:tr>
        <w:trPr>
          <w:trHeight w:val="357" w:hRule="exact"/>
        </w:trPr>
        <w:tc>
          <w:tcPr>
            <w:tcW w:w="332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的投资收益</w:t>
            </w:r>
          </w:p>
        </w:tc>
        <w:tc>
          <w:tcPr>
            <w:tcW w:w="3060" w:type="dxa"/>
            <w:tcBorders>
              <w:top w:val="nil" w:sz="6" w:space="0" w:color="auto"/>
              <w:left w:val="single" w:sz="4" w:space="0" w:color="000000"/>
              <w:bottom w:val="single" w:sz="4" w:space="0" w:color="000000"/>
              <w:right w:val="single" w:sz="4" w:space="0" w:color="000000"/>
            </w:tcBorders>
          </w:tcPr>
          <w:p>
            <w:pPr/>
          </w:p>
        </w:tc>
        <w:tc>
          <w:tcPr>
            <w:tcW w:w="3185" w:type="dxa"/>
            <w:vMerge/>
            <w:tcBorders>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-3,467,330.23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-534,400.00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4,664,574.49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61,176,407.56</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6"/>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3"/>
        <w:gridCol w:w="3082"/>
        <w:gridCol w:w="1913"/>
        <w:gridCol w:w="1913"/>
      </w:tblGrid>
      <w:tr>
        <w:trPr>
          <w:trHeight w:val="204" w:hRule="exact"/>
        </w:trPr>
        <w:tc>
          <w:tcPr>
            <w:tcW w:w="2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63"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0.2914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0.2902</w:t>
            </w:r>
          </w:p>
        </w:tc>
      </w:tr>
      <w:tr>
        <w:trPr>
          <w:trHeight w:val="715"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-0.0125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-0.0125</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59" w:lineRule="auto"/>
        <w:ind w:right="1133"/>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pStyle w:val="Heading1"/>
        <w:spacing w:line="240" w:lineRule="auto"/>
        <w:ind w:left="3365" w:right="1133"/>
        <w:jc w:val="left"/>
        <w:rPr>
          <w:b w:val="0"/>
          <w:bCs w:val="0"/>
        </w:rPr>
      </w:pPr>
      <w:bookmarkStart w:name="_bookmark12" w:id="13"/>
      <w:bookmarkEnd w:id="13"/>
      <w:r>
        <w:rPr>
          <w:b w:val="0"/>
          <w:bCs w:val="0"/>
        </w:rPr>
      </w:r>
      <w:r>
        <w:rPr/>
        <w:t>第十三节备查文件目录</w:t>
      </w:r>
      <w:r>
        <w:rPr>
          <w:b w:val="0"/>
          <w:bCs w:val="0"/>
        </w:rPr>
      </w:r>
    </w:p>
    <w:p>
      <w:pPr>
        <w:spacing w:line="240" w:lineRule="auto" w:before="6"/>
        <w:rPr>
          <w:rFonts w:ascii="宋体" w:hAnsi="宋体" w:cs="宋体" w:eastAsia="宋体" w:hint="default"/>
          <w:b/>
          <w:bCs/>
          <w:sz w:val="42"/>
          <w:szCs w:val="42"/>
        </w:rPr>
      </w:pPr>
    </w:p>
    <w:p>
      <w:pPr>
        <w:pStyle w:val="BodyText"/>
        <w:spacing w:line="316" w:lineRule="auto"/>
        <w:ind w:right="2474"/>
        <w:jc w:val="left"/>
      </w:pPr>
      <w:r>
        <w:rPr/>
        <w:t>一、载有公司负责人、主管会计工作负责人、会计机构负责人（会计主管人员）签名并盖章的财务报表。 二、载有会计师事务所盖章、注册会计师签名并盖章的审计报告原件。 三、报告期内在中国证监会指定网站上公开披露过的所有公司文件的正本及公告的原稿。 四、在其他证券市场公布的年度报告。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tabs>
          <w:tab w:pos="9810" w:val="left" w:leader="none"/>
        </w:tabs>
        <w:spacing w:line="717" w:lineRule="auto"/>
        <w:ind w:left="7265" w:right="1096" w:firstLine="7"/>
        <w:jc w:val="left"/>
        <w:rPr>
          <w:rFonts w:ascii="Times New Roman" w:hAnsi="Times New Roman" w:cs="Times New Roman" w:eastAsia="Times New Roman" w:hint="default"/>
        </w:rPr>
      </w:pPr>
      <w:r>
        <w:rPr/>
        <w:t>北京君正集成电路股份有限公司 法定代表人：刘强</w:t>
      </w:r>
      <w:r>
        <w:rPr>
          <w:spacing w:val="-18"/>
        </w:rPr>
        <w:t> </w:t>
      </w:r>
      <w:r>
        <w:rPr>
          <w:rFonts w:ascii="Times New Roman" w:hAnsi="Times New Roman" w:cs="Times New Roman" w:eastAsia="Times New Roman" w:hint="default"/>
          <w:spacing w:val="-18"/>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w w:val="40"/>
          <w:u w:val="single" w:color="000000"/>
        </w:rPr>
        <w:t> </w:t>
      </w:r>
      <w:r>
        <w:rPr>
          <w:rFonts w:ascii="Times New Roman" w:hAnsi="Times New Roman" w:cs="Times New Roman" w:eastAsia="Times New Roman" w:hint="default"/>
          <w:u w:val="single" w:color="000000"/>
        </w:rPr>
      </w:r>
      <w:r>
        <w:rPr>
          <w:rFonts w:ascii="Times New Roman" w:hAnsi="Times New Roman" w:cs="Times New Roman" w:eastAsia="Times New Roman" w:hint="default"/>
        </w:rPr>
      </w:r>
    </w:p>
    <w:p>
      <w:pPr>
        <w:pStyle w:val="BodyText"/>
        <w:spacing w:line="240" w:lineRule="auto" w:before="112"/>
        <w:ind w:left="0" w:right="1131"/>
        <w:jc w:val="right"/>
      </w:pPr>
      <w:r>
        <w:rPr/>
        <w:t>二○二○年三月三十日</w:t>
      </w:r>
    </w:p>
    <w:sectPr>
      <w:pgSz w:w="11910" w:h="16840"/>
      <w:pgMar w:header="877" w:footer="979" w:top="11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13488" type="#_x0000_t75" stroked="false">
          <v:imagedata r:id="rId1" o:title=""/>
        </v:shape>
      </w:pict>
    </w:r>
    <w:r>
      <w:rPr/>
      <w:pict>
        <v:shape style="position:absolute;margin-left:533.099976pt;margin-top:795.637939pt;width:6.5pt;height:11pt;mso-position-horizontal-relative:page;mso-position-vertical-relative:page;z-index:-161346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12984" type="#_x0000_t75" stroked="false">
          <v:imagedata r:id="rId1" o:title=""/>
        </v:shape>
      </w:pict>
    </w:r>
    <w:r>
      <w:rPr/>
      <w:pict>
        <v:shape style="position:absolute;margin-left:524.099976pt;margin-top:781.957947pt;width:15.7pt;height:11pt;mso-position-horizontal-relative:page;mso-position-vertical-relative:page;z-index:-161296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12936" type="#_x0000_t75" stroked="false">
          <v:imagedata r:id="rId1" o:title=""/>
        </v:shape>
      </w:pict>
    </w:r>
    <w:r>
      <w:rPr/>
      <w:pict>
        <v:shape style="position:absolute;margin-left:523.099976pt;margin-top:781.957947pt;width:17.7pt;height:11pt;mso-position-horizontal-relative:page;mso-position-vertical-relative:page;z-index:-16129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13440" type="#_x0000_t75" stroked="false">
          <v:imagedata r:id="rId1" o:title=""/>
        </v:shape>
      </w:pict>
    </w:r>
    <w:r>
      <w:rPr/>
      <w:pict>
        <v:shape style="position:absolute;margin-left:527.659973pt;margin-top:781.957947pt;width:13.15pt;height:11pt;mso-position-horizontal-relative:page;mso-position-vertical-relative:page;z-index:-16134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613368" type="#_x0000_t75" stroked="false">
          <v:imagedata r:id="rId1" o:title=""/>
        </v:shape>
      </w:pict>
    </w:r>
    <w:r>
      <w:rPr/>
      <w:pict>
        <v:shape style="position:absolute;margin-left:759.039978pt;margin-top:535.333923pt;width:13.15pt;height:11pt;mso-position-horizontal-relative:page;mso-position-vertical-relative:page;z-index:-16133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47</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13272" type="#_x0000_t75" stroked="false">
          <v:imagedata r:id="rId1" o:title=""/>
        </v:shape>
      </w:pict>
    </w:r>
    <w:r>
      <w:rPr/>
      <w:pict>
        <v:shape style="position:absolute;margin-left:527.659973pt;margin-top:781.957947pt;width:13.15pt;height:11pt;mso-position-horizontal-relative:page;mso-position-vertical-relative:page;z-index:-16132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66</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13224" type="#_x0000_t75" stroked="false">
          <v:imagedata r:id="rId1" o:title=""/>
        </v:shape>
      </w:pict>
    </w:r>
    <w:r>
      <w:rPr/>
      <w:pict>
        <v:shape style="position:absolute;margin-left:527.659973pt;margin-top:781.957947pt;width:13.15pt;height:11pt;mso-position-horizontal-relative:page;mso-position-vertical-relative:page;z-index:-16132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68</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13176" type="#_x0000_t75" stroked="false">
          <v:imagedata r:id="rId1" o:title=""/>
        </v:shape>
      </w:pict>
    </w:r>
    <w:r>
      <w:rPr/>
      <w:pict>
        <v:shape style="position:absolute;margin-left:524.099976pt;margin-top:781.957947pt;width:15.7pt;height:11pt;mso-position-horizontal-relative:page;mso-position-vertical-relative:page;z-index:-161315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13128" type="#_x0000_t75" stroked="false">
          <v:imagedata r:id="rId1" o:title=""/>
        </v:shape>
      </w:pict>
    </w:r>
    <w:r>
      <w:rPr/>
      <w:pict>
        <v:shape style="position:absolute;margin-left:523.099976pt;margin-top:781.957947pt;width:17.7pt;height:11pt;mso-position-horizontal-relative:page;mso-position-vertical-relative:page;z-index:-16131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13080" type="#_x0000_t75" stroked="false">
          <v:imagedata r:id="rId1" o:title=""/>
        </v:shape>
      </w:pict>
    </w:r>
    <w:r>
      <w:rPr/>
      <w:pict>
        <v:shape style="position:absolute;margin-left:523.460022pt;margin-top:781.957947pt;width:17.3pt;height:11pt;mso-position-horizontal-relative:page;mso-position-vertical-relative:page;z-index:-16130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13032" type="#_x0000_t75" stroked="false">
          <v:imagedata r:id="rId1" o:title=""/>
        </v:shape>
      </w:pict>
    </w:r>
    <w:r>
      <w:rPr/>
      <w:pict>
        <v:shape style="position:absolute;margin-left:523.099976pt;margin-top:781.957947pt;width:17.7pt;height:11pt;mso-position-horizontal-relative:page;mso-position-vertical-relative:page;z-index:-16130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70007pt;margin-top:36.265610pt;width:213.75pt;height:11.5pt;mso-position-horizontal-relative:page;mso-position-vertical-relative:page;z-index:-1613512" type="#_x0000_t202" filled="false" stroked="false">
          <v:textbox inset="0,0,0,0">
            <w:txbxContent>
              <w:p>
                <w:pPr>
                  <w:pStyle w:val="BodyText"/>
                  <w:spacing w:line="214" w:lineRule="exact"/>
                  <w:ind w:left="20" w:right="0"/>
                  <w:jc w:val="left"/>
                </w:pPr>
                <w:r>
                  <w:rPr/>
                  <w:t>北京君正集成电路股份有限公司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29993pt;margin-top:42.865631pt;width:213.75pt;height:11.5pt;mso-position-horizontal-relative:page;mso-position-vertical-relative:page;z-index:-1613392" type="#_x0000_t202" filled="false" stroked="false">
          <v:textbox inset="0,0,0,0">
            <w:txbxContent>
              <w:p>
                <w:pPr>
                  <w:pStyle w:val="BodyText"/>
                  <w:spacing w:line="214" w:lineRule="exact"/>
                  <w:ind w:left="20" w:right="0"/>
                  <w:jc w:val="left"/>
                </w:pPr>
                <w:r>
                  <w:rPr/>
                  <w:t>北京君正集成电路股份有限公司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61332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26.070007pt;margin-top:42.865608pt;width:213.75pt;height:11.5pt;mso-position-horizontal-relative:page;mso-position-vertical-relative:page;z-index:-1613296" type="#_x0000_t202" filled="false" stroked="false">
          <v:textbox inset="0,0,0,0">
            <w:txbxContent>
              <w:p>
                <w:pPr>
                  <w:pStyle w:val="BodyText"/>
                  <w:spacing w:line="214" w:lineRule="exact"/>
                  <w:ind w:left="20" w:right="0"/>
                  <w:jc w:val="left"/>
                </w:pPr>
                <w:r>
                  <w:rPr/>
                  <w:t>北京君正集成电路股份有限公司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6"/>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406"/>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spacing w:before="20"/>
      <w:ind w:left="212"/>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cninfo.com.cn/" TargetMode="External"/><Relationship Id="rId10" Type="http://schemas.openxmlformats.org/officeDocument/2006/relationships/hyperlink" Target="http://www.ingenic.com/" TargetMode="External"/><Relationship Id="rId11" Type="http://schemas.openxmlformats.org/officeDocument/2006/relationships/hyperlink" Target="mailto:investors@ingenic.com" TargetMode="Externa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image" Target="media/image3.jpeg"/><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footer" Target="footer1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北京君正集成电路股份有限公司</dc:creator>
  <dc:title>北京君正集成电路股份有限公司2019年年度报告全文</dc:title>
  <dcterms:created xsi:type="dcterms:W3CDTF">2020-05-19T02:24:58Z</dcterms:created>
  <dcterms:modified xsi:type="dcterms:W3CDTF">2020-05-19T02:24:58Z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2020-03-31T00:00:00Z</vt:filetime>
  </property>
  <property fmtid="{D5CDD505-2E9C-101B-9397-08002B2CF9AE}" pid="3" name="Creator">
    <vt:lpwstr>Microsoft® Word 2010</vt:lpwstr>
  </property>
  <property fmtid="{D5CDD505-2E9C-101B-9397-08002B2CF9AE}" pid="4" name="LastSaved">
    <vt:filetime>2020-05-18T00:00:00Z</vt:filetime>
  </property>
</Properties>
</file>